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60" w:lineRule="auto"/>
      </w:pPr>
      <w:r>
        <w:t>Appendix D — Automated Test Suite</w:t>
      </w:r>
    </w:p>
    <w:p>
      <w:pPr>
        <w:spacing w:line="360" w:lineRule="auto"/>
      </w:pPr>
      <w:r>
        <w:rPr>
          <w:rFonts w:ascii="Arial" w:hAnsi="Arial"/>
          <w:sz w:val="24"/>
        </w:rPr>
        <w:t>The automated evidence was generated from the current CrepFinder repository after the final evidence pass. The backend suite uses Vitest with Supertest against the Express app. The frontend suite uses Vitest, React Testing Library, jsdom and jest-axe for selected accessibility checks.</w:t>
      </w:r>
    </w:p>
    <w:p>
      <w:pPr>
        <w:pStyle w:val="Heading2"/>
        <w:spacing w:line="360" w:lineRule="auto"/>
      </w:pPr>
      <w:r>
        <w:t>D.1 Test Inventory</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EDEDED"/>
            <w:vAlign w:val="center"/>
          </w:tcPr>
          <w:p>
            <w:pPr>
              <w:spacing w:line="276" w:lineRule="auto"/>
            </w:pPr>
            <w:r/>
            <w:r>
              <w:rPr>
                <w:rFonts w:ascii="Arial" w:hAnsi="Arial"/>
                <w:b/>
                <w:sz w:val="16"/>
              </w:rPr>
              <w:t>ID</w:t>
            </w:r>
          </w:p>
        </w:tc>
        <w:tc>
          <w:tcPr>
            <w:tcW w:type="dxa" w:w="2340"/>
            <w:shd w:fill="EDEDED"/>
            <w:vAlign w:val="center"/>
          </w:tcPr>
          <w:p>
            <w:pPr>
              <w:spacing w:line="276" w:lineRule="auto"/>
            </w:pPr>
            <w:r/>
            <w:r>
              <w:rPr>
                <w:rFonts w:ascii="Arial" w:hAnsi="Arial"/>
                <w:b/>
                <w:sz w:val="16"/>
              </w:rPr>
              <w:t>File</w:t>
            </w:r>
          </w:p>
        </w:tc>
        <w:tc>
          <w:tcPr>
            <w:tcW w:type="dxa" w:w="2340"/>
            <w:shd w:fill="EDEDED"/>
            <w:vAlign w:val="center"/>
          </w:tcPr>
          <w:p>
            <w:pPr>
              <w:spacing w:line="276" w:lineRule="auto"/>
            </w:pPr>
            <w:r/>
            <w:r>
              <w:rPr>
                <w:rFonts w:ascii="Arial" w:hAnsi="Arial"/>
                <w:b/>
                <w:sz w:val="16"/>
              </w:rPr>
              <w:t>Behaviour under test</w:t>
            </w:r>
          </w:p>
        </w:tc>
        <w:tc>
          <w:tcPr>
            <w:tcW w:type="dxa" w:w="2340"/>
            <w:shd w:fill="EDEDED"/>
            <w:vAlign w:val="center"/>
          </w:tcPr>
          <w:p>
            <w:pPr>
              <w:spacing w:line="276" w:lineRule="auto"/>
            </w:pPr>
            <w:r/>
            <w:r>
              <w:rPr>
                <w:rFonts w:ascii="Arial" w:hAnsi="Arial"/>
                <w:b/>
                <w:sz w:val="16"/>
              </w:rPr>
              <w:t>Outcome</w:t>
            </w:r>
          </w:p>
        </w:tc>
      </w:tr>
      <w:tr>
        <w:tc>
          <w:tcPr>
            <w:tcW w:type="dxa" w:w="2340"/>
            <w:vAlign w:val="center"/>
          </w:tcPr>
          <w:p>
            <w:pPr>
              <w:spacing w:line="276" w:lineRule="auto"/>
            </w:pPr>
            <w:r/>
            <w:r>
              <w:rPr>
                <w:rFonts w:ascii="Arial" w:hAnsi="Arial"/>
                <w:b w:val="0"/>
                <w:sz w:val="16"/>
              </w:rPr>
              <w:t>T1</w:t>
            </w:r>
          </w:p>
        </w:tc>
        <w:tc>
          <w:tcPr>
            <w:tcW w:type="dxa" w:w="2340"/>
            <w:vAlign w:val="center"/>
          </w:tcPr>
          <w:p>
            <w:pPr>
              <w:spacing w:line="276" w:lineRule="auto"/>
            </w:pPr>
            <w:r/>
            <w:r>
              <w:rPr>
                <w:rFonts w:ascii="Arial" w:hAnsi="Arial"/>
                <w:b w:val="0"/>
                <w:sz w:val="16"/>
              </w:rPr>
              <w:t>backend/tests/app.test.js</w:t>
            </w:r>
          </w:p>
        </w:tc>
        <w:tc>
          <w:tcPr>
            <w:tcW w:type="dxa" w:w="2340"/>
            <w:vAlign w:val="center"/>
          </w:tcPr>
          <w:p>
            <w:pPr>
              <w:spacing w:line="276" w:lineRule="auto"/>
            </w:pPr>
            <w:r/>
            <w:r>
              <w:rPr>
                <w:rFonts w:ascii="Arial" w:hAnsi="Arial"/>
                <w:b w:val="0"/>
                <w:sz w:val="16"/>
              </w:rPr>
              <w:t>Health endpoint returns { status: ok } for local/container checks</w:t>
            </w:r>
          </w:p>
        </w:tc>
        <w:tc>
          <w:tcPr>
            <w:tcW w:type="dxa" w:w="2340"/>
            <w:vAlign w:val="center"/>
          </w:tcPr>
          <w:p>
            <w:pPr>
              <w:spacing w:line="276" w:lineRule="auto"/>
            </w:pPr>
            <w:r/>
            <w:r>
              <w:rPr>
                <w:rFonts w:ascii="Arial" w:hAnsi="Arial"/>
                <w:b w:val="0"/>
                <w:sz w:val="16"/>
              </w:rPr>
              <w:t>Pass</w:t>
            </w:r>
          </w:p>
        </w:tc>
      </w:tr>
      <w:tr>
        <w:tc>
          <w:tcPr>
            <w:tcW w:type="dxa" w:w="2340"/>
            <w:vAlign w:val="center"/>
          </w:tcPr>
          <w:p>
            <w:pPr>
              <w:spacing w:line="276" w:lineRule="auto"/>
            </w:pPr>
            <w:r/>
            <w:r>
              <w:rPr>
                <w:rFonts w:ascii="Arial" w:hAnsi="Arial"/>
                <w:b w:val="0"/>
                <w:sz w:val="16"/>
              </w:rPr>
              <w:t>T2</w:t>
            </w:r>
          </w:p>
        </w:tc>
        <w:tc>
          <w:tcPr>
            <w:tcW w:type="dxa" w:w="2340"/>
            <w:vAlign w:val="center"/>
          </w:tcPr>
          <w:p>
            <w:pPr>
              <w:spacing w:line="276" w:lineRule="auto"/>
            </w:pPr>
            <w:r/>
            <w:r>
              <w:rPr>
                <w:rFonts w:ascii="Arial" w:hAnsi="Arial"/>
                <w:b w:val="0"/>
                <w:sz w:val="16"/>
              </w:rPr>
              <w:t>backend/tests/app.test.js</w:t>
            </w:r>
          </w:p>
        </w:tc>
        <w:tc>
          <w:tcPr>
            <w:tcW w:type="dxa" w:w="2340"/>
            <w:vAlign w:val="center"/>
          </w:tcPr>
          <w:p>
            <w:pPr>
              <w:spacing w:line="276" w:lineRule="auto"/>
            </w:pPr>
            <w:r/>
            <w:r>
              <w:rPr>
                <w:rFonts w:ascii="Arial" w:hAnsi="Arial"/>
                <w:b w:val="0"/>
                <w:sz w:val="16"/>
              </w:rPr>
              <w:t>OAuth status reports configured Google and LinkedIn providers without starting login</w:t>
            </w:r>
          </w:p>
        </w:tc>
        <w:tc>
          <w:tcPr>
            <w:tcW w:type="dxa" w:w="2340"/>
            <w:vAlign w:val="center"/>
          </w:tcPr>
          <w:p>
            <w:pPr>
              <w:spacing w:line="276" w:lineRule="auto"/>
            </w:pPr>
            <w:r/>
            <w:r>
              <w:rPr>
                <w:rFonts w:ascii="Arial" w:hAnsi="Arial"/>
                <w:b w:val="0"/>
                <w:sz w:val="16"/>
              </w:rPr>
              <w:t>Pass</w:t>
            </w:r>
          </w:p>
        </w:tc>
      </w:tr>
      <w:tr>
        <w:tc>
          <w:tcPr>
            <w:tcW w:type="dxa" w:w="2340"/>
            <w:vAlign w:val="center"/>
          </w:tcPr>
          <w:p>
            <w:pPr>
              <w:spacing w:line="276" w:lineRule="auto"/>
            </w:pPr>
            <w:r/>
            <w:r>
              <w:rPr>
                <w:rFonts w:ascii="Arial" w:hAnsi="Arial"/>
                <w:b w:val="0"/>
                <w:sz w:val="16"/>
              </w:rPr>
              <w:t>T3</w:t>
            </w:r>
          </w:p>
        </w:tc>
        <w:tc>
          <w:tcPr>
            <w:tcW w:type="dxa" w:w="2340"/>
            <w:vAlign w:val="center"/>
          </w:tcPr>
          <w:p>
            <w:pPr>
              <w:spacing w:line="276" w:lineRule="auto"/>
            </w:pPr>
            <w:r/>
            <w:r>
              <w:rPr>
                <w:rFonts w:ascii="Arial" w:hAnsi="Arial"/>
                <w:b w:val="0"/>
                <w:sz w:val="16"/>
              </w:rPr>
              <w:t>backend/tests/app.test.js</w:t>
            </w:r>
          </w:p>
        </w:tc>
        <w:tc>
          <w:tcPr>
            <w:tcW w:type="dxa" w:w="2340"/>
            <w:vAlign w:val="center"/>
          </w:tcPr>
          <w:p>
            <w:pPr>
              <w:spacing w:line="276" w:lineRule="auto"/>
            </w:pPr>
            <w:r/>
            <w:r>
              <w:rPr>
                <w:rFonts w:ascii="Arial" w:hAnsi="Arial"/>
                <w:b w:val="0"/>
                <w:sz w:val="16"/>
              </w:rPr>
              <w:t>Incomplete trust measurement submissions are rejected</w:t>
            </w:r>
          </w:p>
        </w:tc>
        <w:tc>
          <w:tcPr>
            <w:tcW w:type="dxa" w:w="2340"/>
            <w:vAlign w:val="center"/>
          </w:tcPr>
          <w:p>
            <w:pPr>
              <w:spacing w:line="276" w:lineRule="auto"/>
            </w:pPr>
            <w:r/>
            <w:r>
              <w:rPr>
                <w:rFonts w:ascii="Arial" w:hAnsi="Arial"/>
                <w:b w:val="0"/>
                <w:sz w:val="16"/>
              </w:rPr>
              <w:t>Pass</w:t>
            </w:r>
          </w:p>
        </w:tc>
      </w:tr>
      <w:tr>
        <w:tc>
          <w:tcPr>
            <w:tcW w:type="dxa" w:w="2340"/>
            <w:vAlign w:val="center"/>
          </w:tcPr>
          <w:p>
            <w:pPr>
              <w:spacing w:line="276" w:lineRule="auto"/>
            </w:pPr>
            <w:r/>
            <w:r>
              <w:rPr>
                <w:rFonts w:ascii="Arial" w:hAnsi="Arial"/>
                <w:b w:val="0"/>
                <w:sz w:val="16"/>
              </w:rPr>
              <w:t>T4</w:t>
            </w:r>
          </w:p>
        </w:tc>
        <w:tc>
          <w:tcPr>
            <w:tcW w:type="dxa" w:w="2340"/>
            <w:vAlign w:val="center"/>
          </w:tcPr>
          <w:p>
            <w:pPr>
              <w:spacing w:line="276" w:lineRule="auto"/>
            </w:pPr>
            <w:r/>
            <w:r>
              <w:rPr>
                <w:rFonts w:ascii="Arial" w:hAnsi="Arial"/>
                <w:b w:val="0"/>
                <w:sz w:val="16"/>
              </w:rPr>
              <w:t>backend/tests/app.test.js</w:t>
            </w:r>
          </w:p>
        </w:tc>
        <w:tc>
          <w:tcPr>
            <w:tcW w:type="dxa" w:w="2340"/>
            <w:vAlign w:val="center"/>
          </w:tcPr>
          <w:p>
            <w:pPr>
              <w:spacing w:line="276" w:lineRule="auto"/>
            </w:pPr>
            <w:r/>
            <w:r>
              <w:rPr>
                <w:rFonts w:ascii="Arial" w:hAnsi="Arial"/>
                <w:b w:val="0"/>
                <w:sz w:val="16"/>
              </w:rPr>
              <w:t>Explicit PILOT participant codes are accepted at consent and flagged</w:t>
            </w:r>
          </w:p>
        </w:tc>
        <w:tc>
          <w:tcPr>
            <w:tcW w:type="dxa" w:w="2340"/>
            <w:vAlign w:val="center"/>
          </w:tcPr>
          <w:p>
            <w:pPr>
              <w:spacing w:line="276" w:lineRule="auto"/>
            </w:pPr>
            <w:r/>
            <w:r>
              <w:rPr>
                <w:rFonts w:ascii="Arial" w:hAnsi="Arial"/>
                <w:b w:val="0"/>
                <w:sz w:val="16"/>
              </w:rPr>
              <w:t>Pass</w:t>
            </w:r>
          </w:p>
        </w:tc>
      </w:tr>
      <w:tr>
        <w:tc>
          <w:tcPr>
            <w:tcW w:type="dxa" w:w="2340"/>
            <w:vAlign w:val="center"/>
          </w:tcPr>
          <w:p>
            <w:pPr>
              <w:spacing w:line="276" w:lineRule="auto"/>
            </w:pPr>
            <w:r/>
            <w:r>
              <w:rPr>
                <w:rFonts w:ascii="Arial" w:hAnsi="Arial"/>
                <w:b w:val="0"/>
                <w:sz w:val="16"/>
              </w:rPr>
              <w:t>T5</w:t>
            </w:r>
          </w:p>
        </w:tc>
        <w:tc>
          <w:tcPr>
            <w:tcW w:type="dxa" w:w="2340"/>
            <w:vAlign w:val="center"/>
          </w:tcPr>
          <w:p>
            <w:pPr>
              <w:spacing w:line="276" w:lineRule="auto"/>
            </w:pPr>
            <w:r/>
            <w:r>
              <w:rPr>
                <w:rFonts w:ascii="Arial" w:hAnsi="Arial"/>
                <w:b w:val="0"/>
                <w:sz w:val="16"/>
              </w:rPr>
              <w:t>backend/tests/app.test.js</w:t>
            </w:r>
          </w:p>
        </w:tc>
        <w:tc>
          <w:tcPr>
            <w:tcW w:type="dxa" w:w="2340"/>
            <w:vAlign w:val="center"/>
          </w:tcPr>
          <w:p>
            <w:pPr>
              <w:spacing w:line="276" w:lineRule="auto"/>
            </w:pPr>
            <w:r/>
            <w:r>
              <w:rPr>
                <w:rFonts w:ascii="Arial" w:hAnsi="Arial"/>
                <w:b w:val="0"/>
                <w:sz w:val="16"/>
              </w:rPr>
              <w:t>Pilot status is stored directly on trust_measurements</w:t>
            </w:r>
          </w:p>
        </w:tc>
        <w:tc>
          <w:tcPr>
            <w:tcW w:type="dxa" w:w="2340"/>
            <w:vAlign w:val="center"/>
          </w:tcPr>
          <w:p>
            <w:pPr>
              <w:spacing w:line="276" w:lineRule="auto"/>
            </w:pPr>
            <w:r/>
            <w:r>
              <w:rPr>
                <w:rFonts w:ascii="Arial" w:hAnsi="Arial"/>
                <w:b w:val="0"/>
                <w:sz w:val="16"/>
              </w:rPr>
              <w:t>Pass</w:t>
            </w:r>
          </w:p>
        </w:tc>
      </w:tr>
      <w:tr>
        <w:tc>
          <w:tcPr>
            <w:tcW w:type="dxa" w:w="2340"/>
            <w:vAlign w:val="center"/>
          </w:tcPr>
          <w:p>
            <w:pPr>
              <w:spacing w:line="276" w:lineRule="auto"/>
            </w:pPr>
            <w:r/>
            <w:r>
              <w:rPr>
                <w:rFonts w:ascii="Arial" w:hAnsi="Arial"/>
                <w:b w:val="0"/>
                <w:sz w:val="16"/>
              </w:rPr>
              <w:t>T6</w:t>
            </w:r>
          </w:p>
        </w:tc>
        <w:tc>
          <w:tcPr>
            <w:tcW w:type="dxa" w:w="2340"/>
            <w:vAlign w:val="center"/>
          </w:tcPr>
          <w:p>
            <w:pPr>
              <w:spacing w:line="276" w:lineRule="auto"/>
            </w:pPr>
            <w:r/>
            <w:r>
              <w:rPr>
                <w:rFonts w:ascii="Arial" w:hAnsi="Arial"/>
                <w:b w:val="0"/>
                <w:sz w:val="16"/>
              </w:rPr>
              <w:t>backend/tests/app.test.js</w:t>
            </w:r>
          </w:p>
        </w:tc>
        <w:tc>
          <w:tcPr>
            <w:tcW w:type="dxa" w:w="2340"/>
            <w:vAlign w:val="center"/>
          </w:tcPr>
          <w:p>
            <w:pPr>
              <w:spacing w:line="276" w:lineRule="auto"/>
            </w:pPr>
            <w:r/>
            <w:r>
              <w:rPr>
                <w:rFonts w:ascii="Arial" w:hAnsi="Arial"/>
                <w:b w:val="0"/>
                <w:sz w:val="16"/>
              </w:rPr>
              <w:t>Research export excludes pilot rows unless include_pilot=true</w:t>
            </w:r>
          </w:p>
        </w:tc>
        <w:tc>
          <w:tcPr>
            <w:tcW w:type="dxa" w:w="2340"/>
            <w:vAlign w:val="center"/>
          </w:tcPr>
          <w:p>
            <w:pPr>
              <w:spacing w:line="276" w:lineRule="auto"/>
            </w:pPr>
            <w:r/>
            <w:r>
              <w:rPr>
                <w:rFonts w:ascii="Arial" w:hAnsi="Arial"/>
                <w:b w:val="0"/>
                <w:sz w:val="16"/>
              </w:rPr>
              <w:t>Pass</w:t>
            </w:r>
          </w:p>
        </w:tc>
      </w:tr>
      <w:tr>
        <w:tc>
          <w:tcPr>
            <w:tcW w:type="dxa" w:w="2340"/>
            <w:vAlign w:val="center"/>
          </w:tcPr>
          <w:p>
            <w:pPr>
              <w:spacing w:line="276" w:lineRule="auto"/>
            </w:pPr>
            <w:r/>
            <w:r>
              <w:rPr>
                <w:rFonts w:ascii="Arial" w:hAnsi="Arial"/>
                <w:b w:val="0"/>
                <w:sz w:val="16"/>
              </w:rPr>
              <w:t>T7</w:t>
            </w:r>
          </w:p>
        </w:tc>
        <w:tc>
          <w:tcPr>
            <w:tcW w:type="dxa" w:w="2340"/>
            <w:vAlign w:val="center"/>
          </w:tcPr>
          <w:p>
            <w:pPr>
              <w:spacing w:line="276" w:lineRule="auto"/>
            </w:pPr>
            <w:r/>
            <w:r>
              <w:rPr>
                <w:rFonts w:ascii="Arial" w:hAnsi="Arial"/>
                <w:b w:val="0"/>
                <w:sz w:val="16"/>
              </w:rPr>
              <w:t>backend/tests/app.test.js</w:t>
            </w:r>
          </w:p>
        </w:tc>
        <w:tc>
          <w:tcPr>
            <w:tcW w:type="dxa" w:w="2340"/>
            <w:vAlign w:val="center"/>
          </w:tcPr>
          <w:p>
            <w:pPr>
              <w:spacing w:line="276" w:lineRule="auto"/>
            </w:pPr>
            <w:r/>
            <w:r>
              <w:rPr>
                <w:rFonts w:ascii="Arial" w:hAnsi="Arial"/>
                <w:b w:val="0"/>
                <w:sz w:val="16"/>
              </w:rPr>
              <w:t>Review creation is rejected without a completed purchase request</w:t>
            </w:r>
          </w:p>
        </w:tc>
        <w:tc>
          <w:tcPr>
            <w:tcW w:type="dxa" w:w="2340"/>
            <w:vAlign w:val="center"/>
          </w:tcPr>
          <w:p>
            <w:pPr>
              <w:spacing w:line="276" w:lineRule="auto"/>
            </w:pPr>
            <w:r/>
            <w:r>
              <w:rPr>
                <w:rFonts w:ascii="Arial" w:hAnsi="Arial"/>
                <w:b w:val="0"/>
                <w:sz w:val="16"/>
              </w:rPr>
              <w:t>Pass</w:t>
            </w:r>
          </w:p>
        </w:tc>
      </w:tr>
      <w:tr>
        <w:tc>
          <w:tcPr>
            <w:tcW w:type="dxa" w:w="2340"/>
            <w:vAlign w:val="center"/>
          </w:tcPr>
          <w:p>
            <w:pPr>
              <w:spacing w:line="276" w:lineRule="auto"/>
            </w:pPr>
            <w:r/>
            <w:r>
              <w:rPr>
                <w:rFonts w:ascii="Arial" w:hAnsi="Arial"/>
                <w:b w:val="0"/>
                <w:sz w:val="16"/>
              </w:rPr>
              <w:t>T8</w:t>
            </w:r>
          </w:p>
        </w:tc>
        <w:tc>
          <w:tcPr>
            <w:tcW w:type="dxa" w:w="2340"/>
            <w:vAlign w:val="center"/>
          </w:tcPr>
          <w:p>
            <w:pPr>
              <w:spacing w:line="276" w:lineRule="auto"/>
            </w:pPr>
            <w:r/>
            <w:r>
              <w:rPr>
                <w:rFonts w:ascii="Arial" w:hAnsi="Arial"/>
                <w:b w:val="0"/>
                <w:sz w:val="16"/>
              </w:rPr>
              <w:t>backend/tests/app.test.js</w:t>
            </w:r>
          </w:p>
        </w:tc>
        <w:tc>
          <w:tcPr>
            <w:tcW w:type="dxa" w:w="2340"/>
            <w:vAlign w:val="center"/>
          </w:tcPr>
          <w:p>
            <w:pPr>
              <w:spacing w:line="276" w:lineRule="auto"/>
            </w:pPr>
            <w:r/>
            <w:r>
              <w:rPr>
                <w:rFonts w:ascii="Arial" w:hAnsi="Arial"/>
                <w:b w:val="0"/>
                <w:sz w:val="16"/>
              </w:rPr>
              <w:t>Social verification start requests validate required profile evidence before DB access</w:t>
            </w:r>
          </w:p>
        </w:tc>
        <w:tc>
          <w:tcPr>
            <w:tcW w:type="dxa" w:w="2340"/>
            <w:vAlign w:val="center"/>
          </w:tcPr>
          <w:p>
            <w:pPr>
              <w:spacing w:line="276" w:lineRule="auto"/>
            </w:pPr>
            <w:r/>
            <w:r>
              <w:rPr>
                <w:rFonts w:ascii="Arial" w:hAnsi="Arial"/>
                <w:b w:val="0"/>
                <w:sz w:val="16"/>
              </w:rPr>
              <w:t>Pass</w:t>
            </w:r>
          </w:p>
        </w:tc>
      </w:tr>
      <w:tr>
        <w:tc>
          <w:tcPr>
            <w:tcW w:type="dxa" w:w="2340"/>
            <w:vAlign w:val="center"/>
          </w:tcPr>
          <w:p>
            <w:pPr>
              <w:spacing w:line="276" w:lineRule="auto"/>
            </w:pPr>
            <w:r/>
            <w:r>
              <w:rPr>
                <w:rFonts w:ascii="Arial" w:hAnsi="Arial"/>
                <w:b w:val="0"/>
                <w:sz w:val="16"/>
              </w:rPr>
              <w:t>T9</w:t>
            </w:r>
          </w:p>
        </w:tc>
        <w:tc>
          <w:tcPr>
            <w:tcW w:type="dxa" w:w="2340"/>
            <w:vAlign w:val="center"/>
          </w:tcPr>
          <w:p>
            <w:pPr>
              <w:spacing w:line="276" w:lineRule="auto"/>
            </w:pPr>
            <w:r/>
            <w:r>
              <w:rPr>
                <w:rFonts w:ascii="Arial" w:hAnsi="Arial"/>
                <w:b w:val="0"/>
                <w:sz w:val="16"/>
              </w:rPr>
              <w:t>backend/tests/app.test.js</w:t>
            </w:r>
          </w:p>
        </w:tc>
        <w:tc>
          <w:tcPr>
            <w:tcW w:type="dxa" w:w="2340"/>
            <w:vAlign w:val="center"/>
          </w:tcPr>
          <w:p>
            <w:pPr>
              <w:spacing w:line="276" w:lineRule="auto"/>
            </w:pPr>
            <w:r/>
            <w:r>
              <w:rPr>
                <w:rFonts w:ascii="Arial" w:hAnsi="Arial"/>
                <w:b w:val="0"/>
                <w:sz w:val="16"/>
              </w:rPr>
              <w:t>Participant code is passed into listing queries for mutual-connection lookup</w:t>
            </w:r>
          </w:p>
        </w:tc>
        <w:tc>
          <w:tcPr>
            <w:tcW w:type="dxa" w:w="2340"/>
            <w:vAlign w:val="center"/>
          </w:tcPr>
          <w:p>
            <w:pPr>
              <w:spacing w:line="276" w:lineRule="auto"/>
            </w:pPr>
            <w:r/>
            <w:r>
              <w:rPr>
                <w:rFonts w:ascii="Arial" w:hAnsi="Arial"/>
                <w:b w:val="0"/>
                <w:sz w:val="16"/>
              </w:rPr>
              <w:t>Pass</w:t>
            </w:r>
          </w:p>
        </w:tc>
      </w:tr>
      <w:tr>
        <w:tc>
          <w:tcPr>
            <w:tcW w:type="dxa" w:w="2340"/>
            <w:vAlign w:val="center"/>
          </w:tcPr>
          <w:p>
            <w:pPr>
              <w:spacing w:line="276" w:lineRule="auto"/>
            </w:pPr>
            <w:r/>
            <w:r>
              <w:rPr>
                <w:rFonts w:ascii="Arial" w:hAnsi="Arial"/>
                <w:b w:val="0"/>
                <w:sz w:val="16"/>
              </w:rPr>
              <w:t>T10</w:t>
            </w:r>
          </w:p>
        </w:tc>
        <w:tc>
          <w:tcPr>
            <w:tcW w:type="dxa" w:w="2340"/>
            <w:vAlign w:val="center"/>
          </w:tcPr>
          <w:p>
            <w:pPr>
              <w:spacing w:line="276" w:lineRule="auto"/>
            </w:pPr>
            <w:r/>
            <w:r>
              <w:rPr>
                <w:rFonts w:ascii="Arial" w:hAnsi="Arial"/>
                <w:b w:val="0"/>
                <w:sz w:val="16"/>
              </w:rPr>
              <w:t>frontend/src/components/ConsentScreen.test.jsx</w:t>
            </w:r>
          </w:p>
        </w:tc>
        <w:tc>
          <w:tcPr>
            <w:tcW w:type="dxa" w:w="2340"/>
            <w:vAlign w:val="center"/>
          </w:tcPr>
          <w:p>
            <w:pPr>
              <w:spacing w:line="276" w:lineRule="auto"/>
            </w:pPr>
            <w:r/>
            <w:r>
              <w:rPr>
                <w:rFonts w:ascii="Arial" w:hAnsi="Arial"/>
                <w:b w:val="0"/>
                <w:sz w:val="16"/>
              </w:rPr>
              <w:t>Consent screen explains optional OAuth without blocking the study</w:t>
            </w:r>
          </w:p>
        </w:tc>
        <w:tc>
          <w:tcPr>
            <w:tcW w:type="dxa" w:w="2340"/>
            <w:vAlign w:val="center"/>
          </w:tcPr>
          <w:p>
            <w:pPr>
              <w:spacing w:line="276" w:lineRule="auto"/>
            </w:pPr>
            <w:r/>
            <w:r>
              <w:rPr>
                <w:rFonts w:ascii="Arial" w:hAnsi="Arial"/>
                <w:b w:val="0"/>
                <w:sz w:val="16"/>
              </w:rPr>
              <w:t>Pass</w:t>
            </w:r>
          </w:p>
        </w:tc>
      </w:tr>
      <w:tr>
        <w:tc>
          <w:tcPr>
            <w:tcW w:type="dxa" w:w="2340"/>
            <w:vAlign w:val="center"/>
          </w:tcPr>
          <w:p>
            <w:pPr>
              <w:spacing w:line="276" w:lineRule="auto"/>
            </w:pPr>
            <w:r/>
            <w:r>
              <w:rPr>
                <w:rFonts w:ascii="Arial" w:hAnsi="Arial"/>
                <w:b w:val="0"/>
                <w:sz w:val="16"/>
              </w:rPr>
              <w:t>T11</w:t>
            </w:r>
          </w:p>
        </w:tc>
        <w:tc>
          <w:tcPr>
            <w:tcW w:type="dxa" w:w="2340"/>
            <w:vAlign w:val="center"/>
          </w:tcPr>
          <w:p>
            <w:pPr>
              <w:spacing w:line="276" w:lineRule="auto"/>
            </w:pPr>
            <w:r/>
            <w:r>
              <w:rPr>
                <w:rFonts w:ascii="Arial" w:hAnsi="Arial"/>
                <w:b w:val="0"/>
                <w:sz w:val="16"/>
              </w:rPr>
              <w:t>frontend/src/components/ConsentScreen.test.jsx</w:t>
            </w:r>
          </w:p>
        </w:tc>
        <w:tc>
          <w:tcPr>
            <w:tcW w:type="dxa" w:w="2340"/>
            <w:vAlign w:val="center"/>
          </w:tcPr>
          <w:p>
            <w:pPr>
              <w:spacing w:line="276" w:lineRule="auto"/>
            </w:pPr>
            <w:r/>
            <w:r>
              <w:rPr>
                <w:rFonts w:ascii="Arial" w:hAnsi="Arial"/>
                <w:b w:val="0"/>
                <w:sz w:val="16"/>
              </w:rPr>
              <w:t>Consent screen has no obvious automated accessibility violations</w:t>
            </w:r>
          </w:p>
        </w:tc>
        <w:tc>
          <w:tcPr>
            <w:tcW w:type="dxa" w:w="2340"/>
            <w:vAlign w:val="center"/>
          </w:tcPr>
          <w:p>
            <w:pPr>
              <w:spacing w:line="276" w:lineRule="auto"/>
            </w:pPr>
            <w:r/>
            <w:r>
              <w:rPr>
                <w:rFonts w:ascii="Arial" w:hAnsi="Arial"/>
                <w:b w:val="0"/>
                <w:sz w:val="16"/>
              </w:rPr>
              <w:t>Pass</w:t>
            </w:r>
          </w:p>
        </w:tc>
      </w:tr>
      <w:tr>
        <w:tc>
          <w:tcPr>
            <w:tcW w:type="dxa" w:w="2340"/>
            <w:vAlign w:val="center"/>
          </w:tcPr>
          <w:p>
            <w:pPr>
              <w:spacing w:line="276" w:lineRule="auto"/>
            </w:pPr>
            <w:r/>
            <w:r>
              <w:rPr>
                <w:rFonts w:ascii="Arial" w:hAnsi="Arial"/>
                <w:b w:val="0"/>
                <w:sz w:val="16"/>
              </w:rPr>
              <w:t>T12</w:t>
            </w:r>
          </w:p>
        </w:tc>
        <w:tc>
          <w:tcPr>
            <w:tcW w:type="dxa" w:w="2340"/>
            <w:vAlign w:val="center"/>
          </w:tcPr>
          <w:p>
            <w:pPr>
              <w:spacing w:line="276" w:lineRule="auto"/>
            </w:pPr>
            <w:r/>
            <w:r>
              <w:rPr>
                <w:rFonts w:ascii="Arial" w:hAnsi="Arial"/>
                <w:b w:val="0"/>
                <w:sz w:val="16"/>
              </w:rPr>
              <w:t>frontend/src/components/DebriefScreen.test.jsx</w:t>
            </w:r>
          </w:p>
        </w:tc>
        <w:tc>
          <w:tcPr>
            <w:tcW w:type="dxa" w:w="2340"/>
            <w:vAlign w:val="center"/>
          </w:tcPr>
          <w:p>
            <w:pPr>
              <w:spacing w:line="276" w:lineRule="auto"/>
            </w:pPr>
            <w:r/>
            <w:r>
              <w:rPr>
                <w:rFonts w:ascii="Arial" w:hAnsi="Arial"/>
                <w:b w:val="0"/>
                <w:sz w:val="16"/>
              </w:rPr>
              <w:t>Debrief directs participants to the post-task survey with participant code</w:t>
            </w:r>
          </w:p>
        </w:tc>
        <w:tc>
          <w:tcPr>
            <w:tcW w:type="dxa" w:w="2340"/>
            <w:vAlign w:val="center"/>
          </w:tcPr>
          <w:p>
            <w:pPr>
              <w:spacing w:line="276" w:lineRule="auto"/>
            </w:pPr>
            <w:r/>
            <w:r>
              <w:rPr>
                <w:rFonts w:ascii="Arial" w:hAnsi="Arial"/>
                <w:b w:val="0"/>
                <w:sz w:val="16"/>
              </w:rPr>
              <w:t>Pass</w:t>
            </w:r>
          </w:p>
        </w:tc>
      </w:tr>
      <w:tr>
        <w:tc>
          <w:tcPr>
            <w:tcW w:type="dxa" w:w="2340"/>
            <w:vAlign w:val="center"/>
          </w:tcPr>
          <w:p>
            <w:pPr>
              <w:spacing w:line="276" w:lineRule="auto"/>
            </w:pPr>
            <w:r/>
            <w:r>
              <w:rPr>
                <w:rFonts w:ascii="Arial" w:hAnsi="Arial"/>
                <w:b w:val="0"/>
                <w:sz w:val="16"/>
              </w:rPr>
              <w:t>T13</w:t>
            </w:r>
          </w:p>
        </w:tc>
        <w:tc>
          <w:tcPr>
            <w:tcW w:type="dxa" w:w="2340"/>
            <w:vAlign w:val="center"/>
          </w:tcPr>
          <w:p>
            <w:pPr>
              <w:spacing w:line="276" w:lineRule="auto"/>
            </w:pPr>
            <w:r/>
            <w:r>
              <w:rPr>
                <w:rFonts w:ascii="Arial" w:hAnsi="Arial"/>
                <w:b w:val="0"/>
                <w:sz w:val="16"/>
              </w:rPr>
              <w:t>frontend/src/components/DebriefScreen.test.jsx</w:t>
            </w:r>
          </w:p>
        </w:tc>
        <w:tc>
          <w:tcPr>
            <w:tcW w:type="dxa" w:w="2340"/>
            <w:vAlign w:val="center"/>
          </w:tcPr>
          <w:p>
            <w:pPr>
              <w:spacing w:line="276" w:lineRule="auto"/>
            </w:pPr>
            <w:r/>
            <w:r>
              <w:rPr>
                <w:rFonts w:ascii="Arial" w:hAnsi="Arial"/>
                <w:b w:val="0"/>
                <w:sz w:val="16"/>
              </w:rPr>
              <w:t>Survey link URL-encodes participant codes</w:t>
            </w:r>
          </w:p>
        </w:tc>
        <w:tc>
          <w:tcPr>
            <w:tcW w:type="dxa" w:w="2340"/>
            <w:vAlign w:val="center"/>
          </w:tcPr>
          <w:p>
            <w:pPr>
              <w:spacing w:line="276" w:lineRule="auto"/>
            </w:pPr>
            <w:r/>
            <w:r>
              <w:rPr>
                <w:rFonts w:ascii="Arial" w:hAnsi="Arial"/>
                <w:b w:val="0"/>
                <w:sz w:val="16"/>
              </w:rPr>
              <w:t>Pass</w:t>
            </w:r>
          </w:p>
        </w:tc>
      </w:tr>
      <w:tr>
        <w:tc>
          <w:tcPr>
            <w:tcW w:type="dxa" w:w="2340"/>
            <w:vAlign w:val="center"/>
          </w:tcPr>
          <w:p>
            <w:pPr>
              <w:spacing w:line="276" w:lineRule="auto"/>
            </w:pPr>
            <w:r/>
            <w:r>
              <w:rPr>
                <w:rFonts w:ascii="Arial" w:hAnsi="Arial"/>
                <w:b w:val="0"/>
                <w:sz w:val="16"/>
              </w:rPr>
              <w:t>T14</w:t>
            </w:r>
          </w:p>
        </w:tc>
        <w:tc>
          <w:tcPr>
            <w:tcW w:type="dxa" w:w="2340"/>
            <w:vAlign w:val="center"/>
          </w:tcPr>
          <w:p>
            <w:pPr>
              <w:spacing w:line="276" w:lineRule="auto"/>
            </w:pPr>
            <w:r/>
            <w:r>
              <w:rPr>
                <w:rFonts w:ascii="Arial" w:hAnsi="Arial"/>
                <w:b w:val="0"/>
                <w:sz w:val="16"/>
              </w:rPr>
              <w:t>frontend/src/components/DebriefScreen.test.jsx</w:t>
            </w:r>
          </w:p>
        </w:tc>
        <w:tc>
          <w:tcPr>
            <w:tcW w:type="dxa" w:w="2340"/>
            <w:vAlign w:val="center"/>
          </w:tcPr>
          <w:p>
            <w:pPr>
              <w:spacing w:line="276" w:lineRule="auto"/>
            </w:pPr>
            <w:r/>
            <w:r>
              <w:rPr>
                <w:rFonts w:ascii="Arial" w:hAnsi="Arial"/>
                <w:b w:val="0"/>
                <w:sz w:val="16"/>
              </w:rPr>
              <w:t>Debrief screen has no obvious automated accessibility violations</w:t>
            </w:r>
          </w:p>
        </w:tc>
        <w:tc>
          <w:tcPr>
            <w:tcW w:type="dxa" w:w="2340"/>
            <w:vAlign w:val="center"/>
          </w:tcPr>
          <w:p>
            <w:pPr>
              <w:spacing w:line="276" w:lineRule="auto"/>
            </w:pPr>
            <w:r/>
            <w:r>
              <w:rPr>
                <w:rFonts w:ascii="Arial" w:hAnsi="Arial"/>
                <w:b w:val="0"/>
                <w:sz w:val="16"/>
              </w:rPr>
              <w:t>Pass</w:t>
            </w:r>
          </w:p>
        </w:tc>
      </w:tr>
      <w:tr>
        <w:tc>
          <w:tcPr>
            <w:tcW w:type="dxa" w:w="2340"/>
            <w:vAlign w:val="center"/>
          </w:tcPr>
          <w:p>
            <w:pPr>
              <w:spacing w:line="276" w:lineRule="auto"/>
            </w:pPr>
            <w:r/>
            <w:r>
              <w:rPr>
                <w:rFonts w:ascii="Arial" w:hAnsi="Arial"/>
                <w:b w:val="0"/>
                <w:sz w:val="16"/>
              </w:rPr>
              <w:t>T15</w:t>
            </w:r>
          </w:p>
        </w:tc>
        <w:tc>
          <w:tcPr>
            <w:tcW w:type="dxa" w:w="2340"/>
            <w:vAlign w:val="center"/>
          </w:tcPr>
          <w:p>
            <w:pPr>
              <w:spacing w:line="276" w:lineRule="auto"/>
            </w:pPr>
            <w:r/>
            <w:r>
              <w:rPr>
                <w:rFonts w:ascii="Arial" w:hAnsi="Arial"/>
                <w:b w:val="0"/>
                <w:sz w:val="16"/>
              </w:rPr>
              <w:t>frontend/src/lib/listingPresentation.test.js</w:t>
            </w:r>
          </w:p>
        </w:tc>
        <w:tc>
          <w:tcPr>
            <w:tcW w:type="dxa" w:w="2340"/>
            <w:vAlign w:val="center"/>
          </w:tcPr>
          <w:p>
            <w:pPr>
              <w:spacing w:line="276" w:lineRule="auto"/>
            </w:pPr>
            <w:r/>
            <w:r>
              <w:rPr>
                <w:rFonts w:ascii="Arial" w:hAnsi="Arial"/>
                <w:b w:val="0"/>
                <w:sz w:val="16"/>
              </w:rPr>
              <w:t>Marketplace price and UK size copy are formatted consistently</w:t>
            </w:r>
          </w:p>
        </w:tc>
        <w:tc>
          <w:tcPr>
            <w:tcW w:type="dxa" w:w="2340"/>
            <w:vAlign w:val="center"/>
          </w:tcPr>
          <w:p>
            <w:pPr>
              <w:spacing w:line="276" w:lineRule="auto"/>
            </w:pPr>
            <w:r/>
            <w:r>
              <w:rPr>
                <w:rFonts w:ascii="Arial" w:hAnsi="Arial"/>
                <w:b w:val="0"/>
                <w:sz w:val="16"/>
              </w:rPr>
              <w:t>Pass</w:t>
            </w:r>
          </w:p>
        </w:tc>
      </w:tr>
      <w:tr>
        <w:tc>
          <w:tcPr>
            <w:tcW w:type="dxa" w:w="2340"/>
            <w:vAlign w:val="center"/>
          </w:tcPr>
          <w:p>
            <w:pPr>
              <w:spacing w:line="276" w:lineRule="auto"/>
            </w:pPr>
            <w:r/>
            <w:r>
              <w:rPr>
                <w:rFonts w:ascii="Arial" w:hAnsi="Arial"/>
                <w:b w:val="0"/>
                <w:sz w:val="16"/>
              </w:rPr>
              <w:t>T16</w:t>
            </w:r>
          </w:p>
        </w:tc>
        <w:tc>
          <w:tcPr>
            <w:tcW w:type="dxa" w:w="2340"/>
            <w:vAlign w:val="center"/>
          </w:tcPr>
          <w:p>
            <w:pPr>
              <w:spacing w:line="276" w:lineRule="auto"/>
            </w:pPr>
            <w:r/>
            <w:r>
              <w:rPr>
                <w:rFonts w:ascii="Arial" w:hAnsi="Arial"/>
                <w:b w:val="0"/>
                <w:sz w:val="16"/>
              </w:rPr>
              <w:t>frontend/src/lib/listingPresentation.test.js</w:t>
            </w:r>
          </w:p>
        </w:tc>
        <w:tc>
          <w:tcPr>
            <w:tcW w:type="dxa" w:w="2340"/>
            <w:vAlign w:val="center"/>
          </w:tcPr>
          <w:p>
            <w:pPr>
              <w:spacing w:line="276" w:lineRule="auto"/>
            </w:pPr>
            <w:r/>
            <w:r>
              <w:rPr>
                <w:rFonts w:ascii="Arial" w:hAnsi="Arial"/>
                <w:b w:val="0"/>
                <w:sz w:val="16"/>
              </w:rPr>
              <w:t>Google and LinkedIn account anchoring is described without overstating trust</w:t>
            </w:r>
          </w:p>
        </w:tc>
        <w:tc>
          <w:tcPr>
            <w:tcW w:type="dxa" w:w="2340"/>
            <w:vAlign w:val="center"/>
          </w:tcPr>
          <w:p>
            <w:pPr>
              <w:spacing w:line="276" w:lineRule="auto"/>
            </w:pPr>
            <w:r/>
            <w:r>
              <w:rPr>
                <w:rFonts w:ascii="Arial" w:hAnsi="Arial"/>
                <w:b w:val="0"/>
                <w:sz w:val="16"/>
              </w:rPr>
              <w:t>Pass</w:t>
            </w:r>
          </w:p>
        </w:tc>
      </w:tr>
      <w:tr>
        <w:tc>
          <w:tcPr>
            <w:tcW w:type="dxa" w:w="2340"/>
            <w:vAlign w:val="center"/>
          </w:tcPr>
          <w:p>
            <w:pPr>
              <w:spacing w:line="276" w:lineRule="auto"/>
            </w:pPr>
            <w:r/>
            <w:r>
              <w:rPr>
                <w:rFonts w:ascii="Arial" w:hAnsi="Arial"/>
                <w:b w:val="0"/>
                <w:sz w:val="16"/>
              </w:rPr>
              <w:t>T17</w:t>
            </w:r>
          </w:p>
        </w:tc>
        <w:tc>
          <w:tcPr>
            <w:tcW w:type="dxa" w:w="2340"/>
            <w:vAlign w:val="center"/>
          </w:tcPr>
          <w:p>
            <w:pPr>
              <w:spacing w:line="276" w:lineRule="auto"/>
            </w:pPr>
            <w:r/>
            <w:r>
              <w:rPr>
                <w:rFonts w:ascii="Arial" w:hAnsi="Arial"/>
                <w:b w:val="0"/>
                <w:sz w:val="16"/>
              </w:rPr>
              <w:t>frontend/src/lib/listingPresentation.test.js</w:t>
            </w:r>
          </w:p>
        </w:tc>
        <w:tc>
          <w:tcPr>
            <w:tcW w:type="dxa" w:w="2340"/>
            <w:vAlign w:val="center"/>
          </w:tcPr>
          <w:p>
            <w:pPr>
              <w:spacing w:line="276" w:lineRule="auto"/>
            </w:pPr>
            <w:r/>
            <w:r>
              <w:rPr>
                <w:rFonts w:ascii="Arial" w:hAnsi="Arial"/>
                <w:b w:val="0"/>
                <w:sz w:val="16"/>
              </w:rPr>
              <w:t>Database-backed mutual connections override fallback social data</w:t>
            </w:r>
          </w:p>
        </w:tc>
        <w:tc>
          <w:tcPr>
            <w:tcW w:type="dxa" w:w="2340"/>
            <w:vAlign w:val="center"/>
          </w:tcPr>
          <w:p>
            <w:pPr>
              <w:spacing w:line="276" w:lineRule="auto"/>
            </w:pPr>
            <w:r/>
            <w:r>
              <w:rPr>
                <w:rFonts w:ascii="Arial" w:hAnsi="Arial"/>
                <w:b w:val="0"/>
                <w:sz w:val="16"/>
              </w:rPr>
              <w:t>Pass</w:t>
            </w:r>
          </w:p>
        </w:tc>
      </w:tr>
      <w:tr>
        <w:tc>
          <w:tcPr>
            <w:tcW w:type="dxa" w:w="2340"/>
            <w:vAlign w:val="center"/>
          </w:tcPr>
          <w:p>
            <w:pPr>
              <w:spacing w:line="276" w:lineRule="auto"/>
            </w:pPr>
            <w:r/>
            <w:r>
              <w:rPr>
                <w:rFonts w:ascii="Arial" w:hAnsi="Arial"/>
                <w:b w:val="0"/>
                <w:sz w:val="16"/>
              </w:rPr>
              <w:t>T18</w:t>
            </w:r>
          </w:p>
        </w:tc>
        <w:tc>
          <w:tcPr>
            <w:tcW w:type="dxa" w:w="2340"/>
            <w:vAlign w:val="center"/>
          </w:tcPr>
          <w:p>
            <w:pPr>
              <w:spacing w:line="276" w:lineRule="auto"/>
            </w:pPr>
            <w:r/>
            <w:r>
              <w:rPr>
                <w:rFonts w:ascii="Arial" w:hAnsi="Arial"/>
                <w:b w:val="0"/>
                <w:sz w:val="16"/>
              </w:rPr>
              <w:t>frontend/src/lib/listingPresentation.test.js</w:t>
            </w:r>
          </w:p>
        </w:tc>
        <w:tc>
          <w:tcPr>
            <w:tcW w:type="dxa" w:w="2340"/>
            <w:vAlign w:val="center"/>
          </w:tcPr>
          <w:p>
            <w:pPr>
              <w:spacing w:line="276" w:lineRule="auto"/>
            </w:pPr>
            <w:r/>
            <w:r>
              <w:rPr>
                <w:rFonts w:ascii="Arial" w:hAnsi="Arial"/>
                <w:b w:val="0"/>
                <w:sz w:val="16"/>
              </w:rPr>
              <w:t>Controlled badge stimuli stay attached to the seller handle when database IDs change</w:t>
            </w:r>
          </w:p>
        </w:tc>
        <w:tc>
          <w:tcPr>
            <w:tcW w:type="dxa" w:w="2340"/>
            <w:vAlign w:val="center"/>
          </w:tcPr>
          <w:p>
            <w:pPr>
              <w:spacing w:line="276" w:lineRule="auto"/>
            </w:pPr>
            <w:r/>
            <w:r>
              <w:rPr>
                <w:rFonts w:ascii="Arial" w:hAnsi="Arial"/>
                <w:b w:val="0"/>
                <w:sz w:val="16"/>
              </w:rPr>
              <w:t>Pass</w:t>
            </w:r>
          </w:p>
        </w:tc>
      </w:tr>
    </w:tbl>
    <w:p/>
    <w:p>
      <w:pPr>
        <w:spacing w:line="360" w:lineRule="auto"/>
      </w:pPr>
      <w:r>
        <w:rPr>
          <w:rFonts w:ascii="Arial" w:hAnsi="Arial"/>
          <w:sz w:val="24"/>
        </w:rPr>
        <w:t>Backend result: 1 file, 9/9 tests passing. Frontend result: 3 files, 9/9 tests passing. The frontend production build also completed successfully.</w:t>
      </w:r>
    </w:p>
    <w:p>
      <w:r>
        <w:drawing>
          <wp:inline xmlns:a="http://schemas.openxmlformats.org/drawingml/2006/main" xmlns:pic="http://schemas.openxmlformats.org/drawingml/2006/picture">
            <wp:extent cx="5852160" cy="3110702"/>
            <wp:docPr id="1" name="Picture 1"/>
            <wp:cNvGraphicFramePr>
              <a:graphicFrameLocks noChangeAspect="1"/>
            </wp:cNvGraphicFramePr>
            <a:graphic>
              <a:graphicData uri="http://schemas.openxmlformats.org/drawingml/2006/picture">
                <pic:pic>
                  <pic:nvPicPr>
                    <pic:cNvPr id="0" name="figure-D-1-automated-test-suite.png"/>
                    <pic:cNvPicPr/>
                  </pic:nvPicPr>
                  <pic:blipFill>
                    <a:blip r:embed="rId9"/>
                    <a:stretch>
                      <a:fillRect/>
                    </a:stretch>
                  </pic:blipFill>
                  <pic:spPr>
                    <a:xfrm>
                      <a:off x="0" y="0"/>
                      <a:ext cx="5852160" cy="3110702"/>
                    </a:xfrm>
                    <a:prstGeom prst="rect"/>
                  </pic:spPr>
                </pic:pic>
              </a:graphicData>
            </a:graphic>
          </wp:inline>
        </w:drawing>
      </w:r>
    </w:p>
    <w:p>
      <w:pPr>
        <w:jc w:val="center"/>
      </w:pPr>
      <w:r>
        <w:t>Figure D.1: Combined terminal evidence showing backend and frontend automated test suites passing.</w:t>
      </w:r>
    </w:p>
    <w:p>
      <w:r>
        <w:br w:type="page"/>
      </w:r>
    </w:p>
    <w:p>
      <w:pPr>
        <w:pStyle w:val="Heading1"/>
        <w:spacing w:line="360" w:lineRule="auto"/>
      </w:pPr>
      <w:r>
        <w:t>Appendix E — Code Availability</w:t>
      </w:r>
    </w:p>
    <w:p>
      <w:pPr>
        <w:spacing w:line="360" w:lineRule="auto"/>
      </w:pPr>
      <w:r>
        <w:rPr>
          <w:rFonts w:ascii="Arial" w:hAnsi="Arial"/>
          <w:sz w:val="24"/>
        </w:rPr>
        <w:t>The codebase is organised as a two-part web application: a React/Vite frontend and an Express/PostgreSQL backend. The submitted repository path used to generate this appendix was /Users/toksadekoya/Documents/New project/crepfinder-final.</w:t>
      </w:r>
    </w:p>
    <w:p>
      <w:pPr>
        <w:pStyle w:val="Heading2"/>
        <w:spacing w:line="360" w:lineRule="auto"/>
      </w:pPr>
      <w:r>
        <w:t>E.1 Repository Tree</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EDEDED"/>
            <w:vAlign w:val="center"/>
          </w:tcPr>
          <w:p>
            <w:pPr>
              <w:spacing w:line="276" w:lineRule="auto"/>
            </w:pPr>
            <w:r/>
            <w:r>
              <w:rPr>
                <w:rFonts w:ascii="Arial" w:hAnsi="Arial"/>
                <w:b/>
                <w:sz w:val="18"/>
              </w:rPr>
              <w:t>Path</w:t>
            </w:r>
          </w:p>
        </w:tc>
        <w:tc>
          <w:tcPr>
            <w:tcW w:type="dxa" w:w="4680"/>
            <w:shd w:fill="EDEDED"/>
            <w:vAlign w:val="center"/>
          </w:tcPr>
          <w:p>
            <w:pPr>
              <w:spacing w:line="276" w:lineRule="auto"/>
            </w:pPr>
            <w:r/>
            <w:r>
              <w:rPr>
                <w:rFonts w:ascii="Arial" w:hAnsi="Arial"/>
                <w:b/>
                <w:sz w:val="18"/>
              </w:rPr>
              <w:t>Annotation</w:t>
            </w:r>
          </w:p>
        </w:tc>
      </w:tr>
      <w:tr>
        <w:tc>
          <w:tcPr>
            <w:tcW w:type="dxa" w:w="4680"/>
            <w:vAlign w:val="center"/>
          </w:tcPr>
          <w:p>
            <w:pPr>
              <w:spacing w:line="276" w:lineRule="auto"/>
            </w:pPr>
            <w:r/>
            <w:r>
              <w:rPr>
                <w:rFonts w:ascii="Arial" w:hAnsi="Arial"/>
                <w:b w:val="0"/>
                <w:sz w:val="18"/>
              </w:rPr>
              <w:t>backend/</w:t>
            </w:r>
          </w:p>
        </w:tc>
        <w:tc>
          <w:tcPr>
            <w:tcW w:type="dxa" w:w="4680"/>
            <w:vAlign w:val="center"/>
          </w:tcPr>
          <w:p>
            <w:pPr>
              <w:spacing w:line="276" w:lineRule="auto"/>
            </w:pPr>
            <w:r/>
            <w:r>
              <w:rPr>
                <w:rFonts w:ascii="Arial" w:hAnsi="Arial"/>
                <w:b w:val="0"/>
                <w:sz w:val="18"/>
              </w:rPr>
              <w:t>Express API, database schema, seed script, routes and backend tests.</w:t>
            </w:r>
          </w:p>
        </w:tc>
      </w:tr>
      <w:tr>
        <w:tc>
          <w:tcPr>
            <w:tcW w:type="dxa" w:w="4680"/>
            <w:vAlign w:val="center"/>
          </w:tcPr>
          <w:p>
            <w:pPr>
              <w:spacing w:line="276" w:lineRule="auto"/>
            </w:pPr>
            <w:r/>
            <w:r>
              <w:rPr>
                <w:rFonts w:ascii="Arial" w:hAnsi="Arial"/>
                <w:b w:val="0"/>
                <w:sz w:val="18"/>
              </w:rPr>
              <w:t>backend/database/</w:t>
            </w:r>
          </w:p>
        </w:tc>
        <w:tc>
          <w:tcPr>
            <w:tcW w:type="dxa" w:w="4680"/>
            <w:vAlign w:val="center"/>
          </w:tcPr>
          <w:p>
            <w:pPr>
              <w:spacing w:line="276" w:lineRule="auto"/>
            </w:pPr>
            <w:r/>
            <w:r>
              <w:rPr>
                <w:rFonts w:ascii="Arial" w:hAnsi="Arial"/>
                <w:b w:val="0"/>
                <w:sz w:val="18"/>
              </w:rPr>
              <w:t>PostgreSQL schema, migration and seed data used for the controlled prototype state.</w:t>
            </w:r>
          </w:p>
        </w:tc>
      </w:tr>
      <w:tr>
        <w:tc>
          <w:tcPr>
            <w:tcW w:type="dxa" w:w="4680"/>
            <w:vAlign w:val="center"/>
          </w:tcPr>
          <w:p>
            <w:pPr>
              <w:spacing w:line="276" w:lineRule="auto"/>
            </w:pPr>
            <w:r/>
            <w:r>
              <w:rPr>
                <w:rFonts w:ascii="Arial" w:hAnsi="Arial"/>
                <w:b w:val="0"/>
                <w:sz w:val="18"/>
              </w:rPr>
              <w:t>backend/routes/</w:t>
            </w:r>
          </w:p>
        </w:tc>
        <w:tc>
          <w:tcPr>
            <w:tcW w:type="dxa" w:w="4680"/>
            <w:vAlign w:val="center"/>
          </w:tcPr>
          <w:p>
            <w:pPr>
              <w:spacing w:line="276" w:lineRule="auto"/>
            </w:pPr>
            <w:r/>
            <w:r>
              <w:rPr>
                <w:rFonts w:ascii="Arial" w:hAnsi="Arial"/>
                <w:b w:val="0"/>
                <w:sz w:val="18"/>
              </w:rPr>
              <w:t>API endpoints for listings, study consent, trust capture, research export, OAuth, reviews and messages.</w:t>
            </w:r>
          </w:p>
        </w:tc>
      </w:tr>
      <w:tr>
        <w:tc>
          <w:tcPr>
            <w:tcW w:type="dxa" w:w="4680"/>
            <w:vAlign w:val="center"/>
          </w:tcPr>
          <w:p>
            <w:pPr>
              <w:spacing w:line="276" w:lineRule="auto"/>
            </w:pPr>
            <w:r/>
            <w:r>
              <w:rPr>
                <w:rFonts w:ascii="Arial" w:hAnsi="Arial"/>
                <w:b w:val="0"/>
                <w:sz w:val="18"/>
              </w:rPr>
              <w:t>backend/tests/</w:t>
            </w:r>
          </w:p>
        </w:tc>
        <w:tc>
          <w:tcPr>
            <w:tcW w:type="dxa" w:w="4680"/>
            <w:vAlign w:val="center"/>
          </w:tcPr>
          <w:p>
            <w:pPr>
              <w:spacing w:line="276" w:lineRule="auto"/>
            </w:pPr>
            <w:r/>
            <w:r>
              <w:rPr>
                <w:rFonts w:ascii="Arial" w:hAnsi="Arial"/>
                <w:b w:val="0"/>
                <w:sz w:val="18"/>
              </w:rPr>
              <w:t>Vitest/Supertest API contract tests.</w:t>
            </w:r>
          </w:p>
        </w:tc>
      </w:tr>
      <w:tr>
        <w:tc>
          <w:tcPr>
            <w:tcW w:type="dxa" w:w="4680"/>
            <w:vAlign w:val="center"/>
          </w:tcPr>
          <w:p>
            <w:pPr>
              <w:spacing w:line="276" w:lineRule="auto"/>
            </w:pPr>
            <w:r/>
            <w:r>
              <w:rPr>
                <w:rFonts w:ascii="Arial" w:hAnsi="Arial"/>
                <w:b w:val="0"/>
                <w:sz w:val="18"/>
              </w:rPr>
              <w:t>frontend/</w:t>
            </w:r>
          </w:p>
        </w:tc>
        <w:tc>
          <w:tcPr>
            <w:tcW w:type="dxa" w:w="4680"/>
            <w:vAlign w:val="center"/>
          </w:tcPr>
          <w:p>
            <w:pPr>
              <w:spacing w:line="276" w:lineRule="auto"/>
            </w:pPr>
            <w:r/>
            <w:r>
              <w:rPr>
                <w:rFonts w:ascii="Arial" w:hAnsi="Arial"/>
                <w:b w:val="0"/>
                <w:sz w:val="18"/>
              </w:rPr>
              <w:t>React/Vite client application.</w:t>
            </w:r>
          </w:p>
        </w:tc>
      </w:tr>
      <w:tr>
        <w:tc>
          <w:tcPr>
            <w:tcW w:type="dxa" w:w="4680"/>
            <w:vAlign w:val="center"/>
          </w:tcPr>
          <w:p>
            <w:pPr>
              <w:spacing w:line="276" w:lineRule="auto"/>
            </w:pPr>
            <w:r/>
            <w:r>
              <w:rPr>
                <w:rFonts w:ascii="Arial" w:hAnsi="Arial"/>
                <w:b w:val="0"/>
                <w:sz w:val="18"/>
              </w:rPr>
              <w:t>frontend/src/components/</w:t>
            </w:r>
          </w:p>
        </w:tc>
        <w:tc>
          <w:tcPr>
            <w:tcW w:type="dxa" w:w="4680"/>
            <w:vAlign w:val="center"/>
          </w:tcPr>
          <w:p>
            <w:pPr>
              <w:spacing w:line="276" w:lineRule="auto"/>
            </w:pPr>
            <w:r/>
            <w:r>
              <w:rPr>
                <w:rFonts w:ascii="Arial" w:hAnsi="Arial"/>
                <w:b w:val="0"/>
                <w:sz w:val="18"/>
              </w:rPr>
              <w:t>Participant-facing UI: consent, listing pages, TrustModal, debrief, navbar and seller panels.</w:t>
            </w:r>
          </w:p>
        </w:tc>
      </w:tr>
      <w:tr>
        <w:tc>
          <w:tcPr>
            <w:tcW w:type="dxa" w:w="4680"/>
            <w:vAlign w:val="center"/>
          </w:tcPr>
          <w:p>
            <w:pPr>
              <w:spacing w:line="276" w:lineRule="auto"/>
            </w:pPr>
            <w:r/>
            <w:r>
              <w:rPr>
                <w:rFonts w:ascii="Arial" w:hAnsi="Arial"/>
                <w:b w:val="0"/>
                <w:sz w:val="18"/>
              </w:rPr>
              <w:t>frontend/src/lib/</w:t>
            </w:r>
          </w:p>
        </w:tc>
        <w:tc>
          <w:tcPr>
            <w:tcW w:type="dxa" w:w="4680"/>
            <w:vAlign w:val="center"/>
          </w:tcPr>
          <w:p>
            <w:pPr>
              <w:spacing w:line="276" w:lineRule="auto"/>
            </w:pPr>
            <w:r/>
            <w:r>
              <w:rPr>
                <w:rFonts w:ascii="Arial" w:hAnsi="Arial"/>
                <w:b w:val="0"/>
                <w:sz w:val="18"/>
              </w:rPr>
              <w:t>API client, study session storage, auth helpers and listing-presentation logic.</w:t>
            </w:r>
          </w:p>
        </w:tc>
      </w:tr>
      <w:tr>
        <w:tc>
          <w:tcPr>
            <w:tcW w:type="dxa" w:w="4680"/>
            <w:vAlign w:val="center"/>
          </w:tcPr>
          <w:p>
            <w:pPr>
              <w:spacing w:line="276" w:lineRule="auto"/>
            </w:pPr>
            <w:r/>
            <w:r>
              <w:rPr>
                <w:rFonts w:ascii="Arial" w:hAnsi="Arial"/>
                <w:b w:val="0"/>
                <w:sz w:val="18"/>
              </w:rPr>
              <w:t>frontend/public/listings/</w:t>
            </w:r>
          </w:p>
        </w:tc>
        <w:tc>
          <w:tcPr>
            <w:tcW w:type="dxa" w:w="4680"/>
            <w:vAlign w:val="center"/>
          </w:tcPr>
          <w:p>
            <w:pPr>
              <w:spacing w:line="276" w:lineRule="auto"/>
            </w:pPr>
            <w:r/>
            <w:r>
              <w:rPr>
                <w:rFonts w:ascii="Arial" w:hAnsi="Arial"/>
                <w:b w:val="0"/>
                <w:sz w:val="18"/>
              </w:rPr>
              <w:t>Static listing imagery used by the prototype.</w:t>
            </w:r>
          </w:p>
        </w:tc>
      </w:tr>
      <w:tr>
        <w:tc>
          <w:tcPr>
            <w:tcW w:type="dxa" w:w="4680"/>
            <w:vAlign w:val="center"/>
          </w:tcPr>
          <w:p>
            <w:pPr>
              <w:spacing w:line="276" w:lineRule="auto"/>
            </w:pPr>
            <w:r/>
            <w:r>
              <w:rPr>
                <w:rFonts w:ascii="Arial" w:hAnsi="Arial"/>
                <w:b w:val="0"/>
                <w:sz w:val="18"/>
              </w:rPr>
              <w:t>docs/</w:t>
            </w:r>
          </w:p>
        </w:tc>
        <w:tc>
          <w:tcPr>
            <w:tcW w:type="dxa" w:w="4680"/>
            <w:vAlign w:val="center"/>
          </w:tcPr>
          <w:p>
            <w:pPr>
              <w:spacing w:line="276" w:lineRule="auto"/>
            </w:pPr>
            <w:r/>
            <w:r>
              <w:rPr>
                <w:rFonts w:ascii="Arial" w:hAnsi="Arial"/>
                <w:b w:val="0"/>
                <w:sz w:val="18"/>
              </w:rPr>
              <w:t>Architecture, accessibility, ethics, project-management evidence and screenshots.</w:t>
            </w:r>
          </w:p>
        </w:tc>
      </w:tr>
      <w:tr>
        <w:tc>
          <w:tcPr>
            <w:tcW w:type="dxa" w:w="4680"/>
            <w:vAlign w:val="center"/>
          </w:tcPr>
          <w:p>
            <w:pPr>
              <w:spacing w:line="276" w:lineRule="auto"/>
            </w:pPr>
            <w:r/>
            <w:r>
              <w:rPr>
                <w:rFonts w:ascii="Arial" w:hAnsi="Arial"/>
                <w:b w:val="0"/>
                <w:sz w:val="18"/>
              </w:rPr>
              <w:t>exports/</w:t>
            </w:r>
          </w:p>
        </w:tc>
        <w:tc>
          <w:tcPr>
            <w:tcW w:type="dxa" w:w="4680"/>
            <w:vAlign w:val="center"/>
          </w:tcPr>
          <w:p>
            <w:pPr>
              <w:spacing w:line="276" w:lineRule="auto"/>
            </w:pPr>
            <w:r/>
            <w:r>
              <w:rPr>
                <w:rFonts w:ascii="Arial" w:hAnsi="Arial"/>
                <w:b w:val="0"/>
                <w:sz w:val="18"/>
              </w:rPr>
              <w:t>Local exported trust measurement CSV evidence.</w:t>
            </w:r>
          </w:p>
        </w:tc>
      </w:tr>
      <w:tr>
        <w:tc>
          <w:tcPr>
            <w:tcW w:type="dxa" w:w="4680"/>
            <w:vAlign w:val="center"/>
          </w:tcPr>
          <w:p>
            <w:pPr>
              <w:spacing w:line="276" w:lineRule="auto"/>
            </w:pPr>
            <w:r/>
            <w:r>
              <w:rPr>
                <w:rFonts w:ascii="Arial" w:hAnsi="Arial"/>
                <w:b w:val="0"/>
                <w:sz w:val="18"/>
              </w:rPr>
              <w:t>docker-compose.yml</w:t>
            </w:r>
          </w:p>
        </w:tc>
        <w:tc>
          <w:tcPr>
            <w:tcW w:type="dxa" w:w="4680"/>
            <w:vAlign w:val="center"/>
          </w:tcPr>
          <w:p>
            <w:pPr>
              <w:spacing w:line="276" w:lineRule="auto"/>
            </w:pPr>
            <w:r/>
            <w:r>
              <w:rPr>
                <w:rFonts w:ascii="Arial" w:hAnsi="Arial"/>
                <w:b w:val="0"/>
                <w:sz w:val="18"/>
              </w:rPr>
              <w:t>Local Docker setup for frontend, backend and PostgreSQL.</w:t>
            </w:r>
          </w:p>
        </w:tc>
      </w:tr>
    </w:tbl>
    <w:p/>
    <w:p>
      <w:pPr>
        <w:pStyle w:val="Heading2"/>
        <w:spacing w:line="360" w:lineRule="auto"/>
      </w:pPr>
      <w:r>
        <w:t>E.2 Setup Instructions</w:t>
      </w:r>
    </w:p>
    <w:p>
      <w:pPr>
        <w:pStyle w:val="ListNumber"/>
        <w:spacing w:line="360" w:lineRule="auto"/>
      </w:pPr>
      <w:r>
        <w:t>Install backend dependencies: cd backend &amp;&amp; npm install.</w:t>
      </w:r>
    </w:p>
    <w:p>
      <w:pPr>
        <w:pStyle w:val="ListNumber"/>
        <w:spacing w:line="360" w:lineRule="auto"/>
      </w:pPr>
      <w:r>
        <w:t>Install frontend dependencies: cd frontend &amp;&amp; npm install.</w:t>
      </w:r>
    </w:p>
    <w:p>
      <w:pPr>
        <w:pStyle w:val="ListNumber"/>
        <w:spacing w:line="360" w:lineRule="auto"/>
      </w:pPr>
      <w:r>
        <w:t>Create the PostgreSQL schema: cd backend &amp;&amp; npm run db:init.</w:t>
      </w:r>
    </w:p>
    <w:p>
      <w:pPr>
        <w:pStyle w:val="ListNumber"/>
        <w:spacing w:line="360" w:lineRule="auto"/>
      </w:pPr>
      <w:r>
        <w:t>Seed the controlled prototype data: cd backend &amp;&amp; npm run seed.</w:t>
      </w:r>
    </w:p>
    <w:p>
      <w:pPr>
        <w:pStyle w:val="ListNumber"/>
        <w:spacing w:line="360" w:lineRule="auto"/>
      </w:pPr>
      <w:r>
        <w:t>Run the API locally: cd backend &amp;&amp; npm run dev.</w:t>
      </w:r>
    </w:p>
    <w:p>
      <w:pPr>
        <w:pStyle w:val="ListNumber"/>
        <w:spacing w:line="360" w:lineRule="auto"/>
      </w:pPr>
      <w:r>
        <w:t>Run the frontend locally: cd frontend &amp;&amp; npm run dev.</w:t>
      </w:r>
    </w:p>
    <w:p>
      <w:pPr>
        <w:pStyle w:val="ListNumber"/>
        <w:spacing w:line="360" w:lineRule="auto"/>
      </w:pPr>
      <w:r>
        <w:t>Open the local prototype at http://localhost:5173 with the backend at http://localhost:3001.</w:t>
      </w:r>
    </w:p>
    <w:p>
      <w:pPr>
        <w:pStyle w:val="Heading2"/>
        <w:spacing w:line="360" w:lineRule="auto"/>
      </w:pPr>
      <w:r>
        <w:t>E.3 Deployment Notes</w:t>
      </w:r>
    </w:p>
    <w:p>
      <w:pPr>
        <w:spacing w:line="360" w:lineRule="auto"/>
      </w:pPr>
      <w:r>
        <w:rPr>
          <w:rFonts w:ascii="Arial" w:hAnsi="Arial"/>
          <w:sz w:val="24"/>
        </w:rPr>
        <w:t>The deployment model uses PostgreSQL for data persistence, Railway for the deployed Express backend, and Vercel for the deployed Vite frontend. If Neon is used as the PostgreSQL provider instead of Railway-hosted Postgres, the same DATABASE_URL environment variable pattern applies.</w:t>
      </w:r>
    </w:p>
    <w:p>
      <w:pPr>
        <w:pStyle w:val="ListBullet"/>
        <w:spacing w:line="360" w:lineRule="auto"/>
      </w:pPr>
      <w:r>
        <w:t>Set DATABASE_URL, SESSION_SECRET, FRONTEND_ORIGIN, BACKEND_PUBLIC_URL and RESEARCH_EXPORT_TOKEN on the backend service.</w:t>
      </w:r>
    </w:p>
    <w:p>
      <w:pPr>
        <w:pStyle w:val="ListBullet"/>
        <w:spacing w:line="360" w:lineRule="auto"/>
      </w:pPr>
      <w:r>
        <w:t>Set Google/LinkedIn OAuth environment variables only when those providers are required.</w:t>
      </w:r>
    </w:p>
    <w:p>
      <w:pPr>
        <w:pStyle w:val="ListBullet"/>
        <w:spacing w:line="360" w:lineRule="auto"/>
      </w:pPr>
      <w:r>
        <w:t>Set VITE_API_BASE_URL on the frontend to the deployed backend URL.</w:t>
      </w:r>
    </w:p>
    <w:p>
      <w:pPr>
        <w:pStyle w:val="ListBullet"/>
        <w:spacing w:line="360" w:lineRule="auto"/>
      </w:pPr>
      <w:r>
        <w:t>Run schema initialisation/migrations before relying on the deployed backend.</w:t>
      </w:r>
    </w:p>
    <w:p>
      <w:pPr>
        <w:pStyle w:val="ListBullet"/>
        <w:spacing w:line="360" w:lineRule="auto"/>
      </w:pPr>
      <w:r>
        <w:t>Verify /api/health, /api/listings and the full consent-to-debrief flow after deployment.</w:t>
      </w:r>
    </w:p>
    <w:p>
      <w:pPr>
        <w:pStyle w:val="Heading2"/>
        <w:spacing w:line="360" w:lineRule="auto"/>
      </w:pPr>
      <w:r>
        <w:t>E.4 Licence Statement</w:t>
      </w:r>
    </w:p>
    <w:p>
      <w:pPr>
        <w:spacing w:line="360" w:lineRule="auto"/>
      </w:pPr>
      <w:r>
        <w:rPr>
          <w:rFonts w:ascii="Arial" w:hAnsi="Arial"/>
          <w:sz w:val="24"/>
        </w:rPr>
        <w:t>MIT licence statement for submitted code: Permission is granted to use, copy, modify, merge, publish, distribute, sublicense and/or sell copies of the software, subject to inclusion of the copyright and permission notice. The software is provided "as is", without warranty of any kind. No standalone LICENSE file was present at repository root when this appendix was generated, so a LICENSE file should be added before public release if formal MIT distribution is required.</w:t>
      </w:r>
    </w:p>
    <w:p>
      <w:r>
        <w:br w:type="page"/>
      </w:r>
    </w:p>
    <w:p>
      <w:pPr>
        <w:pStyle w:val="Heading1"/>
        <w:spacing w:line="360" w:lineRule="auto"/>
      </w:pPr>
      <w:r>
        <w:t>Appendix F — Participant-Facing Materials</w:t>
      </w:r>
    </w:p>
    <w:p>
      <w:pPr>
        <w:pStyle w:val="Heading2"/>
        <w:spacing w:line="360" w:lineRule="auto"/>
      </w:pPr>
      <w:r>
        <w:t>F.1 Recruitment Message</w:t>
      </w:r>
    </w:p>
    <w:p>
      <w:pPr>
        <w:spacing w:line="360" w:lineRule="auto"/>
      </w:pPr>
      <w:r>
        <w:rPr>
          <w:rFonts w:ascii="Arial" w:hAnsi="Arial"/>
          <w:sz w:val="24"/>
        </w:rPr>
        <w:t>Provided recruitment copy:</w:t>
      </w:r>
    </w:p>
    <w:p>
      <w:pPr>
        <w:spacing w:line="360" w:lineRule="auto"/>
      </w:pPr>
      <w:r>
        <w:rPr>
          <w:rFonts w:ascii="Arial" w:hAnsi="Arial"/>
          <w:sz w:val="24"/>
        </w:rPr>
        <w:t>Hey, doing my final year dissertation on trust in sneaker marketplaces. Need 10 min of your time, just browse a prototype and answer a short survey. Anonymous, ethics-approved, no real money involved. Link: https://frontend-pink-rho-83.vercel.app Massive help, share with anyone who buys/sells sneakers 🙏</w:t>
      </w:r>
    </w:p>
    <w:p>
      <w:pPr>
        <w:pStyle w:val="Heading2"/>
        <w:spacing w:line="360" w:lineRule="auto"/>
      </w:pPr>
      <w:r>
        <w:t>F.2 Consent Screen Text</w:t>
      </w:r>
    </w:p>
    <w:p>
      <w:pPr>
        <w:pStyle w:val="ListBullet"/>
        <w:spacing w:line="360" w:lineRule="auto"/>
      </w:pPr>
      <w:r>
        <w:t>CrepFinder</w:t>
      </w:r>
    </w:p>
    <w:p>
      <w:pPr>
        <w:pStyle w:val="ListBullet"/>
        <w:spacing w:line="360" w:lineRule="auto"/>
      </w:pPr>
      <w:r>
        <w:t>Participant Consent</w:t>
      </w:r>
    </w:p>
    <w:p>
      <w:pPr>
        <w:pStyle w:val="ListBullet"/>
        <w:spacing w:line="360" w:lineRule="auto"/>
      </w:pPr>
      <w:r>
        <w:t>This study asks you to browse a fictional peer-to-peer sneaker marketplace and evaluate one seller. No real purchase will be made, and the marketplace content is part of a research prototype.</w:t>
      </w:r>
    </w:p>
    <w:p>
      <w:pPr>
        <w:pStyle w:val="ListBullet"/>
        <w:spacing w:line="360" w:lineRule="auto"/>
      </w:pPr>
      <w:r>
        <w:t>Participation is voluntary. You may stop at any point before submitting the trust questionnaire.</w:t>
      </w:r>
    </w:p>
    <w:p>
      <w:pPr>
        <w:pStyle w:val="ListBullet"/>
        <w:spacing w:line="360" w:lineRule="auto"/>
      </w:pPr>
      <w:r>
        <w:t>Your responses are stored against a participant code rather than your name.</w:t>
      </w:r>
    </w:p>
    <w:p>
      <w:pPr>
        <w:pStyle w:val="ListBullet"/>
        <w:spacing w:line="360" w:lineRule="auto"/>
      </w:pPr>
      <w:r>
        <w:t>The interface condition is assigned automatically so the comparison remains controlled.</w:t>
      </w:r>
    </w:p>
    <w:p>
      <w:pPr>
        <w:pStyle w:val="ListBullet"/>
        <w:spacing w:line="360" w:lineRule="auto"/>
      </w:pPr>
      <w:r>
        <w:t>You can withdraw after completing the task by quoting your participant code to the researcher before the project analysis is finalised.</w:t>
      </w:r>
    </w:p>
    <w:p>
      <w:pPr>
        <w:pStyle w:val="ListBullet"/>
        <w:spacing w:line="360" w:lineRule="auto"/>
      </w:pPr>
      <w:r>
        <w:t>Read participant information</w:t>
      </w:r>
    </w:p>
    <w:p>
      <w:pPr>
        <w:pStyle w:val="ListBullet"/>
        <w:spacing w:line="360" w:lineRule="auto"/>
      </w:pPr>
      <w:r>
        <w:t>The evaluation is expected to take approximately 8-15 minutes. You will browse a fictional listing, decide whether to request a purchase, complete a short trust questionnaire, and then open a post-task survey.</w:t>
      </w:r>
    </w:p>
    <w:p>
      <w:pPr>
        <w:pStyle w:val="ListBullet"/>
        <w:spacing w:line="360" w:lineRule="auto"/>
      </w:pPr>
      <w:r>
        <w:t>The prototype records your participant code, assigned interface condition, selected listing and questionnaire responses. It does not process payments, contact real sellers, or require account login.</w:t>
      </w:r>
    </w:p>
    <w:p>
      <w:pPr>
        <w:pStyle w:val="ListBullet"/>
        <w:spacing w:line="360" w:lineRule="auto"/>
      </w:pPr>
      <w:r>
        <w:t>Some trust cues are controlled research stimuli so that both interface conditions can be compared fairly.</w:t>
      </w:r>
    </w:p>
    <w:p>
      <w:pPr>
        <w:pStyle w:val="ListBullet"/>
        <w:spacing w:line="360" w:lineRule="auto"/>
      </w:pPr>
      <w:r>
        <w:t>Optional OAuth sign-in. Not required for the study. Used only if the prototype is configured to demonstrate account anchoring.</w:t>
      </w:r>
    </w:p>
    <w:p>
      <w:pPr>
        <w:pStyle w:val="ListBullet"/>
        <w:spacing w:line="360" w:lineRule="auto"/>
      </w:pPr>
      <w:r>
        <w:t>I confirm that I understand the study information and consent to take part in this research prototype.</w:t>
      </w:r>
    </w:p>
    <w:p>
      <w:pPr>
        <w:pStyle w:val="ListBullet"/>
        <w:spacing w:line="360" w:lineRule="auto"/>
      </w:pPr>
      <w:r>
        <w:t>Begin Study</w:t>
      </w:r>
    </w:p>
    <w:p>
      <w:pPr>
        <w:pStyle w:val="ListBullet"/>
        <w:spacing w:line="360" w:lineRule="auto"/>
      </w:pPr>
      <w:r>
        <w:t>Your participant code will be shown on the debrief screen.</w:t>
      </w:r>
    </w:p>
    <w:p>
      <w:pPr>
        <w:pStyle w:val="Heading2"/>
        <w:spacing w:line="360" w:lineRule="auto"/>
      </w:pPr>
      <w:r>
        <w:t>F.3 TrustModal Items</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EDEDED"/>
            <w:vAlign w:val="center"/>
          </w:tcPr>
          <w:p>
            <w:pPr>
              <w:spacing w:line="276" w:lineRule="auto"/>
            </w:pPr>
            <w:r/>
            <w:r>
              <w:rPr>
                <w:rFonts w:ascii="Arial" w:hAnsi="Arial"/>
                <w:b/>
                <w:sz w:val="18"/>
              </w:rPr>
              <w:t>Subscale</w:t>
            </w:r>
          </w:p>
        </w:tc>
        <w:tc>
          <w:tcPr>
            <w:tcW w:type="dxa" w:w="4680"/>
            <w:shd w:fill="EDEDED"/>
            <w:vAlign w:val="center"/>
          </w:tcPr>
          <w:p>
            <w:pPr>
              <w:spacing w:line="276" w:lineRule="auto"/>
            </w:pPr>
            <w:r/>
            <w:r>
              <w:rPr>
                <w:rFonts w:ascii="Arial" w:hAnsi="Arial"/>
                <w:b/>
                <w:sz w:val="18"/>
              </w:rPr>
              <w:t>Item</w:t>
            </w:r>
          </w:p>
        </w:tc>
      </w:tr>
      <w:tr>
        <w:tc>
          <w:tcPr>
            <w:tcW w:type="dxa" w:w="4680"/>
            <w:vAlign w:val="center"/>
          </w:tcPr>
          <w:p>
            <w:pPr>
              <w:spacing w:line="276" w:lineRule="auto"/>
            </w:pPr>
            <w:r/>
            <w:r>
              <w:rPr>
                <w:rFonts w:ascii="Arial" w:hAnsi="Arial"/>
                <w:b w:val="0"/>
                <w:sz w:val="18"/>
              </w:rPr>
              <w:t>Competence</w:t>
            </w:r>
          </w:p>
        </w:tc>
        <w:tc>
          <w:tcPr>
            <w:tcW w:type="dxa" w:w="4680"/>
            <w:vAlign w:val="center"/>
          </w:tcPr>
          <w:p>
            <w:pPr>
              <w:spacing w:line="276" w:lineRule="auto"/>
            </w:pPr>
            <w:r/>
            <w:r>
              <w:rPr>
                <w:rFonts w:ascii="Arial" w:hAnsi="Arial"/>
                <w:b w:val="0"/>
                <w:sz w:val="18"/>
              </w:rPr>
              <w:t>This seller seems knowledgeable about the sneakers they sell.</w:t>
            </w:r>
          </w:p>
        </w:tc>
      </w:tr>
      <w:tr>
        <w:tc>
          <w:tcPr>
            <w:tcW w:type="dxa" w:w="4680"/>
            <w:vAlign w:val="center"/>
          </w:tcPr>
          <w:p>
            <w:pPr>
              <w:spacing w:line="276" w:lineRule="auto"/>
            </w:pPr>
            <w:r/>
            <w:r>
              <w:rPr>
                <w:rFonts w:ascii="Arial" w:hAnsi="Arial"/>
                <w:b w:val="0"/>
                <w:sz w:val="18"/>
              </w:rPr>
              <w:t>Competence</w:t>
            </w:r>
          </w:p>
        </w:tc>
        <w:tc>
          <w:tcPr>
            <w:tcW w:type="dxa" w:w="4680"/>
            <w:vAlign w:val="center"/>
          </w:tcPr>
          <w:p>
            <w:pPr>
              <w:spacing w:line="276" w:lineRule="auto"/>
            </w:pPr>
            <w:r/>
            <w:r>
              <w:rPr>
                <w:rFonts w:ascii="Arial" w:hAnsi="Arial"/>
                <w:b w:val="0"/>
                <w:sz w:val="18"/>
              </w:rPr>
              <w:t>This seller appears capable of fulfilling this transaction reliably.</w:t>
            </w:r>
          </w:p>
        </w:tc>
      </w:tr>
      <w:tr>
        <w:tc>
          <w:tcPr>
            <w:tcW w:type="dxa" w:w="4680"/>
            <w:vAlign w:val="center"/>
          </w:tcPr>
          <w:p>
            <w:pPr>
              <w:spacing w:line="276" w:lineRule="auto"/>
            </w:pPr>
            <w:r/>
            <w:r>
              <w:rPr>
                <w:rFonts w:ascii="Arial" w:hAnsi="Arial"/>
                <w:b w:val="0"/>
                <w:sz w:val="18"/>
              </w:rPr>
              <w:t>Benevolence</w:t>
            </w:r>
          </w:p>
        </w:tc>
        <w:tc>
          <w:tcPr>
            <w:tcW w:type="dxa" w:w="4680"/>
            <w:vAlign w:val="center"/>
          </w:tcPr>
          <w:p>
            <w:pPr>
              <w:spacing w:line="276" w:lineRule="auto"/>
            </w:pPr>
            <w:r/>
            <w:r>
              <w:rPr>
                <w:rFonts w:ascii="Arial" w:hAnsi="Arial"/>
                <w:b w:val="0"/>
                <w:sz w:val="18"/>
              </w:rPr>
              <w:t>I believe this seller would act in my best interest.</w:t>
            </w:r>
          </w:p>
        </w:tc>
      </w:tr>
      <w:tr>
        <w:tc>
          <w:tcPr>
            <w:tcW w:type="dxa" w:w="4680"/>
            <w:vAlign w:val="center"/>
          </w:tcPr>
          <w:p>
            <w:pPr>
              <w:spacing w:line="276" w:lineRule="auto"/>
            </w:pPr>
            <w:r/>
            <w:r>
              <w:rPr>
                <w:rFonts w:ascii="Arial" w:hAnsi="Arial"/>
                <w:b w:val="0"/>
                <w:sz w:val="18"/>
              </w:rPr>
              <w:t>Benevolence</w:t>
            </w:r>
          </w:p>
        </w:tc>
        <w:tc>
          <w:tcPr>
            <w:tcW w:type="dxa" w:w="4680"/>
            <w:vAlign w:val="center"/>
          </w:tcPr>
          <w:p>
            <w:pPr>
              <w:spacing w:line="276" w:lineRule="auto"/>
            </w:pPr>
            <w:r/>
            <w:r>
              <w:rPr>
                <w:rFonts w:ascii="Arial" w:hAnsi="Arial"/>
                <w:b w:val="0"/>
                <w:sz w:val="18"/>
              </w:rPr>
              <w:t>I feel this seller genuinely cares about buyers.</w:t>
            </w:r>
          </w:p>
        </w:tc>
      </w:tr>
      <w:tr>
        <w:tc>
          <w:tcPr>
            <w:tcW w:type="dxa" w:w="4680"/>
            <w:vAlign w:val="center"/>
          </w:tcPr>
          <w:p>
            <w:pPr>
              <w:spacing w:line="276" w:lineRule="auto"/>
            </w:pPr>
            <w:r/>
            <w:r>
              <w:rPr>
                <w:rFonts w:ascii="Arial" w:hAnsi="Arial"/>
                <w:b w:val="0"/>
                <w:sz w:val="18"/>
              </w:rPr>
              <w:t>Integrity</w:t>
            </w:r>
          </w:p>
        </w:tc>
        <w:tc>
          <w:tcPr>
            <w:tcW w:type="dxa" w:w="4680"/>
            <w:vAlign w:val="center"/>
          </w:tcPr>
          <w:p>
            <w:pPr>
              <w:spacing w:line="276" w:lineRule="auto"/>
            </w:pPr>
            <w:r/>
            <w:r>
              <w:rPr>
                <w:rFonts w:ascii="Arial" w:hAnsi="Arial"/>
                <w:b w:val="0"/>
                <w:sz w:val="18"/>
              </w:rPr>
              <w:t>This seller's listing description seems honest and accurate.</w:t>
            </w:r>
          </w:p>
        </w:tc>
      </w:tr>
      <w:tr>
        <w:tc>
          <w:tcPr>
            <w:tcW w:type="dxa" w:w="4680"/>
            <w:vAlign w:val="center"/>
          </w:tcPr>
          <w:p>
            <w:pPr>
              <w:spacing w:line="276" w:lineRule="auto"/>
            </w:pPr>
            <w:r/>
            <w:r>
              <w:rPr>
                <w:rFonts w:ascii="Arial" w:hAnsi="Arial"/>
                <w:b w:val="0"/>
                <w:sz w:val="18"/>
              </w:rPr>
              <w:t>Trusting Intentions</w:t>
            </w:r>
          </w:p>
        </w:tc>
        <w:tc>
          <w:tcPr>
            <w:tcW w:type="dxa" w:w="4680"/>
            <w:vAlign w:val="center"/>
          </w:tcPr>
          <w:p>
            <w:pPr>
              <w:spacing w:line="276" w:lineRule="auto"/>
            </w:pPr>
            <w:r/>
            <w:r>
              <w:rPr>
                <w:rFonts w:ascii="Arial" w:hAnsi="Arial"/>
                <w:b w:val="0"/>
                <w:sz w:val="18"/>
              </w:rPr>
              <w:t>I would feel comfortable purchasing from this seller.</w:t>
            </w:r>
          </w:p>
        </w:tc>
      </w:tr>
      <w:tr>
        <w:tc>
          <w:tcPr>
            <w:tcW w:type="dxa" w:w="4680"/>
            <w:vAlign w:val="center"/>
          </w:tcPr>
          <w:p>
            <w:pPr>
              <w:spacing w:line="276" w:lineRule="auto"/>
            </w:pPr>
            <w:r/>
            <w:r>
              <w:rPr>
                <w:rFonts w:ascii="Arial" w:hAnsi="Arial"/>
                <w:b w:val="0"/>
                <w:sz w:val="18"/>
              </w:rPr>
              <w:t>Trusting Intentions</w:t>
            </w:r>
          </w:p>
        </w:tc>
        <w:tc>
          <w:tcPr>
            <w:tcW w:type="dxa" w:w="4680"/>
            <w:vAlign w:val="center"/>
          </w:tcPr>
          <w:p>
            <w:pPr>
              <w:spacing w:line="276" w:lineRule="auto"/>
            </w:pPr>
            <w:r/>
            <w:r>
              <w:rPr>
                <w:rFonts w:ascii="Arial" w:hAnsi="Arial"/>
                <w:b w:val="0"/>
                <w:sz w:val="18"/>
              </w:rPr>
              <w:t>I intend to proceed with this purchase.</w:t>
            </w:r>
          </w:p>
        </w:tc>
      </w:tr>
    </w:tbl>
    <w:p/>
    <w:p>
      <w:pPr>
        <w:spacing w:line="360" w:lineRule="auto"/>
      </w:pPr>
      <w:r>
        <w:rPr>
          <w:rFonts w:ascii="Arial" w:hAnsi="Arial"/>
          <w:sz w:val="24"/>
        </w:rPr>
        <w:t>Scale labels: 1 = Strongly Disagree, 4 = Neutral, 7 = Strongly Agree.</w:t>
      </w:r>
    </w:p>
    <w:p>
      <w:pPr>
        <w:pStyle w:val="Heading2"/>
        <w:spacing w:line="360" w:lineRule="auto"/>
      </w:pPr>
      <w:r>
        <w:t>F.4 Debrief Screen Text</w:t>
      </w:r>
    </w:p>
    <w:p>
      <w:pPr>
        <w:pStyle w:val="ListBullet"/>
        <w:spacing w:line="360" w:lineRule="auto"/>
      </w:pPr>
      <w:r>
        <w:t>Thank you for taking part</w:t>
      </w:r>
    </w:p>
    <w:p>
      <w:pPr>
        <w:pStyle w:val="ListBullet"/>
        <w:spacing w:line="360" w:lineRule="auto"/>
      </w:pPr>
      <w:r>
        <w:t>Your trust questionnaire has been recorded. Please keep your participant code in case you need to reference or withdraw your response later.</w:t>
      </w:r>
    </w:p>
    <w:p>
      <w:pPr>
        <w:pStyle w:val="ListBullet"/>
        <w:spacing w:line="360" w:lineRule="auto"/>
      </w:pPr>
      <w:r>
        <w:t>Complete the post-task survey</w:t>
      </w:r>
    </w:p>
    <w:p>
      <w:pPr>
        <w:pStyle w:val="ListBullet"/>
        <w:spacing w:line="360" w:lineRule="auto"/>
      </w:pPr>
      <w:r>
        <w:t>Thank you for completing the CrepFinder evaluation. Your participant code is: [participant code].</w:t>
      </w:r>
    </w:p>
    <w:p>
      <w:pPr>
        <w:pStyle w:val="ListBullet"/>
        <w:spacing w:line="360" w:lineRule="auto"/>
      </w:pPr>
      <w:r>
        <w:t>To complete your participation, please use this code to fill in the short post-task survey below (approximately six minutes). Your responses will form part of the project's final evaluation and analysis.</w:t>
      </w:r>
    </w:p>
    <w:p>
      <w:pPr>
        <w:pStyle w:val="ListBullet"/>
        <w:spacing w:line="360" w:lineRule="auto"/>
      </w:pPr>
      <w:r>
        <w:t>Please complete the survey to finalise your participation.</w:t>
      </w:r>
    </w:p>
    <w:p>
      <w:pPr>
        <w:pStyle w:val="ListBullet"/>
        <w:spacing w:line="360" w:lineRule="auto"/>
      </w:pPr>
      <w:r>
        <w:t>If the survey does not open automatically, copy your participant code above and paste it into the survey when prompted.</w:t>
      </w:r>
    </w:p>
    <w:p>
      <w:pPr>
        <w:pStyle w:val="ListBullet"/>
        <w:spacing w:line="360" w:lineRule="auto"/>
      </w:pPr>
      <w:r>
        <w:t>This research compares two ways of presenting seller trust information in a peer-to-peer sneaker marketplace. Participants are randomly assigned to one interface condition so the study can compare responses fairly.</w:t>
      </w:r>
    </w:p>
    <w:p>
      <w:pPr>
        <w:pStyle w:val="ListBullet"/>
        <w:spacing w:line="360" w:lineRule="auto"/>
      </w:pPr>
      <w:r>
        <w:t>Some marketplace signals are simulated research data. In particular, social verification cues such as mutual connections, community buyers, review counts, and seller status labels are controlled stimuli rather than live third-party identity checks. OAuth sign-in, where configured, verifies control of a Google or LinkedIn account only; it does not prove marketplace trustworthiness. This keeps the listings identical across conditions except for the trust signal being studied.</w:t>
      </w:r>
    </w:p>
    <w:p>
      <w:pPr>
        <w:pStyle w:val="ListBullet"/>
        <w:spacing w:line="360" w:lineRule="auto"/>
      </w:pPr>
      <w:r>
        <w:t>No payment has been processed and no real seller has been contacted.</w:t>
      </w:r>
    </w:p>
    <w:p>
      <w:pPr>
        <w:pStyle w:val="Heading2"/>
        <w:spacing w:line="360" w:lineRule="auto"/>
      </w:pPr>
      <w:r>
        <w:t>F.5 Post-Task Survey Items</w:t>
      </w:r>
    </w:p>
    <w:p>
      <w:pPr>
        <w:spacing w:line="360" w:lineRule="auto"/>
      </w:pPr>
      <w:r>
        <w:rPr>
          <w:rFonts w:ascii="Arial" w:hAnsi="Arial"/>
          <w:sz w:val="24"/>
        </w:rPr>
        <w:t>SUS items extracted from the local Google Forms response workbook:</w:t>
      </w:r>
    </w:p>
    <w:p>
      <w:pPr>
        <w:pStyle w:val="ListNumber"/>
        <w:spacing w:line="360" w:lineRule="auto"/>
      </w:pPr>
      <w:r>
        <w:t>1. I think that I would like to use this system frequently.</w:t>
      </w:r>
    </w:p>
    <w:p>
      <w:pPr>
        <w:pStyle w:val="ListNumber"/>
        <w:spacing w:line="360" w:lineRule="auto"/>
      </w:pPr>
      <w:r>
        <w:t>2. I found the system unnecessarily complex.</w:t>
      </w:r>
    </w:p>
    <w:p>
      <w:pPr>
        <w:pStyle w:val="ListNumber"/>
        <w:spacing w:line="360" w:lineRule="auto"/>
      </w:pPr>
      <w:r>
        <w:t>3. I thought the system was easy to use.</w:t>
      </w:r>
    </w:p>
    <w:p>
      <w:pPr>
        <w:pStyle w:val="ListNumber"/>
        <w:spacing w:line="360" w:lineRule="auto"/>
      </w:pPr>
      <w:r>
        <w:t>4. I think that I would need the support of a technical person to be able to use this system.</w:t>
      </w:r>
    </w:p>
    <w:p>
      <w:pPr>
        <w:pStyle w:val="ListNumber"/>
        <w:spacing w:line="360" w:lineRule="auto"/>
      </w:pPr>
      <w:r>
        <w:t>5. I found the various functions in this system were well integrated.</w:t>
      </w:r>
    </w:p>
    <w:p>
      <w:pPr>
        <w:pStyle w:val="ListNumber"/>
        <w:spacing w:line="360" w:lineRule="auto"/>
      </w:pPr>
      <w:r>
        <w:t>6. I thought there was too much inconsistency in this system.</w:t>
      </w:r>
    </w:p>
    <w:p>
      <w:pPr>
        <w:pStyle w:val="ListNumber"/>
        <w:spacing w:line="360" w:lineRule="auto"/>
      </w:pPr>
      <w:r>
        <w:t>7. I would imagine that most people would learn to use this system very quickly.</w:t>
      </w:r>
    </w:p>
    <w:p>
      <w:pPr>
        <w:pStyle w:val="ListNumber"/>
        <w:spacing w:line="360" w:lineRule="auto"/>
      </w:pPr>
      <w:r>
        <w:t>8. I found the system very cumbersome to use.</w:t>
      </w:r>
    </w:p>
    <w:p>
      <w:pPr>
        <w:pStyle w:val="ListNumber"/>
        <w:spacing w:line="360" w:lineRule="auto"/>
      </w:pPr>
      <w:r>
        <w:t>9. I felt very confident using the system.</w:t>
      </w:r>
    </w:p>
    <w:p>
      <w:pPr>
        <w:pStyle w:val="ListNumber"/>
        <w:spacing w:line="360" w:lineRule="auto"/>
      </w:pPr>
      <w:r>
        <w:t>10. I needed to learn a lot of things before I could get going with this system.</w:t>
      </w:r>
    </w:p>
    <w:p>
      <w:pPr>
        <w:spacing w:line="360" w:lineRule="auto"/>
      </w:pPr>
      <w:r>
        <w:rPr>
          <w:rFonts w:ascii="Arial" w:hAnsi="Arial"/>
          <w:sz w:val="24"/>
        </w:rPr>
        <w:t>Qualitative/completion prompts extracted from the local Google Forms response workbook:</w:t>
      </w:r>
    </w:p>
    <w:p>
      <w:pPr>
        <w:pStyle w:val="ListBullet"/>
        <w:spacing w:line="360" w:lineRule="auto"/>
      </w:pPr>
      <w:r>
        <w:t>Were you able to complete the purchase request task in the prototype?</w:t>
      </w:r>
    </w:p>
    <w:p>
      <w:pPr>
        <w:pStyle w:val="ListBullet"/>
        <w:spacing w:line="360" w:lineRule="auto"/>
      </w:pPr>
      <w:r>
        <w:t>What made you trust or distrust the seller in the listing you viewed?</w:t>
      </w:r>
    </w:p>
    <w:p>
      <w:pPr>
        <w:pStyle w:val="ListBullet"/>
        <w:spacing w:line="360" w:lineRule="auto"/>
      </w:pPr>
      <w:r>
        <w:t>Was anything confusing or unclear about the prototype? Is there anything you would change?</w:t>
      </w:r>
    </w:p>
    <w:p>
      <w:r>
        <w:br w:type="page"/>
      </w:r>
    </w:p>
    <w:p>
      <w:pPr>
        <w:pStyle w:val="Heading1"/>
        <w:spacing w:line="360" w:lineRule="auto"/>
      </w:pPr>
      <w:r>
        <w:t>Appendix G — Functional Requirements</w:t>
      </w:r>
    </w:p>
    <w:p>
      <w:pPr>
        <w:spacing w:line="360" w:lineRule="auto"/>
      </w:pPr>
      <w:r>
        <w:rPr>
          <w:rFonts w:ascii="Arial" w:hAnsi="Arial"/>
          <w:sz w:val="24"/>
        </w:rPr>
        <w:t>[Full FR table from Chapter 3 to be inserted here.]</w:t>
      </w:r>
    </w:p>
    <w:p>
      <w:r>
        <w:br w:type="page"/>
      </w:r>
    </w:p>
    <w:p>
      <w:pPr>
        <w:pStyle w:val="Heading1"/>
        <w:spacing w:line="360" w:lineRule="auto"/>
      </w:pPr>
      <w:r>
        <w:t>Appendix H — Non-Functional Requirements</w:t>
      </w:r>
    </w:p>
    <w:p>
      <w:pPr>
        <w:spacing w:line="360" w:lineRule="auto"/>
      </w:pPr>
      <w:r>
        <w:rPr>
          <w:rFonts w:ascii="Arial" w:hAnsi="Arial"/>
          <w:sz w:val="24"/>
        </w:rPr>
        <w:t>[Full NFR table from Chapter 3 to be inserted here.]</w:t>
      </w:r>
    </w:p>
    <w:p>
      <w:r>
        <w:br w:type="page"/>
      </w:r>
    </w:p>
    <w:p>
      <w:pPr>
        <w:pStyle w:val="Heading1"/>
        <w:spacing w:line="360" w:lineRule="auto"/>
      </w:pPr>
      <w:r>
        <w:t>Appendix I — Trust and Usability Instruments</w:t>
      </w:r>
    </w:p>
    <w:p>
      <w:pPr>
        <w:pStyle w:val="Heading2"/>
        <w:spacing w:line="360" w:lineRule="auto"/>
      </w:pPr>
      <w:r>
        <w:t>I.1 Adapted McKnight Short Form</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fill="EDEDED"/>
            <w:vAlign w:val="center"/>
          </w:tcPr>
          <w:p>
            <w:pPr>
              <w:spacing w:line="276" w:lineRule="auto"/>
            </w:pPr>
            <w:r/>
            <w:r>
              <w:rPr>
                <w:rFonts w:ascii="Arial" w:hAnsi="Arial"/>
                <w:b/>
                <w:sz w:val="18"/>
              </w:rPr>
              <w:t>Item</w:t>
            </w:r>
          </w:p>
        </w:tc>
        <w:tc>
          <w:tcPr>
            <w:tcW w:type="dxa" w:w="3120"/>
            <w:shd w:fill="EDEDED"/>
            <w:vAlign w:val="center"/>
          </w:tcPr>
          <w:p>
            <w:pPr>
              <w:spacing w:line="276" w:lineRule="auto"/>
            </w:pPr>
            <w:r/>
            <w:r>
              <w:rPr>
                <w:rFonts w:ascii="Arial" w:hAnsi="Arial"/>
                <w:b/>
                <w:sz w:val="18"/>
              </w:rPr>
              <w:t>Subscale</w:t>
            </w:r>
          </w:p>
        </w:tc>
        <w:tc>
          <w:tcPr>
            <w:tcW w:type="dxa" w:w="3120"/>
            <w:shd w:fill="EDEDED"/>
            <w:vAlign w:val="center"/>
          </w:tcPr>
          <w:p>
            <w:pPr>
              <w:spacing w:line="276" w:lineRule="auto"/>
            </w:pPr>
            <w:r/>
            <w:r>
              <w:rPr>
                <w:rFonts w:ascii="Arial" w:hAnsi="Arial"/>
                <w:b/>
                <w:sz w:val="18"/>
              </w:rPr>
              <w:t>Statement</w:t>
            </w:r>
          </w:p>
        </w:tc>
      </w:tr>
      <w:tr>
        <w:tc>
          <w:tcPr>
            <w:tcW w:type="dxa" w:w="3120"/>
            <w:vAlign w:val="center"/>
          </w:tcPr>
          <w:p>
            <w:pPr>
              <w:spacing w:line="276" w:lineRule="auto"/>
            </w:pPr>
            <w:r/>
            <w:r>
              <w:rPr>
                <w:rFonts w:ascii="Arial" w:hAnsi="Arial"/>
                <w:b w:val="0"/>
                <w:sz w:val="18"/>
              </w:rPr>
              <w:t>I1</w:t>
            </w:r>
          </w:p>
        </w:tc>
        <w:tc>
          <w:tcPr>
            <w:tcW w:type="dxa" w:w="3120"/>
            <w:vAlign w:val="center"/>
          </w:tcPr>
          <w:p>
            <w:pPr>
              <w:spacing w:line="276" w:lineRule="auto"/>
            </w:pPr>
            <w:r/>
            <w:r>
              <w:rPr>
                <w:rFonts w:ascii="Arial" w:hAnsi="Arial"/>
                <w:b w:val="0"/>
                <w:sz w:val="18"/>
              </w:rPr>
              <w:t>Competence</w:t>
            </w:r>
          </w:p>
        </w:tc>
        <w:tc>
          <w:tcPr>
            <w:tcW w:type="dxa" w:w="3120"/>
            <w:vAlign w:val="center"/>
          </w:tcPr>
          <w:p>
            <w:pPr>
              <w:spacing w:line="276" w:lineRule="auto"/>
            </w:pPr>
            <w:r/>
            <w:r>
              <w:rPr>
                <w:rFonts w:ascii="Arial" w:hAnsi="Arial"/>
                <w:b w:val="0"/>
                <w:sz w:val="18"/>
              </w:rPr>
              <w:t>This seller seems knowledgeable about the sneakers they sell.</w:t>
            </w:r>
          </w:p>
        </w:tc>
      </w:tr>
      <w:tr>
        <w:tc>
          <w:tcPr>
            <w:tcW w:type="dxa" w:w="3120"/>
            <w:vAlign w:val="center"/>
          </w:tcPr>
          <w:p>
            <w:pPr>
              <w:spacing w:line="276" w:lineRule="auto"/>
            </w:pPr>
            <w:r/>
            <w:r>
              <w:rPr>
                <w:rFonts w:ascii="Arial" w:hAnsi="Arial"/>
                <w:b w:val="0"/>
                <w:sz w:val="18"/>
              </w:rPr>
              <w:t>I2</w:t>
            </w:r>
          </w:p>
        </w:tc>
        <w:tc>
          <w:tcPr>
            <w:tcW w:type="dxa" w:w="3120"/>
            <w:vAlign w:val="center"/>
          </w:tcPr>
          <w:p>
            <w:pPr>
              <w:spacing w:line="276" w:lineRule="auto"/>
            </w:pPr>
            <w:r/>
            <w:r>
              <w:rPr>
                <w:rFonts w:ascii="Arial" w:hAnsi="Arial"/>
                <w:b w:val="0"/>
                <w:sz w:val="18"/>
              </w:rPr>
              <w:t>Competence</w:t>
            </w:r>
          </w:p>
        </w:tc>
        <w:tc>
          <w:tcPr>
            <w:tcW w:type="dxa" w:w="3120"/>
            <w:vAlign w:val="center"/>
          </w:tcPr>
          <w:p>
            <w:pPr>
              <w:spacing w:line="276" w:lineRule="auto"/>
            </w:pPr>
            <w:r/>
            <w:r>
              <w:rPr>
                <w:rFonts w:ascii="Arial" w:hAnsi="Arial"/>
                <w:b w:val="0"/>
                <w:sz w:val="18"/>
              </w:rPr>
              <w:t>This seller appears capable of fulfilling this transaction reliably.</w:t>
            </w:r>
          </w:p>
        </w:tc>
      </w:tr>
      <w:tr>
        <w:tc>
          <w:tcPr>
            <w:tcW w:type="dxa" w:w="3120"/>
            <w:vAlign w:val="center"/>
          </w:tcPr>
          <w:p>
            <w:pPr>
              <w:spacing w:line="276" w:lineRule="auto"/>
            </w:pPr>
            <w:r/>
            <w:r>
              <w:rPr>
                <w:rFonts w:ascii="Arial" w:hAnsi="Arial"/>
                <w:b w:val="0"/>
                <w:sz w:val="18"/>
              </w:rPr>
              <w:t>I3</w:t>
            </w:r>
          </w:p>
        </w:tc>
        <w:tc>
          <w:tcPr>
            <w:tcW w:type="dxa" w:w="3120"/>
            <w:vAlign w:val="center"/>
          </w:tcPr>
          <w:p>
            <w:pPr>
              <w:spacing w:line="276" w:lineRule="auto"/>
            </w:pPr>
            <w:r/>
            <w:r>
              <w:rPr>
                <w:rFonts w:ascii="Arial" w:hAnsi="Arial"/>
                <w:b w:val="0"/>
                <w:sz w:val="18"/>
              </w:rPr>
              <w:t>Benevolence</w:t>
            </w:r>
          </w:p>
        </w:tc>
        <w:tc>
          <w:tcPr>
            <w:tcW w:type="dxa" w:w="3120"/>
            <w:vAlign w:val="center"/>
          </w:tcPr>
          <w:p>
            <w:pPr>
              <w:spacing w:line="276" w:lineRule="auto"/>
            </w:pPr>
            <w:r/>
            <w:r>
              <w:rPr>
                <w:rFonts w:ascii="Arial" w:hAnsi="Arial"/>
                <w:b w:val="0"/>
                <w:sz w:val="18"/>
              </w:rPr>
              <w:t>I believe this seller would act in my best interest.</w:t>
            </w:r>
          </w:p>
        </w:tc>
      </w:tr>
      <w:tr>
        <w:tc>
          <w:tcPr>
            <w:tcW w:type="dxa" w:w="3120"/>
            <w:vAlign w:val="center"/>
          </w:tcPr>
          <w:p>
            <w:pPr>
              <w:spacing w:line="276" w:lineRule="auto"/>
            </w:pPr>
            <w:r/>
            <w:r>
              <w:rPr>
                <w:rFonts w:ascii="Arial" w:hAnsi="Arial"/>
                <w:b w:val="0"/>
                <w:sz w:val="18"/>
              </w:rPr>
              <w:t>I4</w:t>
            </w:r>
          </w:p>
        </w:tc>
        <w:tc>
          <w:tcPr>
            <w:tcW w:type="dxa" w:w="3120"/>
            <w:vAlign w:val="center"/>
          </w:tcPr>
          <w:p>
            <w:pPr>
              <w:spacing w:line="276" w:lineRule="auto"/>
            </w:pPr>
            <w:r/>
            <w:r>
              <w:rPr>
                <w:rFonts w:ascii="Arial" w:hAnsi="Arial"/>
                <w:b w:val="0"/>
                <w:sz w:val="18"/>
              </w:rPr>
              <w:t>Benevolence</w:t>
            </w:r>
          </w:p>
        </w:tc>
        <w:tc>
          <w:tcPr>
            <w:tcW w:type="dxa" w:w="3120"/>
            <w:vAlign w:val="center"/>
          </w:tcPr>
          <w:p>
            <w:pPr>
              <w:spacing w:line="276" w:lineRule="auto"/>
            </w:pPr>
            <w:r/>
            <w:r>
              <w:rPr>
                <w:rFonts w:ascii="Arial" w:hAnsi="Arial"/>
                <w:b w:val="0"/>
                <w:sz w:val="18"/>
              </w:rPr>
              <w:t>I feel this seller genuinely cares about buyers.</w:t>
            </w:r>
          </w:p>
        </w:tc>
      </w:tr>
      <w:tr>
        <w:tc>
          <w:tcPr>
            <w:tcW w:type="dxa" w:w="3120"/>
            <w:vAlign w:val="center"/>
          </w:tcPr>
          <w:p>
            <w:pPr>
              <w:spacing w:line="276" w:lineRule="auto"/>
            </w:pPr>
            <w:r/>
            <w:r>
              <w:rPr>
                <w:rFonts w:ascii="Arial" w:hAnsi="Arial"/>
                <w:b w:val="0"/>
                <w:sz w:val="18"/>
              </w:rPr>
              <w:t>I5</w:t>
            </w:r>
          </w:p>
        </w:tc>
        <w:tc>
          <w:tcPr>
            <w:tcW w:type="dxa" w:w="3120"/>
            <w:vAlign w:val="center"/>
          </w:tcPr>
          <w:p>
            <w:pPr>
              <w:spacing w:line="276" w:lineRule="auto"/>
            </w:pPr>
            <w:r/>
            <w:r>
              <w:rPr>
                <w:rFonts w:ascii="Arial" w:hAnsi="Arial"/>
                <w:b w:val="0"/>
                <w:sz w:val="18"/>
              </w:rPr>
              <w:t>Integrity</w:t>
            </w:r>
          </w:p>
        </w:tc>
        <w:tc>
          <w:tcPr>
            <w:tcW w:type="dxa" w:w="3120"/>
            <w:vAlign w:val="center"/>
          </w:tcPr>
          <w:p>
            <w:pPr>
              <w:spacing w:line="276" w:lineRule="auto"/>
            </w:pPr>
            <w:r/>
            <w:r>
              <w:rPr>
                <w:rFonts w:ascii="Arial" w:hAnsi="Arial"/>
                <w:b w:val="0"/>
                <w:sz w:val="18"/>
              </w:rPr>
              <w:t>This seller's listing description seems honest and accurate.</w:t>
            </w:r>
          </w:p>
        </w:tc>
      </w:tr>
      <w:tr>
        <w:tc>
          <w:tcPr>
            <w:tcW w:type="dxa" w:w="3120"/>
            <w:vAlign w:val="center"/>
          </w:tcPr>
          <w:p>
            <w:pPr>
              <w:spacing w:line="276" w:lineRule="auto"/>
            </w:pPr>
            <w:r/>
            <w:r>
              <w:rPr>
                <w:rFonts w:ascii="Arial" w:hAnsi="Arial"/>
                <w:b w:val="0"/>
                <w:sz w:val="18"/>
              </w:rPr>
              <w:t>I6</w:t>
            </w:r>
          </w:p>
        </w:tc>
        <w:tc>
          <w:tcPr>
            <w:tcW w:type="dxa" w:w="3120"/>
            <w:vAlign w:val="center"/>
          </w:tcPr>
          <w:p>
            <w:pPr>
              <w:spacing w:line="276" w:lineRule="auto"/>
            </w:pPr>
            <w:r/>
            <w:r>
              <w:rPr>
                <w:rFonts w:ascii="Arial" w:hAnsi="Arial"/>
                <w:b w:val="0"/>
                <w:sz w:val="18"/>
              </w:rPr>
              <w:t>Trusting Intentions</w:t>
            </w:r>
          </w:p>
        </w:tc>
        <w:tc>
          <w:tcPr>
            <w:tcW w:type="dxa" w:w="3120"/>
            <w:vAlign w:val="center"/>
          </w:tcPr>
          <w:p>
            <w:pPr>
              <w:spacing w:line="276" w:lineRule="auto"/>
            </w:pPr>
            <w:r/>
            <w:r>
              <w:rPr>
                <w:rFonts w:ascii="Arial" w:hAnsi="Arial"/>
                <w:b w:val="0"/>
                <w:sz w:val="18"/>
              </w:rPr>
              <w:t>I would feel comfortable purchasing from this seller.</w:t>
            </w:r>
          </w:p>
        </w:tc>
      </w:tr>
      <w:tr>
        <w:tc>
          <w:tcPr>
            <w:tcW w:type="dxa" w:w="3120"/>
            <w:vAlign w:val="center"/>
          </w:tcPr>
          <w:p>
            <w:pPr>
              <w:spacing w:line="276" w:lineRule="auto"/>
            </w:pPr>
            <w:r/>
            <w:r>
              <w:rPr>
                <w:rFonts w:ascii="Arial" w:hAnsi="Arial"/>
                <w:b w:val="0"/>
                <w:sz w:val="18"/>
              </w:rPr>
              <w:t>I7</w:t>
            </w:r>
          </w:p>
        </w:tc>
        <w:tc>
          <w:tcPr>
            <w:tcW w:type="dxa" w:w="3120"/>
            <w:vAlign w:val="center"/>
          </w:tcPr>
          <w:p>
            <w:pPr>
              <w:spacing w:line="276" w:lineRule="auto"/>
            </w:pPr>
            <w:r/>
            <w:r>
              <w:rPr>
                <w:rFonts w:ascii="Arial" w:hAnsi="Arial"/>
                <w:b w:val="0"/>
                <w:sz w:val="18"/>
              </w:rPr>
              <w:t>Trusting Intentions</w:t>
            </w:r>
          </w:p>
        </w:tc>
        <w:tc>
          <w:tcPr>
            <w:tcW w:type="dxa" w:w="3120"/>
            <w:vAlign w:val="center"/>
          </w:tcPr>
          <w:p>
            <w:pPr>
              <w:spacing w:line="276" w:lineRule="auto"/>
            </w:pPr>
            <w:r/>
            <w:r>
              <w:rPr>
                <w:rFonts w:ascii="Arial" w:hAnsi="Arial"/>
                <w:b w:val="0"/>
                <w:sz w:val="18"/>
              </w:rPr>
              <w:t>I intend to proceed with this purchase.</w:t>
            </w:r>
          </w:p>
        </w:tc>
      </w:tr>
    </w:tbl>
    <w:p/>
    <w:p>
      <w:pPr>
        <w:spacing w:line="360" w:lineRule="auto"/>
      </w:pPr>
      <w:r>
        <w:rPr>
          <w:rFonts w:ascii="Arial" w:hAnsi="Arial"/>
          <w:sz w:val="24"/>
        </w:rPr>
        <w:t>Internal consistency reported in Chapter 6: Competence α = 0.94; Benevolence α = 0.94; Trusting Intentions α = 0.91. Integrity was represented by a single item, so Cronbach's alpha was not calculated for that construct.</w:t>
      </w:r>
    </w:p>
    <w:p>
      <w:pPr>
        <w:pStyle w:val="Heading2"/>
        <w:spacing w:line="360" w:lineRule="auto"/>
      </w:pPr>
      <w:r>
        <w:t>I.2 System Usability Scale</w:t>
      </w:r>
    </w:p>
    <w:p>
      <w:pPr>
        <w:pStyle w:val="ListNumber"/>
        <w:spacing w:line="360" w:lineRule="auto"/>
      </w:pPr>
      <w:r>
        <w:t>1. I think that I would like to use this system frequently.</w:t>
      </w:r>
    </w:p>
    <w:p>
      <w:pPr>
        <w:pStyle w:val="ListNumber"/>
        <w:spacing w:line="360" w:lineRule="auto"/>
      </w:pPr>
      <w:r>
        <w:t>2. I found the system unnecessarily complex.</w:t>
      </w:r>
    </w:p>
    <w:p>
      <w:pPr>
        <w:pStyle w:val="ListNumber"/>
        <w:spacing w:line="360" w:lineRule="auto"/>
      </w:pPr>
      <w:r>
        <w:t>3. I thought the system was easy to use.</w:t>
      </w:r>
    </w:p>
    <w:p>
      <w:pPr>
        <w:pStyle w:val="ListNumber"/>
        <w:spacing w:line="360" w:lineRule="auto"/>
      </w:pPr>
      <w:r>
        <w:t>4. I think that I would need the support of a technical person to be able to use this system.</w:t>
      </w:r>
    </w:p>
    <w:p>
      <w:pPr>
        <w:pStyle w:val="ListNumber"/>
        <w:spacing w:line="360" w:lineRule="auto"/>
      </w:pPr>
      <w:r>
        <w:t>5. I found the various functions in this system were well integrated.</w:t>
      </w:r>
    </w:p>
    <w:p>
      <w:pPr>
        <w:pStyle w:val="ListNumber"/>
        <w:spacing w:line="360" w:lineRule="auto"/>
      </w:pPr>
      <w:r>
        <w:t>6. I thought there was too much inconsistency in this system.</w:t>
      </w:r>
    </w:p>
    <w:p>
      <w:pPr>
        <w:pStyle w:val="ListNumber"/>
        <w:spacing w:line="360" w:lineRule="auto"/>
      </w:pPr>
      <w:r>
        <w:t>7. I would imagine that most people would learn to use this system very quickly.</w:t>
      </w:r>
    </w:p>
    <w:p>
      <w:pPr>
        <w:pStyle w:val="ListNumber"/>
        <w:spacing w:line="360" w:lineRule="auto"/>
      </w:pPr>
      <w:r>
        <w:t>8. I found the system very cumbersome to use.</w:t>
      </w:r>
    </w:p>
    <w:p>
      <w:pPr>
        <w:pStyle w:val="ListNumber"/>
        <w:spacing w:line="360" w:lineRule="auto"/>
      </w:pPr>
      <w:r>
        <w:t>9. I felt very confident using the system.</w:t>
      </w:r>
    </w:p>
    <w:p>
      <w:pPr>
        <w:pStyle w:val="ListNumber"/>
        <w:spacing w:line="360" w:lineRule="auto"/>
      </w:pPr>
      <w:r>
        <w:t>10. I needed to learn a lot of things before I could get going with this system.</w:t>
      </w:r>
    </w:p>
    <w:p>
      <w:pPr>
        <w:pStyle w:val="Heading2"/>
        <w:spacing w:line="360" w:lineRule="auto"/>
      </w:pPr>
      <w:r>
        <w:t>I.3 SUS Scoring Procedure</w:t>
      </w:r>
    </w:p>
    <w:p>
      <w:pPr>
        <w:pStyle w:val="ListBullet"/>
        <w:spacing w:line="360" w:lineRule="auto"/>
      </w:pPr>
      <w:r>
        <w:t>Each SUS item is scored from 1 (Strongly Disagree) to 5 (Strongly Agree).</w:t>
      </w:r>
    </w:p>
    <w:p>
      <w:pPr>
        <w:pStyle w:val="ListBullet"/>
        <w:spacing w:line="360" w:lineRule="auto"/>
      </w:pPr>
      <w:r>
        <w:t>For odd-numbered items, subtract 1 from the participant response.</w:t>
      </w:r>
    </w:p>
    <w:p>
      <w:pPr>
        <w:pStyle w:val="ListBullet"/>
        <w:spacing w:line="360" w:lineRule="auto"/>
      </w:pPr>
      <w:r>
        <w:t>For even-numbered items, subtract the participant response from 5.</w:t>
      </w:r>
    </w:p>
    <w:p>
      <w:pPr>
        <w:pStyle w:val="ListBullet"/>
        <w:spacing w:line="360" w:lineRule="auto"/>
      </w:pPr>
      <w:r>
        <w:t>Sum the ten adjusted scores and multiply by 2.5 to convert to a 0-100 SUS score.</w:t>
      </w:r>
    </w:p>
    <w:p>
      <w:pPr>
        <w:pStyle w:val="ListBullet"/>
        <w:spacing w:line="360" w:lineRule="auto"/>
      </w:pPr>
      <w:r>
        <w:t>Higher scores indicate stronger perceived usability.</w:t>
      </w:r>
    </w:p>
    <w:p>
      <w:r>
        <w:br w:type="page"/>
      </w:r>
    </w:p>
    <w:p>
      <w:pPr>
        <w:pStyle w:val="Heading1"/>
        <w:spacing w:line="360" w:lineRule="auto"/>
      </w:pPr>
      <w:r>
        <w:t>Appendix J — Phase 1 Survey</w:t>
      </w:r>
    </w:p>
    <w:p>
      <w:pPr>
        <w:spacing w:line="360" w:lineRule="auto"/>
      </w:pPr>
      <w:r>
        <w:rPr>
          <w:rFonts w:ascii="Arial" w:hAnsi="Arial"/>
          <w:sz w:val="24"/>
        </w:rPr>
        <w:t>Phase 1 was used to inform the trust-signal design before the prototype A/B evaluation. The survey had n=25 valid responses.</w:t>
      </w:r>
    </w:p>
    <w:p>
      <w:pPr>
        <w:pStyle w:val="Heading2"/>
        <w:spacing w:line="360" w:lineRule="auto"/>
      </w:pPr>
      <w:r>
        <w:t>J.1 Survey Instrument</w:t>
      </w:r>
    </w:p>
    <w:p>
      <w:pPr>
        <w:pStyle w:val="ListNumber"/>
        <w:spacing w:line="360" w:lineRule="auto"/>
      </w:pPr>
      <w:r>
        <w:t>1. I worry about fake or counterfeit products when buying sneakers, streetwear, or fashion items online.</w:t>
      </w:r>
    </w:p>
    <w:p>
      <w:pPr>
        <w:pStyle w:val="ListNumber"/>
        <w:spacing w:line="360" w:lineRule="auto"/>
      </w:pPr>
      <w:r>
        <w:t>2. I worry that seller reviews on resale platforms can be misleading.</w:t>
      </w:r>
    </w:p>
    <w:p>
      <w:pPr>
        <w:pStyle w:val="ListNumber"/>
        <w:spacing w:line="360" w:lineRule="auto"/>
      </w:pPr>
      <w:r>
        <w:t>3. I trust sellers more when reviews are clearly linked to completed transactions.</w:t>
      </w:r>
    </w:p>
    <w:p>
      <w:pPr>
        <w:pStyle w:val="ListNumber"/>
        <w:spacing w:line="360" w:lineRule="auto"/>
      </w:pPr>
      <w:r>
        <w:t>4. I trust sellers more when their account is verified through a recognised login provider, such as Google.</w:t>
      </w:r>
    </w:p>
    <w:p>
      <w:pPr>
        <w:pStyle w:val="ListNumber"/>
        <w:spacing w:line="360" w:lineRule="auto"/>
      </w:pPr>
      <w:r>
        <w:t>5. I trust sellers more when I can see signs of social proof, such as mutual connections or shared networks.</w:t>
      </w:r>
    </w:p>
    <w:p>
      <w:pPr>
        <w:pStyle w:val="ListNumber"/>
        <w:spacing w:line="360" w:lineRule="auto"/>
      </w:pPr>
      <w:r>
        <w:t>6. Star ratings alone are enough for me to trust a seller.</w:t>
      </w:r>
    </w:p>
    <w:p>
      <w:pPr>
        <w:pStyle w:val="Heading2"/>
        <w:spacing w:line="360" w:lineRule="auto"/>
      </w:pPr>
      <w:r>
        <w:t>J.2 Key Results</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EDEDED"/>
            <w:vAlign w:val="center"/>
          </w:tcPr>
          <w:p>
            <w:pPr>
              <w:spacing w:line="276" w:lineRule="auto"/>
            </w:pPr>
            <w:r/>
            <w:r>
              <w:rPr>
                <w:rFonts w:ascii="Arial" w:hAnsi="Arial"/>
                <w:b/>
                <w:sz w:val="20"/>
              </w:rPr>
              <w:t>Measure</w:t>
            </w:r>
          </w:p>
        </w:tc>
        <w:tc>
          <w:tcPr>
            <w:tcW w:type="dxa" w:w="4680"/>
            <w:shd w:fill="EDEDED"/>
            <w:vAlign w:val="center"/>
          </w:tcPr>
          <w:p>
            <w:pPr>
              <w:spacing w:line="276" w:lineRule="auto"/>
            </w:pPr>
            <w:r/>
            <w:r>
              <w:rPr>
                <w:rFonts w:ascii="Arial" w:hAnsi="Arial"/>
                <w:b/>
                <w:sz w:val="20"/>
              </w:rPr>
              <w:t>Result (n=25)</w:t>
            </w:r>
          </w:p>
        </w:tc>
      </w:tr>
      <w:tr>
        <w:tc>
          <w:tcPr>
            <w:tcW w:type="dxa" w:w="4680"/>
            <w:vAlign w:val="center"/>
          </w:tcPr>
          <w:p>
            <w:pPr>
              <w:spacing w:line="276" w:lineRule="auto"/>
            </w:pPr>
            <w:r/>
            <w:r>
              <w:rPr>
                <w:rFonts w:ascii="Arial" w:hAnsi="Arial"/>
                <w:b w:val="0"/>
                <w:sz w:val="20"/>
              </w:rPr>
              <w:t>Star ratings sufficient</w:t>
            </w:r>
          </w:p>
        </w:tc>
        <w:tc>
          <w:tcPr>
            <w:tcW w:type="dxa" w:w="4680"/>
            <w:vAlign w:val="center"/>
          </w:tcPr>
          <w:p>
            <w:pPr>
              <w:spacing w:line="276" w:lineRule="auto"/>
            </w:pPr>
            <w:r/>
            <w:r>
              <w:rPr>
                <w:rFonts w:ascii="Arial" w:hAnsi="Arial"/>
                <w:b w:val="0"/>
                <w:sz w:val="20"/>
              </w:rPr>
              <w:t>32% agreed</w:t>
            </w:r>
          </w:p>
        </w:tc>
      </w:tr>
      <w:tr>
        <w:tc>
          <w:tcPr>
            <w:tcW w:type="dxa" w:w="4680"/>
            <w:vAlign w:val="center"/>
          </w:tcPr>
          <w:p>
            <w:pPr>
              <w:spacing w:line="276" w:lineRule="auto"/>
            </w:pPr>
            <w:r/>
            <w:r>
              <w:rPr>
                <w:rFonts w:ascii="Arial" w:hAnsi="Arial"/>
                <w:b w:val="0"/>
                <w:sz w:val="20"/>
              </w:rPr>
              <w:t>Trust transaction-linked reviews</w:t>
            </w:r>
          </w:p>
        </w:tc>
        <w:tc>
          <w:tcPr>
            <w:tcW w:type="dxa" w:w="4680"/>
            <w:vAlign w:val="center"/>
          </w:tcPr>
          <w:p>
            <w:pPr>
              <w:spacing w:line="276" w:lineRule="auto"/>
            </w:pPr>
            <w:r/>
            <w:r>
              <w:rPr>
                <w:rFonts w:ascii="Arial" w:hAnsi="Arial"/>
                <w:b w:val="0"/>
                <w:sz w:val="20"/>
              </w:rPr>
              <w:t>80% agreed</w:t>
            </w:r>
          </w:p>
        </w:tc>
      </w:tr>
      <w:tr>
        <w:tc>
          <w:tcPr>
            <w:tcW w:type="dxa" w:w="4680"/>
            <w:vAlign w:val="center"/>
          </w:tcPr>
          <w:p>
            <w:pPr>
              <w:spacing w:line="276" w:lineRule="auto"/>
            </w:pPr>
            <w:r/>
            <w:r>
              <w:rPr>
                <w:rFonts w:ascii="Arial" w:hAnsi="Arial"/>
                <w:b w:val="0"/>
                <w:sz w:val="20"/>
              </w:rPr>
              <w:t>Trust verified accounts</w:t>
            </w:r>
          </w:p>
        </w:tc>
        <w:tc>
          <w:tcPr>
            <w:tcW w:type="dxa" w:w="4680"/>
            <w:vAlign w:val="center"/>
          </w:tcPr>
          <w:p>
            <w:pPr>
              <w:spacing w:line="276" w:lineRule="auto"/>
            </w:pPr>
            <w:r/>
            <w:r>
              <w:rPr>
                <w:rFonts w:ascii="Arial" w:hAnsi="Arial"/>
                <w:b w:val="0"/>
                <w:sz w:val="20"/>
              </w:rPr>
              <w:t>76% agreed</w:t>
            </w:r>
          </w:p>
        </w:tc>
      </w:tr>
      <w:tr>
        <w:tc>
          <w:tcPr>
            <w:tcW w:type="dxa" w:w="4680"/>
            <w:vAlign w:val="center"/>
          </w:tcPr>
          <w:p>
            <w:pPr>
              <w:spacing w:line="276" w:lineRule="auto"/>
            </w:pPr>
            <w:r/>
            <w:r>
              <w:rPr>
                <w:rFonts w:ascii="Arial" w:hAnsi="Arial"/>
                <w:b w:val="0"/>
                <w:sz w:val="20"/>
              </w:rPr>
              <w:t>Trust mutual connections/social proof</w:t>
            </w:r>
          </w:p>
        </w:tc>
        <w:tc>
          <w:tcPr>
            <w:tcW w:type="dxa" w:w="4680"/>
            <w:vAlign w:val="center"/>
          </w:tcPr>
          <w:p>
            <w:pPr>
              <w:spacing w:line="276" w:lineRule="auto"/>
            </w:pPr>
            <w:r/>
            <w:r>
              <w:rPr>
                <w:rFonts w:ascii="Arial" w:hAnsi="Arial"/>
                <w:b w:val="0"/>
                <w:sz w:val="20"/>
              </w:rPr>
              <w:t>68% agreed</w:t>
            </w:r>
          </w:p>
        </w:tc>
      </w:tr>
    </w:tbl>
    <w:p/>
    <w:p>
      <w:r>
        <w:br w:type="page"/>
      </w:r>
    </w:p>
    <w:p>
      <w:pPr>
        <w:pStyle w:val="Heading1"/>
        <w:spacing w:line="360" w:lineRule="auto"/>
      </w:pPr>
      <w:r>
        <w:t>Appendix K — Database Schema</w:t>
      </w:r>
    </w:p>
    <w:p>
      <w:pPr>
        <w:spacing w:line="360" w:lineRule="auto"/>
      </w:pPr>
      <w:r>
        <w:rPr>
          <w:rFonts w:ascii="Arial" w:hAnsi="Arial"/>
          <w:sz w:val="24"/>
        </w:rPr>
        <w:t>The following schema screenshots group backend/database/schema.sql by domain so that the database design can be inspected alongside the implementation evidence.</w:t>
      </w:r>
    </w:p>
    <w:p>
      <w:r>
        <w:drawing>
          <wp:inline xmlns:a="http://schemas.openxmlformats.org/drawingml/2006/main" xmlns:pic="http://schemas.openxmlformats.org/drawingml/2006/picture">
            <wp:extent cx="5852160" cy="4707035"/>
            <wp:docPr id="2" name="Picture 2"/>
            <wp:cNvGraphicFramePr>
              <a:graphicFrameLocks noChangeAspect="1"/>
            </wp:cNvGraphicFramePr>
            <a:graphic>
              <a:graphicData uri="http://schemas.openxmlformats.org/drawingml/2006/picture">
                <pic:pic>
                  <pic:nvPicPr>
                    <pic:cNvPr id="0" name="figure-K-1-users-authentication-schema.png"/>
                    <pic:cNvPicPr/>
                  </pic:nvPicPr>
                  <pic:blipFill>
                    <a:blip r:embed="rId10"/>
                    <a:stretch>
                      <a:fillRect/>
                    </a:stretch>
                  </pic:blipFill>
                  <pic:spPr>
                    <a:xfrm>
                      <a:off x="0" y="0"/>
                      <a:ext cx="5852160" cy="4707035"/>
                    </a:xfrm>
                    <a:prstGeom prst="rect"/>
                  </pic:spPr>
                </pic:pic>
              </a:graphicData>
            </a:graphic>
          </wp:inline>
        </w:drawing>
      </w:r>
    </w:p>
    <w:p>
      <w:pPr>
        <w:jc w:val="center"/>
      </w:pPr>
      <w:r>
        <w:t>Figure K.1: Users and authentication schema, including user fields, OAuth columns and OAuth indexes.</w:t>
      </w:r>
    </w:p>
    <w:p>
      <w:r>
        <w:drawing>
          <wp:inline xmlns:a="http://schemas.openxmlformats.org/drawingml/2006/main" xmlns:pic="http://schemas.openxmlformats.org/drawingml/2006/picture">
            <wp:extent cx="5852160" cy="7591991"/>
            <wp:docPr id="3" name="Picture 3"/>
            <wp:cNvGraphicFramePr>
              <a:graphicFrameLocks noChangeAspect="1"/>
            </wp:cNvGraphicFramePr>
            <a:graphic>
              <a:graphicData uri="http://schemas.openxmlformats.org/drawingml/2006/picture">
                <pic:pic>
                  <pic:nvPicPr>
                    <pic:cNvPr id="0" name="figure-K-2-marketplace-schema.png"/>
                    <pic:cNvPicPr/>
                  </pic:nvPicPr>
                  <pic:blipFill>
                    <a:blip r:embed="rId11"/>
                    <a:stretch>
                      <a:fillRect/>
                    </a:stretch>
                  </pic:blipFill>
                  <pic:spPr>
                    <a:xfrm>
                      <a:off x="0" y="0"/>
                      <a:ext cx="5852160" cy="7591991"/>
                    </a:xfrm>
                    <a:prstGeom prst="rect"/>
                  </pic:spPr>
                </pic:pic>
              </a:graphicData>
            </a:graphic>
          </wp:inline>
        </w:drawing>
      </w:r>
    </w:p>
    <w:p>
      <w:pPr>
        <w:jc w:val="center"/>
      </w:pPr>
      <w:r>
        <w:t>Figure K.2: Marketplace schema for listings, reviews, purchase requests, messages and related indexes.</w:t>
      </w:r>
    </w:p>
    <w:p>
      <w:r>
        <w:drawing>
          <wp:inline xmlns:a="http://schemas.openxmlformats.org/drawingml/2006/main" xmlns:pic="http://schemas.openxmlformats.org/drawingml/2006/picture">
            <wp:extent cx="5852160" cy="5067654"/>
            <wp:docPr id="4" name="Picture 4"/>
            <wp:cNvGraphicFramePr>
              <a:graphicFrameLocks noChangeAspect="1"/>
            </wp:cNvGraphicFramePr>
            <a:graphic>
              <a:graphicData uri="http://schemas.openxmlformats.org/drawingml/2006/picture">
                <pic:pic>
                  <pic:nvPicPr>
                    <pic:cNvPr id="0" name="figure-K-3-trust-mechanism-schema.png"/>
                    <pic:cNvPicPr/>
                  </pic:nvPicPr>
                  <pic:blipFill>
                    <a:blip r:embed="rId12"/>
                    <a:stretch>
                      <a:fillRect/>
                    </a:stretch>
                  </pic:blipFill>
                  <pic:spPr>
                    <a:xfrm>
                      <a:off x="0" y="0"/>
                      <a:ext cx="5852160" cy="5067654"/>
                    </a:xfrm>
                    <a:prstGeom prst="rect"/>
                  </pic:spPr>
                </pic:pic>
              </a:graphicData>
            </a:graphic>
          </wp:inline>
        </w:drawing>
      </w:r>
    </w:p>
    <w:p>
      <w:pPr>
        <w:jc w:val="center"/>
      </w:pPr>
      <w:r>
        <w:t>Figure K.3: Trust mechanism schema for social verification, mutual connections and supporting indexes.</w:t>
      </w:r>
    </w:p>
    <w:p>
      <w:r>
        <w:drawing>
          <wp:inline xmlns:a="http://schemas.openxmlformats.org/drawingml/2006/main" xmlns:pic="http://schemas.openxmlformats.org/drawingml/2006/picture">
            <wp:extent cx="5852160" cy="5428274"/>
            <wp:docPr id="5" name="Picture 5"/>
            <wp:cNvGraphicFramePr>
              <a:graphicFrameLocks noChangeAspect="1"/>
            </wp:cNvGraphicFramePr>
            <a:graphic>
              <a:graphicData uri="http://schemas.openxmlformats.org/drawingml/2006/picture">
                <pic:pic>
                  <pic:nvPicPr>
                    <pic:cNvPr id="0" name="figure-K-4-evaluation-schema.png"/>
                    <pic:cNvPicPr/>
                  </pic:nvPicPr>
                  <pic:blipFill>
                    <a:blip r:embed="rId13"/>
                    <a:stretch>
                      <a:fillRect/>
                    </a:stretch>
                  </pic:blipFill>
                  <pic:spPr>
                    <a:xfrm>
                      <a:off x="0" y="0"/>
                      <a:ext cx="5852160" cy="5428274"/>
                    </a:xfrm>
                    <a:prstGeom prst="rect"/>
                  </pic:spPr>
                </pic:pic>
              </a:graphicData>
            </a:graphic>
          </wp:inline>
        </w:drawing>
      </w:r>
    </w:p>
    <w:p>
      <w:pPr>
        <w:jc w:val="center"/>
      </w:pPr>
      <w:r>
        <w:t>Figure K.4: Evaluation schema for trust measurements, participant codes, condition assignments and A/B condition records.</w:t>
      </w:r>
    </w:p>
    <w:p>
      <w:r>
        <w:br w:type="page"/>
      </w:r>
    </w:p>
    <w:p>
      <w:pPr>
        <w:pStyle w:val="Heading1"/>
        <w:spacing w:line="360" w:lineRule="auto"/>
      </w:pPr>
      <w:r>
        <w:t>Appendix L — Qualitative Codebook</w:t>
      </w:r>
    </w:p>
    <w:p>
      <w:pPr>
        <w:spacing w:line="360" w:lineRule="auto"/>
      </w:pPr>
      <w:r>
        <w:rPr>
          <w:rFonts w:ascii="Arial" w:hAnsi="Arial"/>
          <w:sz w:val="24"/>
        </w:rPr>
        <w:t>The codebook below uses participant-code-labelled comments from the post-task survey workbook where available. Quotes have been kept brief and retain participant wording except for surrounding truncation where needed.</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EDEDED"/>
            <w:vAlign w:val="center"/>
          </w:tcPr>
          <w:p>
            <w:pPr>
              <w:spacing w:line="276" w:lineRule="auto"/>
            </w:pPr>
            <w:r/>
            <w:r>
              <w:rPr>
                <w:rFonts w:ascii="Arial" w:hAnsi="Arial"/>
                <w:b/>
                <w:sz w:val="16"/>
              </w:rPr>
              <w:t>Theme</w:t>
            </w:r>
          </w:p>
        </w:tc>
        <w:tc>
          <w:tcPr>
            <w:tcW w:type="dxa" w:w="2340"/>
            <w:shd w:fill="EDEDED"/>
            <w:vAlign w:val="center"/>
          </w:tcPr>
          <w:p>
            <w:pPr>
              <w:spacing w:line="276" w:lineRule="auto"/>
            </w:pPr>
            <w:r/>
            <w:r>
              <w:rPr>
                <w:rFonts w:ascii="Arial" w:hAnsi="Arial"/>
                <w:b/>
                <w:sz w:val="16"/>
              </w:rPr>
              <w:t>Code</w:t>
            </w:r>
          </w:p>
        </w:tc>
        <w:tc>
          <w:tcPr>
            <w:tcW w:type="dxa" w:w="2340"/>
            <w:shd w:fill="EDEDED"/>
            <w:vAlign w:val="center"/>
          </w:tcPr>
          <w:p>
            <w:pPr>
              <w:spacing w:line="276" w:lineRule="auto"/>
            </w:pPr>
            <w:r/>
            <w:r>
              <w:rPr>
                <w:rFonts w:ascii="Arial" w:hAnsi="Arial"/>
                <w:b/>
                <w:sz w:val="16"/>
              </w:rPr>
              <w:t>Participant</w:t>
            </w:r>
          </w:p>
        </w:tc>
        <w:tc>
          <w:tcPr>
            <w:tcW w:type="dxa" w:w="2340"/>
            <w:shd w:fill="EDEDED"/>
            <w:vAlign w:val="center"/>
          </w:tcPr>
          <w:p>
            <w:pPr>
              <w:spacing w:line="276" w:lineRule="auto"/>
            </w:pPr>
            <w:r/>
            <w:r>
              <w:rPr>
                <w:rFonts w:ascii="Arial" w:hAnsi="Arial"/>
                <w:b/>
                <w:sz w:val="16"/>
              </w:rPr>
              <w:t>Illustrative quote</w:t>
            </w:r>
          </w:p>
        </w:tc>
      </w:tr>
      <w:tr>
        <w:tc>
          <w:tcPr>
            <w:tcW w:type="dxa" w:w="2340"/>
            <w:vAlign w:val="center"/>
          </w:tcPr>
          <w:p>
            <w:pPr>
              <w:spacing w:line="276" w:lineRule="auto"/>
            </w:pPr>
            <w:r/>
            <w:r>
              <w:rPr>
                <w:rFonts w:ascii="Arial" w:hAnsi="Arial"/>
                <w:b w:val="0"/>
                <w:sz w:val="16"/>
              </w:rPr>
              <w:t>Verification signals support trust</w:t>
            </w:r>
          </w:p>
        </w:tc>
        <w:tc>
          <w:tcPr>
            <w:tcW w:type="dxa" w:w="2340"/>
            <w:vAlign w:val="center"/>
          </w:tcPr>
          <w:p>
            <w:pPr>
              <w:spacing w:line="276" w:lineRule="auto"/>
            </w:pPr>
            <w:r/>
            <w:r>
              <w:rPr>
                <w:rFonts w:ascii="Arial" w:hAnsi="Arial"/>
                <w:b w:val="0"/>
                <w:sz w:val="16"/>
              </w:rPr>
              <w:t>Profile verification cue</w:t>
            </w:r>
          </w:p>
        </w:tc>
        <w:tc>
          <w:tcPr>
            <w:tcW w:type="dxa" w:w="2340"/>
            <w:vAlign w:val="center"/>
          </w:tcPr>
          <w:p>
            <w:pPr>
              <w:spacing w:line="276" w:lineRule="auto"/>
            </w:pPr>
            <w:r/>
            <w:r>
              <w:rPr>
                <w:rFonts w:ascii="Arial" w:hAnsi="Arial"/>
                <w:b w:val="0"/>
                <w:sz w:val="16"/>
              </w:rPr>
              <w:t>P370</w:t>
            </w:r>
          </w:p>
        </w:tc>
        <w:tc>
          <w:tcPr>
            <w:tcW w:type="dxa" w:w="2340"/>
            <w:vAlign w:val="center"/>
          </w:tcPr>
          <w:p>
            <w:pPr>
              <w:spacing w:line="276" w:lineRule="auto"/>
            </w:pPr>
            <w:r/>
            <w:r>
              <w:rPr>
                <w:rFonts w:ascii="Arial" w:hAnsi="Arial"/>
                <w:b w:val="0"/>
                <w:sz w:val="16"/>
              </w:rPr>
              <w:t>His profile was verified and there was mention of his social media platform and the handles.</w:t>
            </w:r>
          </w:p>
        </w:tc>
      </w:tr>
      <w:tr>
        <w:tc>
          <w:tcPr>
            <w:tcW w:type="dxa" w:w="2340"/>
            <w:vAlign w:val="center"/>
          </w:tcPr>
          <w:p>
            <w:pPr>
              <w:spacing w:line="276" w:lineRule="auto"/>
            </w:pPr>
            <w:r/>
            <w:r>
              <w:rPr>
                <w:rFonts w:ascii="Arial" w:hAnsi="Arial"/>
                <w:b w:val="0"/>
                <w:sz w:val="16"/>
              </w:rPr>
              <w:t>Verification signals support trust</w:t>
            </w:r>
          </w:p>
        </w:tc>
        <w:tc>
          <w:tcPr>
            <w:tcW w:type="dxa" w:w="2340"/>
            <w:vAlign w:val="center"/>
          </w:tcPr>
          <w:p>
            <w:pPr>
              <w:spacing w:line="276" w:lineRule="auto"/>
            </w:pPr>
            <w:r/>
            <w:r>
              <w:rPr>
                <w:rFonts w:ascii="Arial" w:hAnsi="Arial"/>
                <w:b w:val="0"/>
                <w:sz w:val="16"/>
              </w:rPr>
              <w:t>Verification explanation needed</w:t>
            </w:r>
          </w:p>
        </w:tc>
        <w:tc>
          <w:tcPr>
            <w:tcW w:type="dxa" w:w="2340"/>
            <w:vAlign w:val="center"/>
          </w:tcPr>
          <w:p>
            <w:pPr>
              <w:spacing w:line="276" w:lineRule="auto"/>
            </w:pPr>
            <w:r/>
            <w:r>
              <w:rPr>
                <w:rFonts w:ascii="Arial" w:hAnsi="Arial"/>
                <w:b w:val="0"/>
                <w:sz w:val="16"/>
              </w:rPr>
              <w:t>P706</w:t>
            </w:r>
          </w:p>
        </w:tc>
        <w:tc>
          <w:tcPr>
            <w:tcW w:type="dxa" w:w="2340"/>
            <w:vAlign w:val="center"/>
          </w:tcPr>
          <w:p>
            <w:pPr>
              <w:spacing w:line="276" w:lineRule="auto"/>
            </w:pPr>
            <w:r/>
            <w:r>
              <w:rPr>
                <w:rFonts w:ascii="Arial" w:hAnsi="Arial"/>
                <w:b w:val="0"/>
                <w:sz w:val="16"/>
              </w:rPr>
              <w:t>Some of the verification labels could be explained better because I was not completely sure how they were checked.</w:t>
            </w:r>
          </w:p>
        </w:tc>
      </w:tr>
      <w:tr>
        <w:tc>
          <w:tcPr>
            <w:tcW w:type="dxa" w:w="2340"/>
            <w:vAlign w:val="center"/>
          </w:tcPr>
          <w:p>
            <w:pPr>
              <w:spacing w:line="276" w:lineRule="auto"/>
            </w:pPr>
            <w:r/>
            <w:r>
              <w:rPr>
                <w:rFonts w:ascii="Arial" w:hAnsi="Arial"/>
                <w:b w:val="0"/>
                <w:sz w:val="16"/>
              </w:rPr>
              <w:t>Social context shifts judgement</w:t>
            </w:r>
          </w:p>
        </w:tc>
        <w:tc>
          <w:tcPr>
            <w:tcW w:type="dxa" w:w="2340"/>
            <w:vAlign w:val="center"/>
          </w:tcPr>
          <w:p>
            <w:pPr>
              <w:spacing w:line="276" w:lineRule="auto"/>
            </w:pPr>
            <w:r/>
            <w:r>
              <w:rPr>
                <w:rFonts w:ascii="Arial" w:hAnsi="Arial"/>
                <w:b w:val="0"/>
                <w:sz w:val="16"/>
              </w:rPr>
              <w:t>Mutual connections increase comfort</w:t>
            </w:r>
          </w:p>
        </w:tc>
        <w:tc>
          <w:tcPr>
            <w:tcW w:type="dxa" w:w="2340"/>
            <w:vAlign w:val="center"/>
          </w:tcPr>
          <w:p>
            <w:pPr>
              <w:spacing w:line="276" w:lineRule="auto"/>
            </w:pPr>
            <w:r/>
            <w:r>
              <w:rPr>
                <w:rFonts w:ascii="Arial" w:hAnsi="Arial"/>
                <w:b w:val="0"/>
                <w:sz w:val="16"/>
              </w:rPr>
              <w:t>P226</w:t>
            </w:r>
          </w:p>
        </w:tc>
        <w:tc>
          <w:tcPr>
            <w:tcW w:type="dxa" w:w="2340"/>
            <w:vAlign w:val="center"/>
          </w:tcPr>
          <w:p>
            <w:pPr>
              <w:spacing w:line="276" w:lineRule="auto"/>
            </w:pPr>
            <w:r/>
            <w:r>
              <w:rPr>
                <w:rFonts w:ascii="Arial" w:hAnsi="Arial"/>
                <w:b w:val="0"/>
                <w:sz w:val="16"/>
              </w:rPr>
              <w:t>They knew people I knew, which made me feel more comfortable buying things from them.</w:t>
            </w:r>
          </w:p>
        </w:tc>
      </w:tr>
      <w:tr>
        <w:tc>
          <w:tcPr>
            <w:tcW w:type="dxa" w:w="2340"/>
            <w:vAlign w:val="center"/>
          </w:tcPr>
          <w:p>
            <w:pPr>
              <w:spacing w:line="276" w:lineRule="auto"/>
            </w:pPr>
            <w:r/>
            <w:r>
              <w:rPr>
                <w:rFonts w:ascii="Arial" w:hAnsi="Arial"/>
                <w:b w:val="0"/>
                <w:sz w:val="16"/>
              </w:rPr>
              <w:t>Social context shifts judgement</w:t>
            </w:r>
          </w:p>
        </w:tc>
        <w:tc>
          <w:tcPr>
            <w:tcW w:type="dxa" w:w="2340"/>
            <w:vAlign w:val="center"/>
          </w:tcPr>
          <w:p>
            <w:pPr>
              <w:spacing w:line="276" w:lineRule="auto"/>
            </w:pPr>
            <w:r/>
            <w:r>
              <w:rPr>
                <w:rFonts w:ascii="Arial" w:hAnsi="Arial"/>
                <w:b w:val="0"/>
                <w:sz w:val="16"/>
              </w:rPr>
              <w:t>Known-person vouching desired</w:t>
            </w:r>
          </w:p>
        </w:tc>
        <w:tc>
          <w:tcPr>
            <w:tcW w:type="dxa" w:w="2340"/>
            <w:vAlign w:val="center"/>
          </w:tcPr>
          <w:p>
            <w:pPr>
              <w:spacing w:line="276" w:lineRule="auto"/>
            </w:pPr>
            <w:r/>
            <w:r>
              <w:rPr>
                <w:rFonts w:ascii="Arial" w:hAnsi="Arial"/>
                <w:b w:val="0"/>
                <w:sz w:val="16"/>
              </w:rPr>
              <w:t>P543</w:t>
            </w:r>
          </w:p>
        </w:tc>
        <w:tc>
          <w:tcPr>
            <w:tcW w:type="dxa" w:w="2340"/>
            <w:vAlign w:val="center"/>
          </w:tcPr>
          <w:p>
            <w:pPr>
              <w:spacing w:line="276" w:lineRule="auto"/>
            </w:pPr>
            <w:r/>
            <w:r>
              <w:rPr>
                <w:rFonts w:ascii="Arial" w:hAnsi="Arial"/>
                <w:b w:val="0"/>
                <w:sz w:val="16"/>
              </w:rPr>
              <w:t>If the seller had someone I knew vouch for him would be inclined to buy.</w:t>
            </w:r>
          </w:p>
        </w:tc>
      </w:tr>
      <w:tr>
        <w:tc>
          <w:tcPr>
            <w:tcW w:type="dxa" w:w="2340"/>
            <w:vAlign w:val="center"/>
          </w:tcPr>
          <w:p>
            <w:pPr>
              <w:spacing w:line="276" w:lineRule="auto"/>
            </w:pPr>
            <w:r/>
            <w:r>
              <w:rPr>
                <w:rFonts w:ascii="Arial" w:hAnsi="Arial"/>
                <w:b w:val="0"/>
                <w:sz w:val="16"/>
              </w:rPr>
              <w:t>Transaction-linked reviews carry weight</w:t>
            </w:r>
          </w:p>
        </w:tc>
        <w:tc>
          <w:tcPr>
            <w:tcW w:type="dxa" w:w="2340"/>
            <w:vAlign w:val="center"/>
          </w:tcPr>
          <w:p>
            <w:pPr>
              <w:spacing w:line="276" w:lineRule="auto"/>
            </w:pPr>
            <w:r/>
            <w:r>
              <w:rPr>
                <w:rFonts w:ascii="Arial" w:hAnsi="Arial"/>
                <w:b w:val="0"/>
                <w:sz w:val="16"/>
              </w:rPr>
              <w:t>Locked review increases evidence value</w:t>
            </w:r>
          </w:p>
        </w:tc>
        <w:tc>
          <w:tcPr>
            <w:tcW w:type="dxa" w:w="2340"/>
            <w:vAlign w:val="center"/>
          </w:tcPr>
          <w:p>
            <w:pPr>
              <w:spacing w:line="276" w:lineRule="auto"/>
            </w:pPr>
            <w:r/>
            <w:r>
              <w:rPr>
                <w:rFonts w:ascii="Arial" w:hAnsi="Arial"/>
                <w:b w:val="0"/>
                <w:sz w:val="16"/>
              </w:rPr>
              <w:t>P528</w:t>
            </w:r>
          </w:p>
        </w:tc>
        <w:tc>
          <w:tcPr>
            <w:tcW w:type="dxa" w:w="2340"/>
            <w:vAlign w:val="center"/>
          </w:tcPr>
          <w:p>
            <w:pPr>
              <w:spacing w:line="276" w:lineRule="auto"/>
            </w:pPr>
            <w:r/>
            <w:r>
              <w:rPr>
                <w:rFonts w:ascii="Arial" w:hAnsi="Arial"/>
                <w:b w:val="0"/>
                <w:sz w:val="16"/>
              </w:rPr>
              <w:t>The star rating helped, and the locked review told me what the seller sold and what I can expect to receive.</w:t>
            </w:r>
          </w:p>
        </w:tc>
      </w:tr>
      <w:tr>
        <w:tc>
          <w:tcPr>
            <w:tcW w:type="dxa" w:w="2340"/>
            <w:vAlign w:val="center"/>
          </w:tcPr>
          <w:p>
            <w:pPr>
              <w:spacing w:line="276" w:lineRule="auto"/>
            </w:pPr>
            <w:r/>
            <w:r>
              <w:rPr>
                <w:rFonts w:ascii="Arial" w:hAnsi="Arial"/>
                <w:b w:val="0"/>
                <w:sz w:val="16"/>
              </w:rPr>
              <w:t>Transaction-linked reviews carry weight</w:t>
            </w:r>
          </w:p>
        </w:tc>
        <w:tc>
          <w:tcPr>
            <w:tcW w:type="dxa" w:w="2340"/>
            <w:vAlign w:val="center"/>
          </w:tcPr>
          <w:p>
            <w:pPr>
              <w:spacing w:line="276" w:lineRule="auto"/>
            </w:pPr>
            <w:r/>
            <w:r>
              <w:rPr>
                <w:rFonts w:ascii="Arial" w:hAnsi="Arial"/>
                <w:b w:val="0"/>
                <w:sz w:val="16"/>
              </w:rPr>
              <w:t>Low or thin reviews reduce trust</w:t>
            </w:r>
          </w:p>
        </w:tc>
        <w:tc>
          <w:tcPr>
            <w:tcW w:type="dxa" w:w="2340"/>
            <w:vAlign w:val="center"/>
          </w:tcPr>
          <w:p>
            <w:pPr>
              <w:spacing w:line="276" w:lineRule="auto"/>
            </w:pPr>
            <w:r/>
            <w:r>
              <w:rPr>
                <w:rFonts w:ascii="Arial" w:hAnsi="Arial"/>
                <w:b w:val="0"/>
                <w:sz w:val="16"/>
              </w:rPr>
              <w:t>P134</w:t>
            </w:r>
          </w:p>
        </w:tc>
        <w:tc>
          <w:tcPr>
            <w:tcW w:type="dxa" w:w="2340"/>
            <w:vAlign w:val="center"/>
          </w:tcPr>
          <w:p>
            <w:pPr>
              <w:spacing w:line="276" w:lineRule="auto"/>
            </w:pPr>
            <w:r/>
            <w:r>
              <w:rPr>
                <w:rFonts w:ascii="Arial" w:hAnsi="Arial"/>
                <w:b w:val="0"/>
                <w:sz w:val="16"/>
              </w:rPr>
              <w:t>The star rating was not enough for me to commit to the purchase.</w:t>
            </w:r>
          </w:p>
        </w:tc>
      </w:tr>
      <w:tr>
        <w:tc>
          <w:tcPr>
            <w:tcW w:type="dxa" w:w="2340"/>
            <w:vAlign w:val="center"/>
          </w:tcPr>
          <w:p>
            <w:pPr>
              <w:spacing w:line="276" w:lineRule="auto"/>
            </w:pPr>
            <w:r/>
            <w:r>
              <w:rPr>
                <w:rFonts w:ascii="Arial" w:hAnsi="Arial"/>
                <w:b w:val="0"/>
                <w:sz w:val="16"/>
              </w:rPr>
              <w:t>Interface clarity</w:t>
            </w:r>
          </w:p>
        </w:tc>
        <w:tc>
          <w:tcPr>
            <w:tcW w:type="dxa" w:w="2340"/>
            <w:vAlign w:val="center"/>
          </w:tcPr>
          <w:p>
            <w:pPr>
              <w:spacing w:line="276" w:lineRule="auto"/>
            </w:pPr>
            <w:r/>
            <w:r>
              <w:rPr>
                <w:rFonts w:ascii="Arial" w:hAnsi="Arial"/>
                <w:b w:val="0"/>
                <w:sz w:val="16"/>
              </w:rPr>
              <w:t>Clear listing supports completion</w:t>
            </w:r>
          </w:p>
        </w:tc>
        <w:tc>
          <w:tcPr>
            <w:tcW w:type="dxa" w:w="2340"/>
            <w:vAlign w:val="center"/>
          </w:tcPr>
          <w:p>
            <w:pPr>
              <w:spacing w:line="276" w:lineRule="auto"/>
            </w:pPr>
            <w:r/>
            <w:r>
              <w:rPr>
                <w:rFonts w:ascii="Arial" w:hAnsi="Arial"/>
                <w:b w:val="0"/>
                <w:sz w:val="16"/>
              </w:rPr>
              <w:t>P031</w:t>
            </w:r>
          </w:p>
        </w:tc>
        <w:tc>
          <w:tcPr>
            <w:tcW w:type="dxa" w:w="2340"/>
            <w:vAlign w:val="center"/>
          </w:tcPr>
          <w:p>
            <w:pPr>
              <w:spacing w:line="276" w:lineRule="auto"/>
            </w:pPr>
            <w:r/>
            <w:r>
              <w:rPr>
                <w:rFonts w:ascii="Arial" w:hAnsi="Arial"/>
                <w:b w:val="0"/>
                <w:sz w:val="16"/>
              </w:rPr>
              <w:t>The listing was very clear providing adequate information to proceed.</w:t>
            </w:r>
          </w:p>
        </w:tc>
      </w:tr>
      <w:tr>
        <w:tc>
          <w:tcPr>
            <w:tcW w:type="dxa" w:w="2340"/>
            <w:vAlign w:val="center"/>
          </w:tcPr>
          <w:p>
            <w:pPr>
              <w:spacing w:line="276" w:lineRule="auto"/>
            </w:pPr>
            <w:r/>
            <w:r>
              <w:rPr>
                <w:rFonts w:ascii="Arial" w:hAnsi="Arial"/>
                <w:b w:val="0"/>
                <w:sz w:val="16"/>
              </w:rPr>
              <w:t>Interface clarity</w:t>
            </w:r>
          </w:p>
        </w:tc>
        <w:tc>
          <w:tcPr>
            <w:tcW w:type="dxa" w:w="2340"/>
            <w:vAlign w:val="center"/>
          </w:tcPr>
          <w:p>
            <w:pPr>
              <w:spacing w:line="276" w:lineRule="auto"/>
            </w:pPr>
            <w:r/>
            <w:r>
              <w:rPr>
                <w:rFonts w:ascii="Arial" w:hAnsi="Arial"/>
                <w:b w:val="0"/>
                <w:sz w:val="16"/>
              </w:rPr>
              <w:t>Consistency issue noticed</w:t>
            </w:r>
          </w:p>
        </w:tc>
        <w:tc>
          <w:tcPr>
            <w:tcW w:type="dxa" w:w="2340"/>
            <w:vAlign w:val="center"/>
          </w:tcPr>
          <w:p>
            <w:pPr>
              <w:spacing w:line="276" w:lineRule="auto"/>
            </w:pPr>
            <w:r/>
            <w:r>
              <w:rPr>
                <w:rFonts w:ascii="Arial" w:hAnsi="Arial"/>
                <w:b w:val="0"/>
                <w:sz w:val="16"/>
              </w:rPr>
              <w:t>P266</w:t>
            </w:r>
          </w:p>
        </w:tc>
        <w:tc>
          <w:tcPr>
            <w:tcW w:type="dxa" w:w="2340"/>
            <w:vAlign w:val="center"/>
          </w:tcPr>
          <w:p>
            <w:pPr>
              <w:spacing w:line="276" w:lineRule="auto"/>
            </w:pPr>
            <w:r/>
            <w:r>
              <w:rPr>
                <w:rFonts w:ascii="Arial" w:hAnsi="Arial"/>
                <w:b w:val="0"/>
                <w:sz w:val="16"/>
              </w:rPr>
              <w:t>It said 3, 3 star ratings but they were rated 4 stars, ensure everything is consistent.</w:t>
            </w:r>
          </w:p>
        </w:tc>
      </w:tr>
    </w:tbl>
    <w:p/>
    <w:p>
      <w:pPr>
        <w:spacing w:line="360" w:lineRule="auto"/>
      </w:pPr>
      <w:r>
        <w:rPr>
          <w:rFonts w:ascii="Arial" w:hAnsi="Arial"/>
          <w:sz w:val="24"/>
        </w:rPr>
        <w:t>If additional qualitative analysis is completed after submission of this appendix, the table can be extended with frequency counts and further representative quotes.</w:t>
      </w:r>
    </w:p>
    <w:sectPr w:rsidR="00FC693F" w:rsidRPr="0006063C" w:rsidSect="00034616">
      <w:footerReference w:type="default"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CrepFinder Appendices D-L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Arial" w:hAnsi="Arial" w:eastAsia="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contextualSpacing/>
    </w:pPr>
    <w:rPr>
      <w:rFonts w:ascii="Arial" w:hAnsi="Arial" w:eastAsia="Arial"/>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contextualSpacing/>
    </w:pPr>
    <w:rPr>
      <w:rFonts w:ascii="Arial" w:hAnsi="Arial" w:eastAsia="Arial"/>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