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3" Type="http://schemas.openxmlformats.org/package/2006/relationships/metadata/core-properties" Target="docProps/core.xml"/>
  <Relationship Id="rId4" Type="http://schemas.openxmlformats.org/officeDocument/2006/relationships/extended-properties" Target="docProps/app.xml"/>
  <Relationship Id="rId1" Type="http://schemas.openxmlformats.org/officeDocument/2006/relationships/officeDocument" Target="word/document.xml"/>
  <Relationship Id="rId2" Type="http://schemas.openxmlformats.org/package/2006/relationships/metadata/thumbnail" Target="docProps/thumbnail.jpeg"/>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color w:val="586069"/>
          <w:sz w:val="22"/>
        </w:rPr>
        <w:t>BRONX COMMUNITY COLLEGE — CUNY LIBRARY</w:t>
      </w:r>
    </w:p>
    <w:p/>
    <w:p>
      <w:pPr>
        <w:jc w:val="center"/>
      </w:pPr>
      <w:r>
        <w:rPr>
          <w:rFonts w:ascii="Calibri" w:hAnsi="Calibri"/>
          <w:b/>
          <w:color w:val="1F6FEB"/>
          <w:sz w:val="52"/>
        </w:rPr>
        <w:t>Resource Sharing GIS Visualization</w:t>
      </w:r>
    </w:p>
    <w:p>
      <w:pPr>
        <w:jc w:val="center"/>
      </w:pPr>
      <w:r>
        <w:rPr>
          <w:rFonts w:ascii="Calibri" w:hAnsi="Calibri"/>
          <w:color w:val="586069"/>
          <w:sz w:val="32"/>
        </w:rPr>
        <w:t>Project Documentation — Version 4</w:t>
      </w:r>
    </w:p>
    <w:p/>
    <w:p/>
    <w:p>
      <w:pPr>
        <w:jc w:val="center"/>
      </w:pPr>
      <w:r>
        <w:rPr>
          <w:rFonts w:ascii="Calibri" w:hAnsi="Calibri"/>
          <w:color w:val="586069"/>
          <w:sz w:val="22"/>
        </w:rPr>
        <w:t>Prepared by: Tokunbo Adeshina Jr.</w:t>
        <w:br/>
        <w:t>Date: May 04, 2026</w:t>
        <w:br/>
        <w:t>Bronx Community College, CUNY</w:t>
      </w:r>
    </w:p>
    <w:p>
      <w:r>
        <w:br w:type="page"/>
      </w:r>
    </w:p>
    <w:p>
      <w:pPr>
        <w:pStyle w:val="Heading1"/>
        <w:jc w:val="left"/>
      </w:pPr>
      <w:r>
        <w:rPr>
          <w:rFonts w:ascii="Calibri" w:hAnsi="Calibri"/>
          <w:color w:val="1F6FEB"/>
        </w:rPr>
        <w:t>1. Project Overview</w:t>
      </w:r>
    </w:p>
    <w:p>
      <w:r>
        <w:rPr>
          <w:rFonts w:ascii="Calibri" w:hAnsi="Calibri"/>
          <w:b w:val="0"/>
          <w:sz w:val="22"/>
        </w:rPr>
        <w:t>The Resource Sharing GIS Visualization is an interactive, browser-based mapping tool for Bronx Community College (BCC) Library. It animates a pulsing marker across all 770 partner library locations — including 8 international institutions — on a dark-themed world map, visually communicating the geographic breadth of BCC’s interlibrary loan (ILL) and resource-sharing network. The tool is a standalone HTML file requiring no server or installation.</w:t>
      </w:r>
    </w:p>
    <w:p/>
    <w:p>
      <w:r>
        <w:rPr>
          <w:rFonts w:ascii="Calibri" w:hAnsi="Calibri"/>
          <w:b w:val="0"/>
          <w:sz w:val="22"/>
        </w:rPr>
        <w:t>The map is titled "Mapping the Collaborative Power of Resource Sharing at Bronx Community College (VWB)" and reflects partnerships established or expanded in the post-COVID era.</w:t>
      </w:r>
    </w:p>
    <w:p>
      <w:pPr>
        <w:pStyle w:val="Heading1"/>
        <w:jc w:val="left"/>
      </w:pPr>
      <w:r>
        <w:rPr>
          <w:rFonts w:ascii="Calibri" w:hAnsi="Calibri"/>
          <w:color w:val="1F6FEB"/>
        </w:rPr>
        <w:t>2. Background &amp; Purpose</w:t>
      </w:r>
    </w:p>
    <w:p>
      <w:r>
        <w:rPr>
          <w:rFonts w:ascii="Calibri" w:hAnsi="Calibri"/>
          <w:b w:val="0"/>
          <w:sz w:val="22"/>
        </w:rPr>
        <w:t>BCC Library's resource-sharing program operates through two channels:</w:t>
      </w:r>
    </w:p>
    <w:p>
      <w:pPr>
        <w:pStyle w:val="ListBullet"/>
      </w:pPr>
      <w:r>
        <w:rPr>
          <w:rFonts w:ascii="Calibri" w:hAnsi="Calibri"/>
          <w:sz w:val="22"/>
        </w:rPr>
        <w:t>Who We Borrow From — 198 institutions that supply materials to BCC patrons</w:t>
      </w:r>
    </w:p>
    <w:p>
      <w:pPr>
        <w:pStyle w:val="ListBullet"/>
      </w:pPr>
      <w:r>
        <w:rPr>
          <w:rFonts w:ascii="Calibri" w:hAnsi="Calibri"/>
          <w:sz w:val="22"/>
        </w:rPr>
        <w:t>Who We Lend To — 572 institutions and organizations that borrow from BCC</w:t>
      </w:r>
    </w:p>
    <w:p/>
    <w:p>
      <w:r>
        <w:rPr>
          <w:rFonts w:ascii="Calibri" w:hAnsi="Calibri"/>
          <w:b w:val="0"/>
          <w:sz w:val="22"/>
        </w:rPr>
        <w:t>The original dataset was maintained as a Google My Maps project. This visualization presents that data in a dynamic animated format for presentations, lobby displays, or library communications. The 6-second smooth pan cycle, color-coded markers, and global scope of the network are key visual storytelling elements.</w:t>
      </w:r>
    </w:p>
    <w:p>
      <w:pPr>
        <w:pStyle w:val="Heading1"/>
        <w:jc w:val="left"/>
      </w:pPr>
      <w:r>
        <w:rPr>
          <w:rFonts w:ascii="Calibri" w:hAnsi="Calibri"/>
          <w:color w:val="1F6FEB"/>
        </w:rPr>
        <w:t>3. Data Source</w:t>
      </w:r>
    </w:p>
    <w:p>
      <w:pPr>
        <w:pStyle w:val="Heading2"/>
        <w:jc w:val="left"/>
      </w:pPr>
      <w:r>
        <w:rPr>
          <w:rFonts w:ascii="Calibri" w:hAnsi="Calibri"/>
          <w:color w:val="1F6FEB"/>
        </w:rPr>
        <w:t>3.1 Google My Maps</w:t>
      </w:r>
    </w:p>
    <w:p>
      <w:r>
        <w:rPr>
          <w:rFonts w:ascii="Calibri" w:hAnsi="Calibri"/>
          <w:b w:val="0"/>
          <w:sz w:val="22"/>
        </w:rPr>
        <w:t>The authoritative source is a Google My Maps project with two layers:</w:t>
      </w:r>
    </w:p>
    <w:p/>
    <w:tbl>
      <w:tblPr>
        <w:tblStyle w:val="TableGrid"/>
        <w:tblW w:type="auto" w:w="0"/>
        <w:tblLook w:firstColumn="1" w:firstRow="1" w:lastColumn="0" w:lastRow="0" w:noHBand="0" w:noVBand="1" w:val="04A0"/>
      </w:tblPr>
      <w:tblGrid>
        <w:gridCol w:w="3120"/>
        <w:gridCol w:w="3120"/>
        <w:gridCol w:w="3120"/>
      </w:tblGrid>
      <w:tr>
        <w:tc>
          <w:tcPr>
            <w:tcW w:type="dxa" w:w="3120"/>
          </w:tcPr>
          <w:p/>
        </w:tc>
        <w:tc>
          <w:tcPr>
            <w:tcW w:type="dxa" w:w="3120"/>
          </w:tcPr>
          <w:p/>
        </w:tc>
        <w:tc>
          <w:tcPr>
            <w:tcW w:type="dxa" w:w="3120"/>
          </w:tcPr>
          <w:p/>
        </w:tc>
      </w:tr>
      <w:tr>
        <w:tc>
          <w:tcPr>
            <w:tcW w:type="dxa" w:w="2592"/>
            <w:shd w:val="clear" w:color="auto" w:fill="1F6FEB"/>
          </w:tcPr>
          <w:p>
            <w:r>
              <w:rPr>
                <w:rFonts w:ascii="Calibri" w:hAnsi="Calibri"/>
                <w:b/>
                <w:color w:val="FFFFFF"/>
                <w:sz w:val="20"/>
              </w:rPr>
              <w:t>Layer</w:t>
            </w:r>
          </w:p>
        </w:tc>
        <w:tc>
          <w:tcPr>
            <w:tcW w:type="dxa" w:w="5040"/>
            <w:shd w:val="clear" w:color="auto" w:fill="1F6FEB"/>
          </w:tcPr>
          <w:p>
            <w:r>
              <w:rPr>
                <w:rFonts w:ascii="Calibri" w:hAnsi="Calibri"/>
                <w:b/>
                <w:color w:val="FFFFFF"/>
                <w:sz w:val="20"/>
              </w:rPr>
              <w:t>Description</w:t>
            </w:r>
          </w:p>
        </w:tc>
        <w:tc>
          <w:tcPr>
            <w:tcW w:type="dxa" w:w="1728"/>
            <w:shd w:val="clear" w:color="auto" w:fill="1F6FEB"/>
          </w:tcPr>
          <w:p>
            <w:r>
              <w:rPr>
                <w:rFonts w:ascii="Calibri" w:hAnsi="Calibri"/>
                <w:b/>
                <w:color w:val="FFFFFF"/>
                <w:sz w:val="20"/>
              </w:rPr>
              <w:t>Count</w:t>
            </w:r>
          </w:p>
        </w:tc>
      </w:tr>
      <w:tr>
        <w:tc>
          <w:tcPr>
            <w:tcW w:type="dxa" w:w="2592"/>
          </w:tcPr>
          <w:p>
            <w:r>
              <w:rPr>
                <w:rFonts w:ascii="Calibri" w:hAnsi="Calibri"/>
                <w:b w:val="0"/>
                <w:sz w:val="20"/>
              </w:rPr>
              <w:t>Who We Borrow From</w:t>
            </w:r>
          </w:p>
        </w:tc>
        <w:tc>
          <w:tcPr>
            <w:tcW w:type="dxa" w:w="5040"/>
          </w:tcPr>
          <w:p>
            <w:r>
              <w:rPr>
                <w:rFonts w:ascii="Calibri" w:hAnsi="Calibri"/>
                <w:b w:val="0"/>
                <w:sz w:val="20"/>
              </w:rPr>
              <w:t>Libraries that lend to BCC</w:t>
            </w:r>
          </w:p>
        </w:tc>
        <w:tc>
          <w:tcPr>
            <w:tcW w:type="dxa" w:w="1728"/>
          </w:tcPr>
          <w:p>
            <w:r>
              <w:rPr>
                <w:rFonts w:ascii="Calibri" w:hAnsi="Calibri"/>
                <w:b w:val="0"/>
                <w:sz w:val="20"/>
              </w:rPr>
              <w:t>198</w:t>
            </w:r>
          </w:p>
        </w:tc>
      </w:tr>
      <w:tr>
        <w:tc>
          <w:tcPr>
            <w:tcW w:type="dxa" w:w="2592"/>
          </w:tcPr>
          <w:p>
            <w:r>
              <w:rPr>
                <w:rFonts w:ascii="Calibri" w:hAnsi="Calibri"/>
                <w:b w:val="0"/>
                <w:sz w:val="20"/>
              </w:rPr>
              <w:t>Who We Lend To</w:t>
            </w:r>
          </w:p>
        </w:tc>
        <w:tc>
          <w:tcPr>
            <w:tcW w:type="dxa" w:w="5040"/>
          </w:tcPr>
          <w:p>
            <w:r>
              <w:rPr>
                <w:rFonts w:ascii="Calibri" w:hAnsi="Calibri"/>
                <w:b w:val="0"/>
                <w:sz w:val="20"/>
              </w:rPr>
              <w:t>Libraries that borrow from BCC</w:t>
            </w:r>
          </w:p>
        </w:tc>
        <w:tc>
          <w:tcPr>
            <w:tcW w:type="dxa" w:w="1728"/>
          </w:tcPr>
          <w:p>
            <w:r>
              <w:rPr>
                <w:rFonts w:ascii="Calibri" w:hAnsi="Calibri"/>
                <w:b w:val="0"/>
                <w:sz w:val="20"/>
              </w:rPr>
              <w:t>572</w:t>
            </w:r>
          </w:p>
        </w:tc>
      </w:tr>
      <w:tr>
        <w:tc>
          <w:tcPr>
            <w:tcW w:type="dxa" w:w="2592"/>
          </w:tcPr>
          <w:p>
            <w:r>
              <w:rPr>
                <w:rFonts w:ascii="Calibri" w:hAnsi="Calibri"/>
                <w:b/>
                <w:sz w:val="20"/>
              </w:rPr>
              <w:t>Total</w:t>
            </w:r>
          </w:p>
        </w:tc>
        <w:tc>
          <w:tcPr>
            <w:tcW w:type="dxa" w:w="5040"/>
          </w:tcPr>
          <w:p>
            <w:r>
              <w:rPr>
                <w:rFonts w:ascii="Calibri" w:hAnsi="Calibri"/>
                <w:b/>
                <w:sz w:val="20"/>
              </w:rPr>
            </w:r>
          </w:p>
        </w:tc>
        <w:tc>
          <w:tcPr>
            <w:tcW w:type="dxa" w:w="1728"/>
          </w:tcPr>
          <w:p>
            <w:r>
              <w:rPr>
                <w:rFonts w:ascii="Calibri" w:hAnsi="Calibri"/>
                <w:b/>
                <w:sz w:val="20"/>
              </w:rPr>
              <w:t>770</w:t>
            </w:r>
          </w:p>
        </w:tc>
      </w:tr>
    </w:tbl>
    <w:p>
      <w:pPr>
        <w:pStyle w:val="Heading2"/>
        <w:jc w:val="left"/>
      </w:pPr>
      <w:r>
        <w:rPr>
          <w:rFonts w:ascii="Calibri" w:hAnsi="Calibri"/>
          <w:color w:val="1F6FEB"/>
        </w:rPr>
        <w:t>3.2 KML / KMZ Export</w:t>
      </w:r>
    </w:p>
    <w:p>
      <w:r>
        <w:rPr>
          <w:rFonts w:ascii="Calibri" w:hAnsi="Calibri"/>
          <w:b w:val="0"/>
          <w:sz w:val="22"/>
        </w:rPr>
        <w:t>The map was exported as a KMZ file. The doc.kml inside was parsed with Python's xml.etree.ElementTree to extract all 770 placemarks. Only 13 contained explicit Point coordinates in the export; the remaining 757 required geocoding.</w:t>
      </w:r>
    </w:p>
    <w:p>
      <w:pPr>
        <w:pStyle w:val="Heading1"/>
        <w:jc w:val="left"/>
      </w:pPr>
      <w:r>
        <w:rPr>
          <w:rFonts w:ascii="Calibri" w:hAnsi="Calibri"/>
          <w:color w:val="1F6FEB"/>
        </w:rPr>
        <w:t>4. Geocoding Pipeline</w:t>
      </w:r>
    </w:p>
    <w:p>
      <w:r>
        <w:rPr>
          <w:rFonts w:ascii="Calibri" w:hAnsi="Calibri"/>
          <w:b w:val="0"/>
          <w:sz w:val="22"/>
        </w:rPr>
        <w:t>A three-round geocoding pipeline was developed to assign coordinates to all partner libraries. All geocoding used the free Nominatim (OpenStreetMap) API at 1 req/sec.</w:t>
      </w:r>
    </w:p>
    <w:p/>
    <w:p>
      <w:pPr>
        <w:pStyle w:val="Heading2"/>
        <w:jc w:val="left"/>
      </w:pPr>
      <w:r>
        <w:rPr>
          <w:rFonts w:ascii="Calibri" w:hAnsi="Calibri"/>
          <w:color w:val="1F6FEB"/>
        </w:rPr>
        <w:t>4.1 Round 1 — Direct Name Search</w:t>
      </w:r>
    </w:p>
    <w:p>
      <w:pPr>
        <w:pStyle w:val="ListBullet"/>
      </w:pPr>
      <w:r>
        <w:rPr>
          <w:rFonts w:ascii="Calibri" w:hAnsi="Calibri"/>
          <w:sz w:val="22"/>
        </w:rPr>
        <w:t>Submitted institution name as query, restricted to US results</w:t>
      </w:r>
    </w:p>
    <w:p>
      <w:pPr>
        <w:pStyle w:val="ListBullet"/>
      </w:pPr>
      <w:r>
        <w:rPr>
          <w:rFonts w:ascii="Calibri" w:hAnsi="Calibri"/>
          <w:sz w:val="22"/>
        </w:rPr>
        <w:t>Fallback: simplified name (stripped suffixes, zip codes) on no result</w:t>
      </w:r>
    </w:p>
    <w:p>
      <w:pPr>
        <w:pStyle w:val="ListBullet"/>
      </w:pPr>
      <w:r>
        <w:rPr>
          <w:rFonts w:ascii="Calibri" w:hAnsi="Calibri"/>
          <w:sz w:val="22"/>
        </w:rPr>
        <w:t>Duration: ~14 minutes · Result: 501 locations geocoded</w:t>
      </w:r>
    </w:p>
    <w:p>
      <w:pPr>
        <w:pStyle w:val="Heading2"/>
        <w:jc w:val="left"/>
      </w:pPr>
      <w:r>
        <w:rPr>
          <w:rFonts w:ascii="Calibri" w:hAnsi="Calibri"/>
          <w:color w:val="1F6FEB"/>
        </w:rPr>
        <w:t>4.2 Round 2 — Smart Corrections Dictionary</w:t>
      </w:r>
    </w:p>
    <w:p>
      <w:r>
        <w:rPr>
          <w:rFonts w:ascii="Calibri" w:hAnsi="Calibri"/>
          <w:b w:val="0"/>
          <w:sz w:val="22"/>
        </w:rPr>
        <w:t>A manual corrections dictionary resolved 145 of the 221 remaining failures:</w:t>
      </w:r>
    </w:p>
    <w:p/>
    <w:tbl>
      <w:tblPr>
        <w:tblStyle w:val="TableGrid"/>
        <w:tblW w:type="auto" w:w="0"/>
        <w:tblLook w:firstColumn="1" w:firstRow="1" w:lastColumn="0" w:lastRow="0" w:noHBand="0" w:noVBand="1" w:val="04A0"/>
      </w:tblPr>
      <w:tblGrid>
        <w:gridCol w:w="4680"/>
        <w:gridCol w:w="4680"/>
      </w:tblGrid>
      <w:tr>
        <w:tc>
          <w:tcPr>
            <w:tcW w:type="dxa" w:w="4680"/>
          </w:tcPr>
          <w:p/>
        </w:tc>
        <w:tc>
          <w:tcPr>
            <w:tcW w:type="dxa" w:w="4680"/>
          </w:tcPr>
          <w:p/>
        </w:tc>
      </w:tr>
      <w:tr>
        <w:tc>
          <w:tcPr>
            <w:tcW w:type="dxa" w:w="3600"/>
            <w:shd w:val="clear" w:color="auto" w:fill="1F6FEB"/>
          </w:tcPr>
          <w:p>
            <w:r>
              <w:rPr>
                <w:rFonts w:ascii="Calibri" w:hAnsi="Calibri"/>
                <w:b/>
                <w:color w:val="FFFFFF"/>
                <w:sz w:val="20"/>
              </w:rPr>
              <w:t>Issue Category</w:t>
            </w:r>
          </w:p>
        </w:tc>
        <w:tc>
          <w:tcPr>
            <w:tcW w:type="dxa" w:w="5760"/>
            <w:shd w:val="clear" w:color="auto" w:fill="1F6FEB"/>
          </w:tcPr>
          <w:p>
            <w:r>
              <w:rPr>
                <w:rFonts w:ascii="Calibri" w:hAnsi="Calibri"/>
                <w:b/>
                <w:color w:val="FFFFFF"/>
                <w:sz w:val="20"/>
              </w:rPr>
              <w:t>Examples</w:t>
            </w:r>
          </w:p>
        </w:tc>
      </w:tr>
      <w:tr>
        <w:tc>
          <w:tcPr>
            <w:tcW w:type="dxa" w:w="3600"/>
          </w:tcPr>
          <w:p>
            <w:r>
              <w:rPr>
                <w:rFonts w:ascii="Calibri" w:hAnsi="Calibri"/>
                <w:b w:val="0"/>
                <w:sz w:val="20"/>
              </w:rPr>
              <w:t>Typos</w:t>
            </w:r>
          </w:p>
        </w:tc>
        <w:tc>
          <w:tcPr>
            <w:tcW w:type="dxa" w:w="5760"/>
          </w:tcPr>
          <w:p>
            <w:r>
              <w:rPr>
                <w:rFonts w:ascii="Calibri" w:hAnsi="Calibri"/>
                <w:b w:val="0"/>
                <w:sz w:val="20"/>
              </w:rPr>
              <w:t>LIBRRARY→Library, COLLEGELEGE→College, MEEXICO→Mexico, SSALEM→Salem</w:t>
            </w:r>
          </w:p>
        </w:tc>
      </w:tr>
      <w:tr>
        <w:tc>
          <w:tcPr>
            <w:tcW w:type="dxa" w:w="3600"/>
          </w:tcPr>
          <w:p>
            <w:r>
              <w:rPr>
                <w:rFonts w:ascii="Calibri" w:hAnsi="Calibri"/>
                <w:b w:val="0"/>
                <w:sz w:val="20"/>
              </w:rPr>
              <w:t>CUNY schools</w:t>
            </w:r>
          </w:p>
        </w:tc>
        <w:tc>
          <w:tcPr>
            <w:tcW w:type="dxa" w:w="5760"/>
          </w:tcPr>
          <w:p>
            <w:r>
              <w:rPr>
                <w:rFonts w:ascii="Calibri" w:hAnsi="Calibri"/>
                <w:b w:val="0"/>
                <w:sz w:val="20"/>
              </w:rPr>
              <w:t>CUNY BARUCH COLLEGE → Baruch College CUNY New York NY</w:t>
            </w:r>
          </w:p>
        </w:tc>
      </w:tr>
      <w:tr>
        <w:tc>
          <w:tcPr>
            <w:tcW w:type="dxa" w:w="3600"/>
          </w:tcPr>
          <w:p>
            <w:r>
              <w:rPr>
                <w:rFonts w:ascii="Calibri" w:hAnsi="Calibri"/>
                <w:b w:val="0"/>
                <w:sz w:val="20"/>
              </w:rPr>
              <w:t>SUNY schools</w:t>
            </w:r>
          </w:p>
        </w:tc>
        <w:tc>
          <w:tcPr>
            <w:tcW w:type="dxa" w:w="5760"/>
          </w:tcPr>
          <w:p>
            <w:r>
              <w:rPr>
                <w:rFonts w:ascii="Calibri" w:hAnsi="Calibri"/>
                <w:b w:val="0"/>
                <w:sz w:val="20"/>
              </w:rPr>
              <w:t>SUNY AT BUFFALO → University at Buffalo SUNY Buffalo NY</w:t>
            </w:r>
          </w:p>
        </w:tc>
      </w:tr>
      <w:tr>
        <w:tc>
          <w:tcPr>
            <w:tcW w:type="dxa" w:w="3600"/>
          </w:tcPr>
          <w:p>
            <w:r>
              <w:rPr>
                <w:rFonts w:ascii="Calibri" w:hAnsi="Calibri"/>
                <w:b w:val="0"/>
                <w:sz w:val="20"/>
              </w:rPr>
              <w:t>Abbreviations</w:t>
            </w:r>
          </w:p>
        </w:tc>
        <w:tc>
          <w:tcPr>
            <w:tcW w:type="dxa" w:w="5760"/>
          </w:tcPr>
          <w:p>
            <w:r>
              <w:rPr>
                <w:rFonts w:ascii="Calibri" w:hAnsi="Calibri"/>
                <w:b w:val="0"/>
                <w:sz w:val="20"/>
              </w:rPr>
              <w:t>COMMUN→Community, CNTY→County, PUB→Public, VAL→Valley, SCH→School</w:t>
            </w:r>
          </w:p>
        </w:tc>
      </w:tr>
      <w:tr>
        <w:tc>
          <w:tcPr>
            <w:tcW w:type="dxa" w:w="3600"/>
          </w:tcPr>
          <w:p>
            <w:r>
              <w:rPr>
                <w:rFonts w:ascii="Calibri" w:hAnsi="Calibri"/>
                <w:b w:val="0"/>
                <w:sz w:val="20"/>
              </w:rPr>
              <w:t>International libraries</w:t>
            </w:r>
          </w:p>
        </w:tc>
        <w:tc>
          <w:tcPr>
            <w:tcW w:type="dxa" w:w="5760"/>
          </w:tcPr>
          <w:p>
            <w:r>
              <w:rPr>
                <w:rFonts w:ascii="Calibri" w:hAnsi="Calibri"/>
                <w:b w:val="0"/>
                <w:sz w:val="20"/>
              </w:rPr>
              <w:t>Removed US-only filter for Canada, South Africa, Norway, Denmark, NZ, UK</w:t>
            </w:r>
          </w:p>
        </w:tc>
      </w:tr>
      <w:tr>
        <w:tc>
          <w:tcPr>
            <w:tcW w:type="dxa" w:w="3600"/>
          </w:tcPr>
          <w:p>
            <w:r>
              <w:rPr>
                <w:rFonts w:ascii="Calibri" w:hAnsi="Calibri"/>
                <w:b w:val="0"/>
                <w:sz w:val="20"/>
              </w:rPr>
              <w:t>Corrupt/merged names</w:t>
            </w:r>
          </w:p>
        </w:tc>
        <w:tc>
          <w:tcPr>
            <w:tcW w:type="dxa" w:w="5760"/>
          </w:tcPr>
          <w:p>
            <w:r>
              <w:rPr>
                <w:rFonts w:ascii="Calibri" w:hAnsi="Calibri"/>
                <w:b w:val="0"/>
                <w:sz w:val="20"/>
              </w:rPr>
              <w:t>COLLEGEUMBIA→Columbia University; LEROY COLLEGELEGEINS→Leon County</w:t>
            </w:r>
          </w:p>
        </w:tc>
      </w:tr>
      <w:tr>
        <w:tc>
          <w:tcPr>
            <w:tcW w:type="dxa" w:w="3600"/>
          </w:tcPr>
          <w:p>
            <w:r>
              <w:rPr>
                <w:rFonts w:ascii="Calibri" w:hAnsi="Calibri"/>
                <w:b w:val="0"/>
                <w:sz w:val="20"/>
              </w:rPr>
              <w:t>Federal acronyms</w:t>
            </w:r>
          </w:p>
        </w:tc>
        <w:tc>
          <w:tcPr>
            <w:tcW w:type="dxa" w:w="5760"/>
          </w:tcPr>
          <w:p>
            <w:r>
              <w:rPr>
                <w:rFonts w:ascii="Calibri" w:hAnsi="Calibri"/>
                <w:b w:val="0"/>
                <w:sz w:val="20"/>
              </w:rPr>
              <w:t>AFRL→Eglin AFB FL; USSOCOM→MacDill AFB Tampa FL</w:t>
            </w:r>
          </w:p>
        </w:tc>
      </w:tr>
    </w:tbl>
    <w:p>
      <w:pPr>
        <w:pStyle w:val="Heading2"/>
        <w:jc w:val="left"/>
      </w:pPr>
      <w:r>
        <w:rPr>
          <w:rFonts w:ascii="Calibri" w:hAnsi="Calibri"/>
          <w:color w:val="1F6FEB"/>
        </w:rPr>
        <w:t>4.3 Results Summary</w:t>
      </w:r>
    </w:p>
    <w:p/>
    <w:tbl>
      <w:tblPr>
        <w:tblStyle w:val="TableGrid"/>
        <w:tblW w:type="auto" w:w="0"/>
        <w:tblLook w:firstColumn="1" w:firstRow="1" w:lastColumn="0" w:lastRow="0" w:noHBand="0" w:noVBand="1" w:val="04A0"/>
      </w:tblPr>
      <w:tblGrid>
        <w:gridCol w:w="3120"/>
        <w:gridCol w:w="3120"/>
        <w:gridCol w:w="3120"/>
      </w:tblGrid>
      <w:tr>
        <w:tc>
          <w:tcPr>
            <w:tcW w:type="dxa" w:w="3120"/>
          </w:tcPr>
          <w:p/>
        </w:tc>
        <w:tc>
          <w:tcPr>
            <w:tcW w:type="dxa" w:w="3120"/>
          </w:tcPr>
          <w:p/>
        </w:tc>
        <w:tc>
          <w:tcPr>
            <w:tcW w:type="dxa" w:w="3120"/>
          </w:tcPr>
          <w:p/>
        </w:tc>
      </w:tr>
      <w:tr>
        <w:tc>
          <w:tcPr>
            <w:tcW w:type="dxa" w:w="2160"/>
            <w:shd w:val="clear" w:color="auto" w:fill="1F6FEB"/>
          </w:tcPr>
          <w:p>
            <w:r>
              <w:rPr>
                <w:rFonts w:ascii="Calibri" w:hAnsi="Calibri"/>
                <w:b/>
                <w:color w:val="FFFFFF"/>
                <w:sz w:val="20"/>
              </w:rPr>
              <w:t>Round</w:t>
            </w:r>
          </w:p>
        </w:tc>
        <w:tc>
          <w:tcPr>
            <w:tcW w:type="dxa" w:w="5040"/>
            <w:shd w:val="clear" w:color="auto" w:fill="1F6FEB"/>
          </w:tcPr>
          <w:p>
            <w:r>
              <w:rPr>
                <w:rFonts w:ascii="Calibri" w:hAnsi="Calibri"/>
                <w:b/>
                <w:color w:val="FFFFFF"/>
                <w:sz w:val="20"/>
              </w:rPr>
              <w:t>Method</w:t>
            </w:r>
          </w:p>
        </w:tc>
        <w:tc>
          <w:tcPr>
            <w:tcW w:type="dxa" w:w="2160"/>
            <w:shd w:val="clear" w:color="auto" w:fill="1F6FEB"/>
          </w:tcPr>
          <w:p>
            <w:r>
              <w:rPr>
                <w:rFonts w:ascii="Calibri" w:hAnsi="Calibri"/>
                <w:b/>
                <w:color w:val="FFFFFF"/>
                <w:sz w:val="20"/>
              </w:rPr>
              <w:t>Locations Added</w:t>
            </w:r>
          </w:p>
        </w:tc>
      </w:tr>
      <w:tr>
        <w:tc>
          <w:tcPr>
            <w:tcW w:type="dxa" w:w="2160"/>
          </w:tcPr>
          <w:p>
            <w:r>
              <w:rPr>
                <w:rFonts w:ascii="Calibri" w:hAnsi="Calibri"/>
                <w:b w:val="0"/>
                <w:sz w:val="20"/>
              </w:rPr>
              <w:t>KML Original</w:t>
            </w:r>
          </w:p>
        </w:tc>
        <w:tc>
          <w:tcPr>
            <w:tcW w:type="dxa" w:w="5040"/>
          </w:tcPr>
          <w:p>
            <w:r>
              <w:rPr>
                <w:rFonts w:ascii="Calibri" w:hAnsi="Calibri"/>
                <w:b w:val="0"/>
                <w:sz w:val="20"/>
              </w:rPr>
              <w:t>Explicit coordinates from Google My Maps KML file</w:t>
            </w:r>
          </w:p>
        </w:tc>
        <w:tc>
          <w:tcPr>
            <w:tcW w:type="dxa" w:w="2160"/>
          </w:tcPr>
          <w:p>
            <w:r>
              <w:rPr>
                <w:rFonts w:ascii="Calibri" w:hAnsi="Calibri"/>
                <w:b w:val="0"/>
                <w:sz w:val="20"/>
              </w:rPr>
              <w:t>13</w:t>
            </w:r>
          </w:p>
        </w:tc>
      </w:tr>
      <w:tr>
        <w:tc>
          <w:tcPr>
            <w:tcW w:type="dxa" w:w="2160"/>
          </w:tcPr>
          <w:p>
            <w:r>
              <w:rPr>
                <w:rFonts w:ascii="Calibri" w:hAnsi="Calibri"/>
                <w:b w:val="0"/>
                <w:sz w:val="20"/>
              </w:rPr>
              <w:t>Round 1</w:t>
            </w:r>
          </w:p>
        </w:tc>
        <w:tc>
          <w:tcPr>
            <w:tcW w:type="dxa" w:w="5040"/>
          </w:tcPr>
          <w:p>
            <w:r>
              <w:rPr>
                <w:rFonts w:ascii="Calibri" w:hAnsi="Calibri"/>
                <w:b w:val="0"/>
                <w:sz w:val="20"/>
              </w:rPr>
              <w:t>Nominatim — direct name search (US only)</w:t>
            </w:r>
          </w:p>
        </w:tc>
        <w:tc>
          <w:tcPr>
            <w:tcW w:type="dxa" w:w="2160"/>
          </w:tcPr>
          <w:p>
            <w:r>
              <w:rPr>
                <w:rFonts w:ascii="Calibri" w:hAnsi="Calibri"/>
                <w:b w:val="0"/>
                <w:sz w:val="20"/>
              </w:rPr>
              <w:t>501</w:t>
            </w:r>
          </w:p>
        </w:tc>
      </w:tr>
      <w:tr>
        <w:tc>
          <w:tcPr>
            <w:tcW w:type="dxa" w:w="2160"/>
          </w:tcPr>
          <w:p>
            <w:r>
              <w:rPr>
                <w:rFonts w:ascii="Calibri" w:hAnsi="Calibri"/>
                <w:b w:val="0"/>
                <w:sz w:val="20"/>
              </w:rPr>
              <w:t>Round 2</w:t>
            </w:r>
          </w:p>
        </w:tc>
        <w:tc>
          <w:tcPr>
            <w:tcW w:type="dxa" w:w="5040"/>
          </w:tcPr>
          <w:p>
            <w:r>
              <w:rPr>
                <w:rFonts w:ascii="Calibri" w:hAnsi="Calibri"/>
                <w:b w:val="0"/>
                <w:sz w:val="20"/>
              </w:rPr>
              <w:t>Nominatim — manual corrections dictionary</w:t>
            </w:r>
          </w:p>
        </w:tc>
        <w:tc>
          <w:tcPr>
            <w:tcW w:type="dxa" w:w="2160"/>
          </w:tcPr>
          <w:p>
            <w:r>
              <w:rPr>
                <w:rFonts w:ascii="Calibri" w:hAnsi="Calibri"/>
                <w:b w:val="0"/>
                <w:sz w:val="20"/>
              </w:rPr>
              <w:t>145</w:t>
            </w:r>
          </w:p>
        </w:tc>
      </w:tr>
      <w:tr>
        <w:tc>
          <w:tcPr>
            <w:tcW w:type="dxa" w:w="2160"/>
          </w:tcPr>
          <w:p>
            <w:r>
              <w:rPr>
                <w:rFonts w:ascii="Calibri" w:hAnsi="Calibri"/>
                <w:b w:val="0"/>
                <w:sz w:val="20"/>
              </w:rPr>
              <w:t>Round 3</w:t>
            </w:r>
          </w:p>
        </w:tc>
        <w:tc>
          <w:tcPr>
            <w:tcW w:type="dxa" w:w="5040"/>
          </w:tcPr>
          <w:p>
            <w:r>
              <w:rPr>
                <w:rFonts w:ascii="Calibri" w:hAnsi="Calibri"/>
                <w:b w:val="0"/>
                <w:sz w:val="20"/>
              </w:rPr>
              <w:t>Known addresses + city/county fallback via Nominatim</w:t>
            </w:r>
          </w:p>
        </w:tc>
        <w:tc>
          <w:tcPr>
            <w:tcW w:type="dxa" w:w="2160"/>
          </w:tcPr>
          <w:p>
            <w:r>
              <w:rPr>
                <w:rFonts w:ascii="Calibri" w:hAnsi="Calibri"/>
                <w:b w:val="0"/>
                <w:sz w:val="20"/>
              </w:rPr>
              <w:t>69</w:t>
            </w:r>
          </w:p>
        </w:tc>
      </w:tr>
      <w:tr>
        <w:tc>
          <w:tcPr>
            <w:tcW w:type="dxa" w:w="2160"/>
          </w:tcPr>
          <w:p>
            <w:r>
              <w:rPr>
                <w:rFonts w:ascii="Calibri" w:hAnsi="Calibri"/>
                <w:b/>
                <w:sz w:val="20"/>
              </w:rPr>
              <w:t>Layer fix</w:t>
            </w:r>
          </w:p>
        </w:tc>
        <w:tc>
          <w:tcPr>
            <w:tcW w:type="dxa" w:w="5040"/>
          </w:tcPr>
          <w:p>
            <w:r>
              <w:rPr>
                <w:rFonts w:ascii="Calibri" w:hAnsi="Calibri"/>
                <w:b w:val="0"/>
                <w:sz w:val="20"/>
              </w:rPr>
              <w:t>Restored 80 dual-layer entries deduplicated in earlier rounds</w:t>
            </w:r>
          </w:p>
        </w:tc>
        <w:tc>
          <w:tcPr>
            <w:tcW w:type="dxa" w:w="2160"/>
          </w:tcPr>
          <w:p>
            <w:r>
              <w:rPr>
                <w:rFonts w:ascii="Calibri" w:hAnsi="Calibri"/>
                <w:b w:val="0"/>
                <w:sz w:val="20"/>
              </w:rPr>
              <w:t>80</w:t>
            </w:r>
          </w:p>
        </w:tc>
      </w:tr>
      <w:tr>
        <w:tc>
          <w:tcPr>
            <w:tcW w:type="dxa" w:w="2160"/>
          </w:tcPr>
          <w:p>
            <w:r>
              <w:rPr>
                <w:rFonts w:ascii="Calibri" w:hAnsi="Calibri"/>
                <w:b/>
                <w:sz w:val="20"/>
              </w:rPr>
              <w:t>Total mapped</w:t>
            </w:r>
          </w:p>
        </w:tc>
        <w:tc>
          <w:tcPr>
            <w:tcW w:type="dxa" w:w="5040"/>
          </w:tcPr>
          <w:p>
            <w:r>
              <w:rPr>
                <w:rFonts w:ascii="Calibri" w:hAnsi="Calibri"/>
                <w:b/>
                <w:sz w:val="20"/>
              </w:rPr>
            </w:r>
          </w:p>
        </w:tc>
        <w:tc>
          <w:tcPr>
            <w:tcW w:type="dxa" w:w="2160"/>
          </w:tcPr>
          <w:p>
            <w:r>
              <w:rPr>
                <w:rFonts w:ascii="Calibri" w:hAnsi="Calibri"/>
                <w:b/>
                <w:sz w:val="20"/>
              </w:rPr>
              <w:t>770</w:t>
            </w:r>
          </w:p>
        </w:tc>
      </w:tr>
    </w:tbl>
    <w:p>
      <w:pPr>
        <w:pStyle w:val="Heading1"/>
        <w:jc w:val="left"/>
      </w:pPr>
      <w:r>
        <w:rPr>
          <w:rFonts w:ascii="Calibri" w:hAnsi="Calibri"/>
          <w:color w:val="1F6FEB"/>
        </w:rPr>
        <w:t>5. Location Sequence &amp; Geographic Ordering</w:t>
      </w:r>
    </w:p>
    <w:p>
      <w:r>
        <w:rPr>
          <w:rFonts w:ascii="Calibri" w:hAnsi="Calibri"/>
          <w:b w:val="0"/>
          <w:sz w:val="22"/>
        </w:rPr>
        <w:t>5.1 Geographic Sort (Longitude-Band Snake Pattern)</w:t>
      </w:r>
    </w:p>
    <w:p>
      <w:r>
        <w:rPr>
          <w:rFonts w:ascii="Calibri" w:hAnsi="Calibri"/>
          <w:b w:val="0"/>
          <w:sz w:val="22"/>
        </w:rPr>
        <w:t>All 770 locations are sequenced using a longitude-band snake sort to produce a smooth, geographically coherent animation. The full longitude range is divided into 30 bands. Within each band, libraries are sorted by latitude; bands alternate north-to-south and south-to-north (boustrophedon pattern), creating a sweeping motion across the map. The tour begins in Hawaii and Alaska, moves through the Pacific Northwest, sweeps east through the Rockies, Midwest, South, and Northeast, then concludes with international stops.</w:t>
      </w:r>
    </w:p>
    <w:p>
      <w:r>
        <w:rPr>
          <w:rFonts w:ascii="Calibri" w:hAnsi="Calibri"/>
          <w:b w:val="0"/>
          <w:sz w:val="22"/>
        </w:rPr>
        <w:t>This sort reduced wild jumps (moves &gt;20°) from 202 to 16 and cut the average pan distance from 17.78° to 4.17° (median 0.77°).</w:t>
      </w:r>
    </w:p>
    <w:p>
      <w:r>
        <w:rPr>
          <w:rFonts w:ascii="Calibri" w:hAnsi="Calibri"/>
          <w:b/>
          <w:sz w:val="22"/>
        </w:rPr>
        <w:t>5.2 International Library Distribution</w:t>
      </w:r>
    </w:p>
    <w:p>
      <w:r>
        <w:rPr>
          <w:rFonts w:ascii="Calibri" w:hAnsi="Calibri"/>
          <w:b w:val="0"/>
          <w:sz w:val="22"/>
        </w:rPr>
        <w:t>Eight international partner libraries are evenly distributed throughout the sorted sequence at approximately every 96th stop, ensuring global variety appears consistently throughout the animation rather than clustering at the end.</w:t>
      </w:r>
    </w:p>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tc>
        <w:tc>
          <w:tcPr>
            <w:tcW w:type="dxa" w:w="2340"/>
          </w:tcPr>
          <w:p/>
        </w:tc>
        <w:tc>
          <w:tcPr>
            <w:tcW w:type="dxa" w:w="2340"/>
          </w:tcPr>
          <w:p/>
        </w:tc>
        <w:tc>
          <w:tcPr>
            <w:tcW w:type="dxa" w:w="2340"/>
          </w:tcPr>
          <w:p/>
        </w:tc>
      </w:tr>
      <w:tr>
        <w:tc>
          <w:tcPr>
            <w:tcW w:type="dxa" w:w="4032"/>
            <w:shd w:val="clear" w:color="auto" w:fill="1F6FEB"/>
          </w:tcPr>
          <w:p>
            <w:r>
              <w:rPr>
                <w:rFonts w:ascii="Calibri" w:hAnsi="Calibri"/>
                <w:b/>
                <w:color w:val="FFFFFF"/>
                <w:sz w:val="20"/>
              </w:rPr>
              <w:t>Institution</w:t>
            </w:r>
          </w:p>
        </w:tc>
        <w:tc>
          <w:tcPr>
            <w:tcW w:type="dxa" w:w="1728"/>
            <w:shd w:val="clear" w:color="auto" w:fill="1F6FEB"/>
          </w:tcPr>
          <w:p>
            <w:r>
              <w:rPr>
                <w:rFonts w:ascii="Calibri" w:hAnsi="Calibri"/>
                <w:b/>
                <w:color w:val="FFFFFF"/>
                <w:sz w:val="20"/>
              </w:rPr>
              <w:t>Country</w:t>
            </w:r>
          </w:p>
        </w:tc>
        <w:tc>
          <w:tcPr>
            <w:tcW w:type="dxa" w:w="2160"/>
            <w:shd w:val="clear" w:color="auto" w:fill="1F6FEB"/>
          </w:tcPr>
          <w:p>
            <w:r>
              <w:rPr>
                <w:rFonts w:ascii="Calibri" w:hAnsi="Calibri"/>
                <w:b/>
                <w:color w:val="FFFFFF"/>
                <w:sz w:val="20"/>
              </w:rPr>
              <w:t>Type</w:t>
            </w:r>
          </w:p>
        </w:tc>
        <w:tc>
          <w:tcPr>
            <w:tcW w:type="dxa" w:w="1440"/>
            <w:shd w:val="clear" w:color="auto" w:fill="1F6FEB"/>
          </w:tcPr>
          <w:p>
            <w:r>
              <w:rPr>
                <w:rFonts w:ascii="Calibri" w:hAnsi="Calibri"/>
                <w:b/>
                <w:color w:val="FFFFFF"/>
                <w:sz w:val="20"/>
              </w:rPr>
              <w:t>Approx. Stop</w:t>
            </w:r>
          </w:p>
        </w:tc>
      </w:tr>
      <w:tr>
        <w:tc>
          <w:tcPr>
            <w:tcW w:type="dxa" w:w="4032"/>
          </w:tcPr>
          <w:p>
            <w:r>
              <w:rPr>
                <w:rFonts w:ascii="Calibri" w:hAnsi="Calibri"/>
                <w:b w:val="0"/>
                <w:sz w:val="20"/>
              </w:rPr>
              <w:t>University of Cape Town</w:t>
            </w:r>
          </w:p>
        </w:tc>
        <w:tc>
          <w:tcPr>
            <w:tcW w:type="dxa" w:w="1728"/>
          </w:tcPr>
          <w:p>
            <w:r>
              <w:rPr>
                <w:rFonts w:ascii="Calibri" w:hAnsi="Calibri"/>
                <w:b w:val="0"/>
                <w:sz w:val="20"/>
              </w:rPr>
              <w:t>South Africa</w:t>
            </w:r>
          </w:p>
        </w:tc>
        <w:tc>
          <w:tcPr>
            <w:tcW w:type="dxa" w:w="2160"/>
          </w:tcPr>
          <w:p>
            <w:r>
              <w:rPr>
                <w:rFonts w:ascii="Calibri" w:hAnsi="Calibri"/>
                <w:b w:val="0"/>
                <w:sz w:val="20"/>
              </w:rPr>
              <w:t>Academic</w:t>
            </w:r>
          </w:p>
        </w:tc>
        <w:tc>
          <w:tcPr>
            <w:tcW w:type="dxa" w:w="1440"/>
          </w:tcPr>
          <w:p>
            <w:r>
              <w:rPr>
                <w:rFonts w:ascii="Calibri" w:hAnsi="Calibri"/>
                <w:b w:val="0"/>
                <w:sz w:val="20"/>
              </w:rPr>
              <w:t>~86</w:t>
            </w:r>
          </w:p>
        </w:tc>
      </w:tr>
      <w:tr>
        <w:tc>
          <w:tcPr>
            <w:tcW w:type="dxa" w:w="4032"/>
          </w:tcPr>
          <w:p>
            <w:r>
              <w:rPr>
                <w:rFonts w:ascii="Calibri" w:hAnsi="Calibri"/>
                <w:b w:val="0"/>
                <w:sz w:val="20"/>
              </w:rPr>
              <w:t>University of Fort Hare</w:t>
            </w:r>
          </w:p>
        </w:tc>
        <w:tc>
          <w:tcPr>
            <w:tcW w:type="dxa" w:w="1728"/>
          </w:tcPr>
          <w:p>
            <w:r>
              <w:rPr>
                <w:rFonts w:ascii="Calibri" w:hAnsi="Calibri"/>
                <w:b w:val="0"/>
                <w:sz w:val="20"/>
              </w:rPr>
              <w:t>South Africa</w:t>
            </w:r>
          </w:p>
        </w:tc>
        <w:tc>
          <w:tcPr>
            <w:tcW w:type="dxa" w:w="2160"/>
          </w:tcPr>
          <w:p>
            <w:r>
              <w:rPr>
                <w:rFonts w:ascii="Calibri" w:hAnsi="Calibri"/>
                <w:b w:val="0"/>
                <w:sz w:val="20"/>
              </w:rPr>
              <w:t>Academic</w:t>
            </w:r>
          </w:p>
        </w:tc>
        <w:tc>
          <w:tcPr>
            <w:tcW w:type="dxa" w:w="1440"/>
          </w:tcPr>
          <w:p>
            <w:r>
              <w:rPr>
                <w:rFonts w:ascii="Calibri" w:hAnsi="Calibri"/>
                <w:b w:val="0"/>
                <w:sz w:val="20"/>
              </w:rPr>
              <w:t>~172</w:t>
            </w:r>
          </w:p>
        </w:tc>
      </w:tr>
      <w:tr>
        <w:tc>
          <w:tcPr>
            <w:tcW w:type="dxa" w:w="4032"/>
          </w:tcPr>
          <w:p>
            <w:r>
              <w:rPr>
                <w:rFonts w:ascii="Calibri" w:hAnsi="Calibri"/>
                <w:b w:val="0"/>
                <w:sz w:val="20"/>
              </w:rPr>
              <w:t>University of Auckland Library</w:t>
            </w:r>
          </w:p>
        </w:tc>
        <w:tc>
          <w:tcPr>
            <w:tcW w:type="dxa" w:w="1728"/>
          </w:tcPr>
          <w:p>
            <w:r>
              <w:rPr>
                <w:rFonts w:ascii="Calibri" w:hAnsi="Calibri"/>
                <w:b w:val="0"/>
                <w:sz w:val="20"/>
              </w:rPr>
              <w:t>New Zealand</w:t>
            </w:r>
          </w:p>
        </w:tc>
        <w:tc>
          <w:tcPr>
            <w:tcW w:type="dxa" w:w="2160"/>
          </w:tcPr>
          <w:p>
            <w:r>
              <w:rPr>
                <w:rFonts w:ascii="Calibri" w:hAnsi="Calibri"/>
                <w:b w:val="0"/>
                <w:sz w:val="20"/>
              </w:rPr>
              <w:t>Academic</w:t>
            </w:r>
          </w:p>
        </w:tc>
        <w:tc>
          <w:tcPr>
            <w:tcW w:type="dxa" w:w="1440"/>
          </w:tcPr>
          <w:p>
            <w:r>
              <w:rPr>
                <w:rFonts w:ascii="Calibri" w:hAnsi="Calibri"/>
                <w:b w:val="0"/>
                <w:sz w:val="20"/>
              </w:rPr>
              <w:t>~258</w:t>
            </w:r>
          </w:p>
        </w:tc>
      </w:tr>
      <w:tr>
        <w:tc>
          <w:tcPr>
            <w:tcW w:type="dxa" w:w="4032"/>
          </w:tcPr>
          <w:p>
            <w:r>
              <w:rPr>
                <w:rFonts w:ascii="Calibri" w:hAnsi="Calibri"/>
                <w:b w:val="0"/>
                <w:sz w:val="20"/>
              </w:rPr>
              <w:t>Technical Knowledge Center Denmark</w:t>
            </w:r>
          </w:p>
        </w:tc>
        <w:tc>
          <w:tcPr>
            <w:tcW w:type="dxa" w:w="1728"/>
          </w:tcPr>
          <w:p>
            <w:r>
              <w:rPr>
                <w:rFonts w:ascii="Calibri" w:hAnsi="Calibri"/>
                <w:b w:val="0"/>
                <w:sz w:val="20"/>
              </w:rPr>
              <w:t>Denmark</w:t>
            </w:r>
          </w:p>
        </w:tc>
        <w:tc>
          <w:tcPr>
            <w:tcW w:type="dxa" w:w="2160"/>
          </w:tcPr>
          <w:p>
            <w:r>
              <w:rPr>
                <w:rFonts w:ascii="Calibri" w:hAnsi="Calibri"/>
                <w:b w:val="0"/>
                <w:sz w:val="20"/>
              </w:rPr>
              <w:t>Academic</w:t>
            </w:r>
          </w:p>
        </w:tc>
        <w:tc>
          <w:tcPr>
            <w:tcW w:type="dxa" w:w="1440"/>
          </w:tcPr>
          <w:p>
            <w:r>
              <w:rPr>
                <w:rFonts w:ascii="Calibri" w:hAnsi="Calibri"/>
                <w:b w:val="0"/>
                <w:sz w:val="20"/>
              </w:rPr>
              <w:t>~344</w:t>
            </w:r>
          </w:p>
        </w:tc>
      </w:tr>
      <w:tr>
        <w:tc>
          <w:tcPr>
            <w:tcW w:type="dxa" w:w="4032"/>
          </w:tcPr>
          <w:p>
            <w:r>
              <w:rPr>
                <w:rFonts w:ascii="Calibri" w:hAnsi="Calibri"/>
                <w:b w:val="0"/>
                <w:sz w:val="20"/>
              </w:rPr>
              <w:t>Northumbria University</w:t>
            </w:r>
          </w:p>
        </w:tc>
        <w:tc>
          <w:tcPr>
            <w:tcW w:type="dxa" w:w="1728"/>
          </w:tcPr>
          <w:p>
            <w:r>
              <w:rPr>
                <w:rFonts w:ascii="Calibri" w:hAnsi="Calibri"/>
                <w:b w:val="0"/>
                <w:sz w:val="20"/>
              </w:rPr>
              <w:t>United Kingdom</w:t>
            </w:r>
          </w:p>
        </w:tc>
        <w:tc>
          <w:tcPr>
            <w:tcW w:type="dxa" w:w="2160"/>
          </w:tcPr>
          <w:p>
            <w:r>
              <w:rPr>
                <w:rFonts w:ascii="Calibri" w:hAnsi="Calibri"/>
                <w:b w:val="0"/>
                <w:sz w:val="20"/>
              </w:rPr>
              <w:t>Academic</w:t>
            </w:r>
          </w:p>
        </w:tc>
        <w:tc>
          <w:tcPr>
            <w:tcW w:type="dxa" w:w="1440"/>
          </w:tcPr>
          <w:p>
            <w:r>
              <w:rPr>
                <w:rFonts w:ascii="Calibri" w:hAnsi="Calibri"/>
                <w:b w:val="0"/>
                <w:sz w:val="20"/>
              </w:rPr>
              <w:t>~430</w:t>
            </w:r>
          </w:p>
        </w:tc>
      </w:tr>
    </w:tbl>
    <w:p>
      <w:pPr>
        <w:pStyle w:val="Heading1"/>
        <w:jc w:val="left"/>
      </w:pPr>
      <w:r>
        <w:rPr>
          <w:rFonts w:ascii="Calibri" w:hAnsi="Calibri"/>
          <w:color w:val="1F6FEB"/>
        </w:rPr>
        <w:t>6. Technology Stack</w:t>
      </w:r>
    </w:p>
    <w:p/>
    <w:tbl>
      <w:tblPr>
        <w:tblStyle w:val="TableGrid"/>
        <w:tblW w:type="auto" w:w="0"/>
        <w:tblLook w:firstColumn="1" w:firstRow="1" w:lastColumn="0" w:lastRow="0" w:noHBand="0" w:noVBand="1" w:val="04A0"/>
      </w:tblPr>
      <w:tblGrid>
        <w:gridCol w:w="3120"/>
        <w:gridCol w:w="3120"/>
        <w:gridCol w:w="3120"/>
      </w:tblGrid>
      <w:tr>
        <w:tc>
          <w:tcPr>
            <w:tcW w:type="dxa" w:w="3120"/>
          </w:tcPr>
          <w:p/>
        </w:tc>
        <w:tc>
          <w:tcPr>
            <w:tcW w:type="dxa" w:w="3120"/>
          </w:tcPr>
          <w:p/>
        </w:tc>
        <w:tc>
          <w:tcPr>
            <w:tcW w:type="dxa" w:w="3120"/>
          </w:tcPr>
          <w:p/>
        </w:tc>
      </w:tr>
      <w:tr>
        <w:tc>
          <w:tcPr>
            <w:tcW w:type="dxa" w:w="2880"/>
            <w:shd w:val="clear" w:color="auto" w:fill="1F6FEB"/>
          </w:tcPr>
          <w:p>
            <w:r>
              <w:rPr>
                <w:rFonts w:ascii="Calibri" w:hAnsi="Calibri"/>
                <w:b/>
                <w:color w:val="FFFFFF"/>
                <w:sz w:val="20"/>
              </w:rPr>
              <w:t>Technology</w:t>
            </w:r>
          </w:p>
        </w:tc>
        <w:tc>
          <w:tcPr>
            <w:tcW w:type="dxa" w:w="1728"/>
            <w:shd w:val="clear" w:color="auto" w:fill="1F6FEB"/>
          </w:tcPr>
          <w:p>
            <w:r>
              <w:rPr>
                <w:rFonts w:ascii="Calibri" w:hAnsi="Calibri"/>
                <w:b/>
                <w:color w:val="FFFFFF"/>
                <w:sz w:val="20"/>
              </w:rPr>
              <w:t>Version</w:t>
            </w:r>
          </w:p>
        </w:tc>
        <w:tc>
          <w:tcPr>
            <w:tcW w:type="dxa" w:w="4752"/>
            <w:shd w:val="clear" w:color="auto" w:fill="1F6FEB"/>
          </w:tcPr>
          <w:p>
            <w:r>
              <w:rPr>
                <w:rFonts w:ascii="Calibri" w:hAnsi="Calibri"/>
                <w:b/>
                <w:color w:val="FFFFFF"/>
                <w:sz w:val="20"/>
              </w:rPr>
              <w:t>Purpose</w:t>
            </w:r>
          </w:p>
        </w:tc>
      </w:tr>
      <w:tr>
        <w:tc>
          <w:tcPr>
            <w:tcW w:type="dxa" w:w="2880"/>
          </w:tcPr>
          <w:p>
            <w:r>
              <w:rPr>
                <w:rFonts w:ascii="Calibri" w:hAnsi="Calibri"/>
                <w:b w:val="0"/>
                <w:sz w:val="20"/>
              </w:rPr>
              <w:t>Leaflet.js</w:t>
            </w:r>
          </w:p>
        </w:tc>
        <w:tc>
          <w:tcPr>
            <w:tcW w:type="dxa" w:w="1728"/>
          </w:tcPr>
          <w:p>
            <w:r>
              <w:rPr>
                <w:rFonts w:ascii="Calibri" w:hAnsi="Calibri"/>
                <w:b w:val="0"/>
                <w:sz w:val="20"/>
              </w:rPr>
              <w:t>1.9.4</w:t>
            </w:r>
          </w:p>
        </w:tc>
        <w:tc>
          <w:tcPr>
            <w:tcW w:type="dxa" w:w="4752"/>
          </w:tcPr>
          <w:p>
            <w:r>
              <w:rPr>
                <w:rFonts w:ascii="Calibri" w:hAnsi="Calibri"/>
                <w:b w:val="0"/>
                <w:sz w:val="20"/>
              </w:rPr>
              <w:t>Map rendering, marker, tooltip</w:t>
            </w:r>
          </w:p>
        </w:tc>
      </w:tr>
      <w:tr>
        <w:tc>
          <w:tcPr>
            <w:tcW w:type="dxa" w:w="2880"/>
          </w:tcPr>
          <w:p>
            <w:r>
              <w:rPr>
                <w:rFonts w:ascii="Calibri" w:hAnsi="Calibri"/>
                <w:b w:val="0"/>
                <w:sz w:val="20"/>
              </w:rPr>
              <w:t>CartoDB Dark Matter</w:t>
            </w:r>
          </w:p>
        </w:tc>
        <w:tc>
          <w:tcPr>
            <w:tcW w:type="dxa" w:w="1728"/>
          </w:tcPr>
          <w:p>
            <w:r>
              <w:rPr>
                <w:rFonts w:ascii="Calibri" w:hAnsi="Calibri"/>
                <w:b w:val="0"/>
                <w:sz w:val="20"/>
              </w:rPr>
              <w:t>Tiles</w:t>
            </w:r>
          </w:p>
        </w:tc>
        <w:tc>
          <w:tcPr>
            <w:tcW w:type="dxa" w:w="4752"/>
          </w:tcPr>
          <w:p>
            <w:r>
              <w:rPr>
                <w:rFonts w:ascii="Calibri" w:hAnsi="Calibri"/>
                <w:b w:val="0"/>
                <w:sz w:val="20"/>
              </w:rPr>
              <w:t>Dark OpenStreetMap base layer</w:t>
            </w:r>
          </w:p>
        </w:tc>
      </w:tr>
      <w:tr>
        <w:tc>
          <w:tcPr>
            <w:tcW w:type="dxa" w:w="2880"/>
          </w:tcPr>
          <w:p>
            <w:r>
              <w:rPr>
                <w:rFonts w:ascii="Calibri" w:hAnsi="Calibri"/>
                <w:b w:val="0"/>
                <w:sz w:val="20"/>
              </w:rPr>
              <w:t>HTML5 / CSS3</w:t>
            </w:r>
          </w:p>
        </w:tc>
        <w:tc>
          <w:tcPr>
            <w:tcW w:type="dxa" w:w="1728"/>
          </w:tcPr>
          <w:p>
            <w:r>
              <w:rPr>
                <w:rFonts w:ascii="Calibri" w:hAnsi="Calibri"/>
                <w:b w:val="0"/>
                <w:sz w:val="20"/>
              </w:rPr>
              <w:t>Native</w:t>
            </w:r>
          </w:p>
        </w:tc>
        <w:tc>
          <w:tcPr>
            <w:tcW w:type="dxa" w:w="4752"/>
          </w:tcPr>
          <w:p>
            <w:r>
              <w:rPr>
                <w:rFonts w:ascii="Calibri" w:hAnsi="Calibri"/>
                <w:b w:val="0"/>
                <w:sz w:val="20"/>
              </w:rPr>
              <w:t>Layout, animations, glassmorphism panels</w:t>
            </w:r>
          </w:p>
        </w:tc>
      </w:tr>
      <w:tr>
        <w:tc>
          <w:tcPr>
            <w:tcW w:type="dxa" w:w="2880"/>
          </w:tcPr>
          <w:p>
            <w:r>
              <w:rPr>
                <w:rFonts w:ascii="Calibri" w:hAnsi="Calibri"/>
                <w:b w:val="0"/>
                <w:sz w:val="20"/>
              </w:rPr>
              <w:t>JavaScript (ES6+)</w:t>
            </w:r>
          </w:p>
        </w:tc>
        <w:tc>
          <w:tcPr>
            <w:tcW w:type="dxa" w:w="1728"/>
          </w:tcPr>
          <w:p>
            <w:r>
              <w:rPr>
                <w:rFonts w:ascii="Calibri" w:hAnsi="Calibri"/>
                <w:b w:val="0"/>
                <w:sz w:val="20"/>
              </w:rPr>
              <w:t>Native</w:t>
            </w:r>
          </w:p>
        </w:tc>
        <w:tc>
          <w:tcPr>
            <w:tcW w:type="dxa" w:w="4752"/>
          </w:tcPr>
          <w:p>
            <w:r>
              <w:rPr>
                <w:rFonts w:ascii="Calibri" w:hAnsi="Calibri"/>
                <w:b w:val="0"/>
                <w:sz w:val="20"/>
              </w:rPr>
              <w:t>Smooth pan cycle, dynamic marker color, play/pause, progress bar</w:t>
            </w:r>
          </w:p>
        </w:tc>
      </w:tr>
      <w:tr>
        <w:tc>
          <w:tcPr>
            <w:tcW w:type="dxa" w:w="2880"/>
          </w:tcPr>
          <w:p>
            <w:r>
              <w:rPr>
                <w:rFonts w:ascii="Calibri" w:hAnsi="Calibri"/>
                <w:b w:val="0"/>
                <w:sz w:val="20"/>
              </w:rPr>
              <w:t>Python 3</w:t>
            </w:r>
          </w:p>
        </w:tc>
        <w:tc>
          <w:tcPr>
            <w:tcW w:type="dxa" w:w="1728"/>
          </w:tcPr>
          <w:p>
            <w:r>
              <w:rPr>
                <w:rFonts w:ascii="Calibri" w:hAnsi="Calibri"/>
                <w:b w:val="0"/>
                <w:sz w:val="20"/>
              </w:rPr>
              <w:t>Runtime</w:t>
            </w:r>
          </w:p>
        </w:tc>
        <w:tc>
          <w:tcPr>
            <w:tcW w:type="dxa" w:w="4752"/>
          </w:tcPr>
          <w:p>
            <w:r>
              <w:rPr>
                <w:rFonts w:ascii="Calibri" w:hAnsi="Calibri"/>
                <w:b w:val="0"/>
                <w:sz w:val="20"/>
              </w:rPr>
              <w:t>KML parsing, geocoding pipeline</w:t>
            </w:r>
          </w:p>
        </w:tc>
      </w:tr>
      <w:tr>
        <w:tc>
          <w:tcPr>
            <w:tcW w:type="dxa" w:w="2880"/>
          </w:tcPr>
          <w:p>
            <w:r>
              <w:rPr>
                <w:rFonts w:ascii="Calibri" w:hAnsi="Calibri"/>
                <w:b w:val="0"/>
                <w:sz w:val="20"/>
              </w:rPr>
              <w:t>Nominatim API</w:t>
            </w:r>
          </w:p>
        </w:tc>
        <w:tc>
          <w:tcPr>
            <w:tcW w:type="dxa" w:w="1728"/>
          </w:tcPr>
          <w:p>
            <w:r>
              <w:rPr>
                <w:rFonts w:ascii="Calibri" w:hAnsi="Calibri"/>
                <w:b w:val="0"/>
                <w:sz w:val="20"/>
              </w:rPr>
              <w:t>Free</w:t>
            </w:r>
          </w:p>
        </w:tc>
        <w:tc>
          <w:tcPr>
            <w:tcW w:type="dxa" w:w="4752"/>
          </w:tcPr>
          <w:p>
            <w:r>
              <w:rPr>
                <w:rFonts w:ascii="Calibri" w:hAnsi="Calibri"/>
                <w:b w:val="0"/>
                <w:sz w:val="20"/>
              </w:rPr>
              <w:t>Geocoding institution names to coordinates</w:t>
            </w:r>
          </w:p>
        </w:tc>
      </w:tr>
      <w:tr>
        <w:tc>
          <w:tcPr>
            <w:tcW w:type="dxa" w:w="2880"/>
          </w:tcPr>
          <w:p>
            <w:r>
              <w:rPr>
                <w:rFonts w:ascii="Calibri" w:hAnsi="Calibri"/>
                <w:b w:val="0"/>
                <w:sz w:val="20"/>
              </w:rPr>
              <w:t>python-docx</w:t>
            </w:r>
          </w:p>
        </w:tc>
        <w:tc>
          <w:tcPr>
            <w:tcW w:type="dxa" w:w="1728"/>
          </w:tcPr>
          <w:p>
            <w:r>
              <w:rPr>
                <w:rFonts w:ascii="Calibri" w:hAnsi="Calibri"/>
                <w:b w:val="0"/>
                <w:sz w:val="20"/>
              </w:rPr>
              <w:t>1.x</w:t>
            </w:r>
          </w:p>
        </w:tc>
        <w:tc>
          <w:tcPr>
            <w:tcW w:type="dxa" w:w="4752"/>
          </w:tcPr>
          <w:p>
            <w:r>
              <w:rPr>
                <w:rFonts w:ascii="Calibri" w:hAnsi="Calibri"/>
                <w:b w:val="0"/>
                <w:sz w:val="20"/>
              </w:rPr>
              <w:t>Generating this documentation</w:t>
            </w:r>
          </w:p>
        </w:tc>
      </w:tr>
    </w:tbl>
    <w:p>
      <w:pPr>
        <w:pStyle w:val="Heading1"/>
        <w:jc w:val="left"/>
      </w:pPr>
      <w:r>
        <w:rPr>
          <w:rFonts w:ascii="Calibri" w:hAnsi="Calibri"/>
          <w:color w:val="1F6FEB"/>
        </w:rPr>
        <w:t>7. Map Features</w:t>
      </w:r>
    </w:p>
    <w:p>
      <w:pPr>
        <w:pStyle w:val="Heading2"/>
        <w:jc w:val="left"/>
      </w:pPr>
      <w:r>
        <w:rPr>
          <w:rFonts w:ascii="Calibri" w:hAnsi="Calibri"/>
          <w:color w:val="1F6FEB"/>
        </w:rPr>
        <w:t>7.1 Animation Cycle</w:t>
      </w:r>
    </w:p>
    <w:p>
      <w:r>
        <w:rPr>
          <w:rFonts w:ascii="Calibri" w:hAnsi="Calibri"/>
          <w:b w:val="0"/>
          <w:sz w:val="22"/>
        </w:rPr>
        <w:t>Each location follows a 6-second cycle. The map flies smoothly between stops at a constant zoom level (Level 10) — no zoom-out step. The marker color changes at every stop to match the library type. Stops are sequenced geographically (west to east, longitude-band snake) so every pan covers a meaningful distance.</w:t>
      </w:r>
    </w:p>
    <w:p/>
    <w:tbl>
      <w:tblPr>
        <w:tblStyle w:val="TableGrid"/>
        <w:tblW w:type="auto" w:w="0"/>
        <w:tblLook w:firstColumn="1" w:firstRow="1" w:lastColumn="0" w:lastRow="0" w:noHBand="0" w:noVBand="1" w:val="04A0"/>
      </w:tblPr>
      <w:tblGrid>
        <w:gridCol w:w="3120"/>
        <w:gridCol w:w="3120"/>
        <w:gridCol w:w="3120"/>
      </w:tblGrid>
      <w:tr>
        <w:tc>
          <w:tcPr>
            <w:tcW w:type="dxa" w:w="3120"/>
          </w:tcPr>
          <w:p/>
        </w:tc>
        <w:tc>
          <w:tcPr>
            <w:tcW w:type="dxa" w:w="3120"/>
          </w:tcPr>
          <w:p/>
        </w:tc>
        <w:tc>
          <w:tcPr>
            <w:tcW w:type="dxa" w:w="3120"/>
          </w:tcPr>
          <w:p/>
        </w:tc>
      </w:tr>
      <w:tr>
        <w:tc>
          <w:tcPr>
            <w:tcW w:type="dxa" w:w="1728"/>
            <w:shd w:val="clear" w:color="auto" w:fill="1F6FEB"/>
          </w:tcPr>
          <w:p>
            <w:r>
              <w:rPr>
                <w:rFonts w:ascii="Calibri" w:hAnsi="Calibri"/>
                <w:b/>
                <w:color w:val="FFFFFF"/>
                <w:sz w:val="20"/>
              </w:rPr>
              <w:t>Time</w:t>
            </w:r>
          </w:p>
        </w:tc>
        <w:tc>
          <w:tcPr>
            <w:tcW w:type="dxa" w:w="4320"/>
            <w:shd w:val="clear" w:color="auto" w:fill="1F6FEB"/>
          </w:tcPr>
          <w:p>
            <w:r>
              <w:rPr>
                <w:rFonts w:ascii="Calibri" w:hAnsi="Calibri"/>
                <w:b/>
                <w:color w:val="FFFFFF"/>
                <w:sz w:val="20"/>
              </w:rPr>
              <w:t>Action</w:t>
            </w:r>
          </w:p>
        </w:tc>
        <w:tc>
          <w:tcPr>
            <w:tcW w:type="dxa" w:w="3312"/>
            <w:shd w:val="clear" w:color="auto" w:fill="1F6FEB"/>
          </w:tcPr>
          <w:p>
            <w:r>
              <w:rPr>
                <w:rFonts w:ascii="Calibri" w:hAnsi="Calibri"/>
                <w:b/>
                <w:color w:val="FFFFFF"/>
                <w:sz w:val="20"/>
              </w:rPr>
              <w:t>Zoom Level</w:t>
            </w:r>
          </w:p>
        </w:tc>
      </w:tr>
      <w:tr>
        <w:tc>
          <w:tcPr>
            <w:tcW w:type="dxa" w:w="1728"/>
          </w:tcPr>
          <w:p>
            <w:r>
              <w:rPr>
                <w:rFonts w:ascii="Calibri" w:hAnsi="Calibri"/>
                <w:b w:val="0"/>
                <w:sz w:val="20"/>
              </w:rPr>
              <w:t>0s</w:t>
            </w:r>
          </w:p>
        </w:tc>
        <w:tc>
          <w:tcPr>
            <w:tcW w:type="dxa" w:w="4320"/>
          </w:tcPr>
          <w:p>
            <w:r>
              <w:rPr>
                <w:rFonts w:ascii="Calibri" w:hAnsi="Calibri"/>
                <w:b w:val="0"/>
                <w:sz w:val="20"/>
              </w:rPr>
              <w:t>Marker lands · map flies to current location</w:t>
            </w:r>
          </w:p>
        </w:tc>
        <w:tc>
          <w:tcPr>
            <w:tcW w:type="dxa" w:w="3312"/>
          </w:tcPr>
          <w:p>
            <w:r>
              <w:rPr>
                <w:rFonts w:ascii="Calibri" w:hAnsi="Calibri"/>
                <w:b w:val="0"/>
                <w:sz w:val="20"/>
              </w:rPr>
              <w:t>Zoom in → Level 10 (neighborhood)</w:t>
            </w:r>
          </w:p>
        </w:tc>
      </w:tr>
      <w:tr>
        <w:tc>
          <w:tcPr>
            <w:tcW w:type="dxa" w:w="1728"/>
          </w:tcPr>
          <w:p>
            <w:r>
              <w:rPr>
                <w:rFonts w:ascii="Calibri" w:hAnsi="Calibri"/>
                <w:b w:val="0"/>
                <w:sz w:val="20"/>
              </w:rPr>
              <w:t>3.5s</w:t>
            </w:r>
          </w:p>
        </w:tc>
        <w:tc>
          <w:tcPr>
            <w:tcW w:type="dxa" w:w="4320"/>
          </w:tcPr>
          <w:p>
            <w:r>
              <w:rPr>
                <w:rFonts w:ascii="Calibri" w:hAnsi="Calibri"/>
                <w:b w:val="0"/>
                <w:sz w:val="20"/>
              </w:rPr>
              <w:t>Map begins flying to next location</w:t>
            </w:r>
          </w:p>
        </w:tc>
        <w:tc>
          <w:tcPr>
            <w:tcW w:type="dxa" w:w="3312"/>
          </w:tcPr>
          <w:p>
            <w:r>
              <w:rPr>
                <w:rFonts w:ascii="Calibri" w:hAnsi="Calibri"/>
                <w:b w:val="0"/>
                <w:sz w:val="20"/>
              </w:rPr>
              <w:t>Level 10 — constant throughout</w:t>
            </w:r>
          </w:p>
        </w:tc>
      </w:tr>
      <w:tr>
        <w:tc>
          <w:tcPr>
            <w:tcW w:type="dxa" w:w="1728"/>
          </w:tcPr>
          <w:p>
            <w:r>
              <w:rPr>
                <w:rFonts w:ascii="Calibri" w:hAnsi="Calibri"/>
                <w:b w:val="0"/>
                <w:sz w:val="20"/>
              </w:rPr>
              <w:t>6s</w:t>
            </w:r>
          </w:p>
        </w:tc>
        <w:tc>
          <w:tcPr>
            <w:tcW w:type="dxa" w:w="4320"/>
          </w:tcPr>
          <w:p>
            <w:r>
              <w:rPr>
                <w:rFonts w:ascii="Calibri" w:hAnsi="Calibri"/>
                <w:b w:val="0"/>
                <w:sz w:val="20"/>
              </w:rPr>
              <w:t>Marker advances to next location</w:t>
            </w:r>
          </w:p>
        </w:tc>
        <w:tc>
          <w:tcPr>
            <w:tcW w:type="dxa" w:w="3312"/>
          </w:tcPr>
          <w:p>
            <w:r>
              <w:rPr>
                <w:rFonts w:ascii="Calibri" w:hAnsi="Calibri"/>
                <w:b w:val="0"/>
                <w:sz w:val="20"/>
              </w:rPr>
              <w:t>Level 10 — marker color updates to next library type</w:t>
            </w:r>
          </w:p>
        </w:tc>
      </w:tr>
    </w:tbl>
    <w:p>
      <w:pPr>
        <w:pStyle w:val="Heading2"/>
        <w:jc w:val="left"/>
      </w:pPr>
      <w:r>
        <w:rPr>
          <w:rFonts w:ascii="Calibri" w:hAnsi="Calibri"/>
          <w:color w:val="1F6FEB"/>
        </w:rPr>
        <w:t>7.2 Info Panel</w:t>
      </w:r>
    </w:p>
    <w:p>
      <w:r>
        <w:rPr>
          <w:rFonts w:ascii="Calibri" w:hAnsi="Calibri"/>
          <w:b w:val="0"/>
          <w:sz w:val="22"/>
        </w:rPr>
        <w:t>The upper-left panel displays the current library’s name, type, and address, a linear progress bar filling over the 6-second cycle, and a stop counter (“Stop X of 770”).</w:t>
      </w:r>
    </w:p>
    <w:p>
      <w:pPr>
        <w:pStyle w:val="Heading2"/>
        <w:jc w:val="left"/>
      </w:pPr>
      <w:r>
        <w:rPr>
          <w:rFonts w:ascii="Calibri" w:hAnsi="Calibri"/>
          <w:color w:val="1F6FEB"/>
        </w:rPr>
        <w:t>7.3 Playback Controls</w:t>
      </w:r>
    </w:p>
    <w:p>
      <w:pPr>
        <w:pStyle w:val="ListBullet"/>
      </w:pPr>
      <w:r>
        <w:rPr>
          <w:rFonts w:ascii="Calibri" w:hAnsi="Calibri"/>
          <w:sz w:val="22"/>
        </w:rPr>
        <w:t>Prev — step back one location, pause auto-play</w:t>
      </w:r>
    </w:p>
    <w:p>
      <w:pPr>
        <w:pStyle w:val="ListBullet"/>
      </w:pPr>
      <w:r>
        <w:rPr>
          <w:rFonts w:ascii="Calibri" w:hAnsi="Calibri"/>
          <w:sz w:val="22"/>
        </w:rPr>
        <w:t>Play / Pause — toggle 6-second auto-advance; pause also cancels pending pan</w:t>
      </w:r>
    </w:p>
    <w:p>
      <w:pPr>
        <w:pStyle w:val="ListBullet"/>
      </w:pPr>
      <w:r>
        <w:rPr>
          <w:rFonts w:ascii="Calibri" w:hAnsi="Calibri"/>
          <w:sz w:val="22"/>
        </w:rPr>
        <w:t>Next — step forward one location, pause auto-play</w:t>
      </w:r>
    </w:p>
    <w:p>
      <w:pPr>
        <w:pStyle w:val="Heading2"/>
        <w:jc w:val="left"/>
      </w:pPr>
      <w:r>
        <w:rPr>
          <w:rFonts w:ascii="Calibri" w:hAnsi="Calibri"/>
          <w:color w:val="1F6FEB"/>
        </w:rPr>
        <w:t>7.4 Single Active Marker</w:t>
      </w:r>
    </w:p>
    <w:p>
      <w:r>
        <w:rPr>
          <w:rFonts w:ascii="Calibri" w:hAnsi="Calibri"/>
          <w:b w:val="0"/>
          <w:sz w:val="22"/>
        </w:rPr>
        <w:t>Only the active pulsing marker is shown on the map at any time — no static dots, no route lines, no trail. The marker’s color updates at each stop to match the library type from the legend (e.g., salmon for Academic, green for Public, lime for Law). The pulse ring inherits the same color at 35% opacity. This keeps the display clean while providing immediate visual context for the current partner library.</w:t>
      </w:r>
    </w:p>
    <w:p>
      <w:pPr>
        <w:pStyle w:val="Heading2"/>
        <w:jc w:val="left"/>
      </w:pPr>
      <w:r>
        <w:rPr>
          <w:rFonts w:ascii="Calibri" w:hAnsi="Calibri"/>
          <w:color w:val="1F6FEB"/>
        </w:rPr>
        <w:t>7.5 Color-Coded Library Types</w:t>
      </w:r>
    </w:p>
    <w:p>
      <w:r>
        <w:rPr>
          <w:rFonts w:ascii="Calibri" w:hAnsi="Calibri"/>
          <w:b w:val="0"/>
          <w:sz w:val="22"/>
        </w:rPr>
        <w:t>The on-screen legend lists library types and their colors. The former “Active Stop” entry (fixed blue #58a6ff) has been removed — the active marker now inherits the current library’s type color, making a separate entry redundant.</w:t>
      </w:r>
    </w:p>
    <w:p/>
    <w:tbl>
      <w:tblPr>
        <w:tblStyle w:val="TableGrid"/>
        <w:tblW w:type="auto" w:w="0"/>
        <w:tblLook w:firstColumn="1" w:firstRow="1" w:lastColumn="0" w:lastRow="0" w:noHBand="0" w:noVBand="1" w:val="04A0"/>
      </w:tblPr>
      <w:tblGrid>
        <w:gridCol w:w="3120"/>
        <w:gridCol w:w="3120"/>
        <w:gridCol w:w="3120"/>
      </w:tblGrid>
      <w:tr>
        <w:tc>
          <w:tcPr>
            <w:tcW w:type="dxa" w:w="3120"/>
          </w:tcPr>
          <w:p/>
        </w:tc>
        <w:tc>
          <w:tcPr>
            <w:tcW w:type="dxa" w:w="3120"/>
          </w:tcPr>
          <w:p/>
        </w:tc>
        <w:tc>
          <w:tcPr>
            <w:tcW w:type="dxa" w:w="3120"/>
          </w:tcPr>
          <w:p/>
        </w:tc>
      </w:tr>
      <w:tr>
        <w:tc>
          <w:tcPr>
            <w:tcW w:type="dxa" w:w="3600"/>
            <w:shd w:val="clear" w:color="auto" w:fill="1F6FEB"/>
          </w:tcPr>
          <w:p>
            <w:r>
              <w:rPr>
                <w:rFonts w:ascii="Calibri" w:hAnsi="Calibri"/>
                <w:b/>
                <w:color w:val="FFFFFF"/>
                <w:sz w:val="20"/>
              </w:rPr>
              <w:t>Library Type</w:t>
            </w:r>
          </w:p>
        </w:tc>
        <w:tc>
          <w:tcPr>
            <w:tcW w:type="dxa" w:w="2880"/>
            <w:shd w:val="clear" w:color="auto" w:fill="1F6FEB"/>
          </w:tcPr>
          <w:p>
            <w:r>
              <w:rPr>
                <w:rFonts w:ascii="Calibri" w:hAnsi="Calibri"/>
                <w:b/>
                <w:color w:val="FFFFFF"/>
                <w:sz w:val="20"/>
              </w:rPr>
              <w:t>Color (Hex)</w:t>
            </w:r>
          </w:p>
        </w:tc>
        <w:tc>
          <w:tcPr>
            <w:tcW w:type="dxa" w:w="2880"/>
            <w:shd w:val="clear" w:color="auto" w:fill="1F6FEB"/>
          </w:tcPr>
          <w:p>
            <w:r>
              <w:rPr>
                <w:rFonts w:ascii="Calibri" w:hAnsi="Calibri"/>
                <w:b/>
                <w:color w:val="FFFFFF"/>
                <w:sz w:val="20"/>
              </w:rPr>
              <w:t>Count</w:t>
            </w:r>
          </w:p>
        </w:tc>
      </w:tr>
      <w:tr>
        <w:tc>
          <w:tcPr>
            <w:tcW w:type="dxa" w:w="3600"/>
          </w:tcPr>
          <w:p>
            <w:r>
              <w:rPr>
                <w:rFonts w:ascii="Calibri" w:hAnsi="Calibri"/>
                <w:b w:val="0"/>
                <w:sz w:val="20"/>
              </w:rPr>
              <w:t>Academic</w:t>
            </w:r>
          </w:p>
        </w:tc>
        <w:tc>
          <w:tcPr>
            <w:tcW w:type="dxa" w:w="2880"/>
          </w:tcPr>
          <w:p>
            <w:r>
              <w:rPr>
                <w:rFonts w:ascii="Calibri" w:hAnsi="Calibri"/>
                <w:b w:val="0"/>
                <w:sz w:val="20"/>
              </w:rPr>
              <w:t>#f78166 — Salmon</w:t>
            </w:r>
          </w:p>
        </w:tc>
        <w:tc>
          <w:tcPr>
            <w:tcW w:type="dxa" w:w="2880"/>
          </w:tcPr>
          <w:p>
            <w:r>
              <w:rPr>
                <w:rFonts w:ascii="Calibri" w:hAnsi="Calibri"/>
                <w:b w:val="0"/>
                <w:sz w:val="20"/>
              </w:rPr>
              <w:t>462</w:t>
            </w:r>
          </w:p>
        </w:tc>
      </w:tr>
      <w:tr>
        <w:tc>
          <w:tcPr>
            <w:tcW w:type="dxa" w:w="3600"/>
          </w:tcPr>
          <w:p>
            <w:r>
              <w:rPr>
                <w:rFonts w:ascii="Calibri" w:hAnsi="Calibri"/>
                <w:b w:val="0"/>
                <w:sz w:val="20"/>
              </w:rPr>
              <w:t>Public</w:t>
            </w:r>
          </w:p>
        </w:tc>
        <w:tc>
          <w:tcPr>
            <w:tcW w:type="dxa" w:w="2880"/>
          </w:tcPr>
          <w:p>
            <w:r>
              <w:rPr>
                <w:rFonts w:ascii="Calibri" w:hAnsi="Calibri"/>
                <w:b w:val="0"/>
                <w:sz w:val="20"/>
              </w:rPr>
              <w:t>#3fb950 — Green</w:t>
            </w:r>
          </w:p>
        </w:tc>
        <w:tc>
          <w:tcPr>
            <w:tcW w:type="dxa" w:w="2880"/>
          </w:tcPr>
          <w:p>
            <w:r>
              <w:rPr>
                <w:rFonts w:ascii="Calibri" w:hAnsi="Calibri"/>
                <w:b w:val="0"/>
                <w:sz w:val="20"/>
              </w:rPr>
              <w:t>105</w:t>
            </w:r>
          </w:p>
        </w:tc>
      </w:tr>
      <w:tr>
        <w:tc>
          <w:tcPr>
            <w:tcW w:type="dxa" w:w="3600"/>
          </w:tcPr>
          <w:p>
            <w:r>
              <w:rPr>
                <w:rFonts w:ascii="Calibri" w:hAnsi="Calibri"/>
                <w:b w:val="0"/>
                <w:sz w:val="20"/>
              </w:rPr>
              <w:t>Corporate</w:t>
            </w:r>
          </w:p>
        </w:tc>
        <w:tc>
          <w:tcPr>
            <w:tcW w:type="dxa" w:w="2880"/>
          </w:tcPr>
          <w:p>
            <w:r>
              <w:rPr>
                <w:rFonts w:ascii="Calibri" w:hAnsi="Calibri"/>
                <w:b w:val="0"/>
                <w:sz w:val="20"/>
              </w:rPr>
              <w:t>#ffa657 — Orange</w:t>
            </w:r>
          </w:p>
        </w:tc>
        <w:tc>
          <w:tcPr>
            <w:tcW w:type="dxa" w:w="2880"/>
          </w:tcPr>
          <w:p>
            <w:r>
              <w:rPr>
                <w:rFonts w:ascii="Calibri" w:hAnsi="Calibri"/>
                <w:b w:val="0"/>
                <w:sz w:val="20"/>
              </w:rPr>
              <w:t>10</w:t>
            </w:r>
          </w:p>
        </w:tc>
      </w:tr>
      <w:tr>
        <w:tc>
          <w:tcPr>
            <w:tcW w:type="dxa" w:w="3600"/>
          </w:tcPr>
          <w:p>
            <w:r>
              <w:rPr>
                <w:rFonts w:ascii="Calibri" w:hAnsi="Calibri"/>
                <w:b w:val="0"/>
                <w:sz w:val="20"/>
              </w:rPr>
              <w:t>Major Academic Research</w:t>
            </w:r>
          </w:p>
        </w:tc>
        <w:tc>
          <w:tcPr>
            <w:tcW w:type="dxa" w:w="2880"/>
          </w:tcPr>
          <w:p>
            <w:r>
              <w:rPr>
                <w:rFonts w:ascii="Calibri" w:hAnsi="Calibri"/>
                <w:b w:val="0"/>
                <w:sz w:val="20"/>
              </w:rPr>
              <w:t>#d2a8ff — Purple</w:t>
            </w:r>
          </w:p>
        </w:tc>
        <w:tc>
          <w:tcPr>
            <w:tcW w:type="dxa" w:w="2880"/>
          </w:tcPr>
          <w:p>
            <w:r>
              <w:rPr>
                <w:rFonts w:ascii="Calibri" w:hAnsi="Calibri"/>
                <w:b w:val="0"/>
                <w:sz w:val="20"/>
              </w:rPr>
              <w:t>8</w:t>
            </w:r>
          </w:p>
        </w:tc>
      </w:tr>
      <w:tr>
        <w:tc>
          <w:tcPr>
            <w:tcW w:type="dxa" w:w="3600"/>
          </w:tcPr>
          <w:p>
            <w:r>
              <w:rPr>
                <w:rFonts w:ascii="Calibri" w:hAnsi="Calibri"/>
                <w:b w:val="0"/>
                <w:sz w:val="20"/>
              </w:rPr>
              <w:t>Federal / National Govt</w:t>
            </w:r>
          </w:p>
        </w:tc>
        <w:tc>
          <w:tcPr>
            <w:tcW w:type="dxa" w:w="2880"/>
          </w:tcPr>
          <w:p>
            <w:r>
              <w:rPr>
                <w:rFonts w:ascii="Calibri" w:hAnsi="Calibri"/>
                <w:b w:val="0"/>
                <w:sz w:val="20"/>
              </w:rPr>
              <w:t>#e3b341 — Gold</w:t>
            </w:r>
          </w:p>
        </w:tc>
        <w:tc>
          <w:tcPr>
            <w:tcW w:type="dxa" w:w="2880"/>
          </w:tcPr>
          <w:p>
            <w:r>
              <w:rPr>
                <w:rFonts w:ascii="Calibri" w:hAnsi="Calibri"/>
                <w:b w:val="0"/>
                <w:sz w:val="20"/>
              </w:rPr>
              <w:t>12</w:t>
            </w:r>
          </w:p>
        </w:tc>
      </w:tr>
      <w:tr>
        <w:tc>
          <w:tcPr>
            <w:tcW w:type="dxa" w:w="3600"/>
          </w:tcPr>
          <w:p>
            <w:r>
              <w:rPr>
                <w:rFonts w:ascii="Calibri" w:hAnsi="Calibri"/>
                <w:b w:val="0"/>
                <w:sz w:val="20"/>
              </w:rPr>
              <w:t>State Library</w:t>
            </w:r>
          </w:p>
        </w:tc>
        <w:tc>
          <w:tcPr>
            <w:tcW w:type="dxa" w:w="2880"/>
          </w:tcPr>
          <w:p>
            <w:r>
              <w:rPr>
                <w:rFonts w:ascii="Calibri" w:hAnsi="Calibri"/>
                <w:b w:val="0"/>
                <w:sz w:val="20"/>
              </w:rPr>
              <w:t>#79c0ff — Sky Blue</w:t>
            </w:r>
          </w:p>
        </w:tc>
        <w:tc>
          <w:tcPr>
            <w:tcW w:type="dxa" w:w="2880"/>
          </w:tcPr>
          <w:p>
            <w:r>
              <w:rPr>
                <w:rFonts w:ascii="Calibri" w:hAnsi="Calibri"/>
                <w:b w:val="0"/>
                <w:sz w:val="20"/>
              </w:rPr>
              <w:t>8</w:t>
            </w:r>
          </w:p>
        </w:tc>
      </w:tr>
      <w:tr>
        <w:tc>
          <w:tcPr>
            <w:tcW w:type="dxa" w:w="3600"/>
          </w:tcPr>
          <w:p>
            <w:r>
              <w:rPr>
                <w:rFonts w:ascii="Calibri" w:hAnsi="Calibri"/>
                <w:b w:val="0"/>
                <w:sz w:val="20"/>
              </w:rPr>
              <w:t>Law Library</w:t>
            </w:r>
          </w:p>
        </w:tc>
        <w:tc>
          <w:tcPr>
            <w:tcW w:type="dxa" w:w="2880"/>
          </w:tcPr>
          <w:p>
            <w:r>
              <w:rPr>
                <w:rFonts w:ascii="Calibri" w:hAnsi="Calibri"/>
                <w:b w:val="0"/>
                <w:sz w:val="20"/>
              </w:rPr>
              <w:t>#56d364 — Lime</w:t>
            </w:r>
          </w:p>
        </w:tc>
        <w:tc>
          <w:tcPr>
            <w:tcW w:type="dxa" w:w="2880"/>
          </w:tcPr>
          <w:p>
            <w:r>
              <w:rPr>
                <w:rFonts w:ascii="Calibri" w:hAnsi="Calibri"/>
                <w:b w:val="0"/>
                <w:sz w:val="20"/>
              </w:rPr>
              <w:t>5</w:t>
            </w:r>
          </w:p>
        </w:tc>
      </w:tr>
      <w:tr>
        <w:tc>
          <w:tcPr>
            <w:tcW w:type="dxa" w:w="3600"/>
          </w:tcPr>
          <w:p>
            <w:r>
              <w:rPr>
                <w:rFonts w:ascii="Calibri" w:hAnsi="Calibri"/>
                <w:b w:val="0"/>
                <w:sz w:val="20"/>
              </w:rPr>
              <w:t>Medical</w:t>
            </w:r>
          </w:p>
        </w:tc>
        <w:tc>
          <w:tcPr>
            <w:tcW w:type="dxa" w:w="2880"/>
          </w:tcPr>
          <w:p>
            <w:r>
              <w:rPr>
                <w:rFonts w:ascii="Calibri" w:hAnsi="Calibri"/>
                <w:b w:val="0"/>
                <w:sz w:val="20"/>
              </w:rPr>
              <w:t>#ff7b72 — Pink-Red</w:t>
            </w:r>
          </w:p>
        </w:tc>
        <w:tc>
          <w:tcPr>
            <w:tcW w:type="dxa" w:w="2880"/>
          </w:tcPr>
          <w:p>
            <w:r>
              <w:rPr>
                <w:rFonts w:ascii="Calibri" w:hAnsi="Calibri"/>
                <w:b w:val="0"/>
                <w:sz w:val="20"/>
              </w:rPr>
              <w:t>3</w:t>
            </w:r>
          </w:p>
        </w:tc>
      </w:tr>
      <w:tr>
        <w:tc>
          <w:tcPr>
            <w:tcW w:type="dxa" w:w="3600"/>
          </w:tcPr>
          <w:p>
            <w:r>
              <w:rPr>
                <w:rFonts w:ascii="Calibri" w:hAnsi="Calibri"/>
                <w:b w:val="0"/>
                <w:sz w:val="20"/>
              </w:rPr>
              <w:t>Schools Below College Level</w:t>
            </w:r>
          </w:p>
        </w:tc>
        <w:tc>
          <w:tcPr>
            <w:tcW w:type="dxa" w:w="2880"/>
          </w:tcPr>
          <w:p>
            <w:r>
              <w:rPr>
                <w:rFonts w:ascii="Calibri" w:hAnsi="Calibri"/>
                <w:b w:val="0"/>
                <w:sz w:val="20"/>
              </w:rPr>
              <w:t>#bc8cff — Lavender</w:t>
            </w:r>
          </w:p>
        </w:tc>
        <w:tc>
          <w:tcPr>
            <w:tcW w:type="dxa" w:w="2880"/>
          </w:tcPr>
          <w:p>
            <w:r>
              <w:rPr>
                <w:rFonts w:ascii="Calibri" w:hAnsi="Calibri"/>
                <w:b w:val="0"/>
                <w:sz w:val="20"/>
              </w:rPr>
              <w:t>5</w:t>
            </w:r>
          </w:p>
        </w:tc>
      </w:tr>
      <w:tr>
        <w:tc>
          <w:tcPr>
            <w:tcW w:type="dxa" w:w="3600"/>
          </w:tcPr>
          <w:p>
            <w:r>
              <w:rPr>
                <w:rFonts w:ascii="Calibri" w:hAnsi="Calibri"/>
                <w:b w:val="0"/>
                <w:sz w:val="20"/>
              </w:rPr>
              <w:t>State or Municipal Govt</w:t>
            </w:r>
          </w:p>
        </w:tc>
        <w:tc>
          <w:tcPr>
            <w:tcW w:type="dxa" w:w="2880"/>
          </w:tcPr>
          <w:p>
            <w:r>
              <w:rPr>
                <w:rFonts w:ascii="Calibri" w:hAnsi="Calibri"/>
                <w:b w:val="0"/>
                <w:sz w:val="20"/>
              </w:rPr>
              <w:t>#e3b341 — Gold</w:t>
            </w:r>
          </w:p>
        </w:tc>
        <w:tc>
          <w:tcPr>
            <w:tcW w:type="dxa" w:w="2880"/>
          </w:tcPr>
          <w:p>
            <w:r>
              <w:rPr>
                <w:rFonts w:ascii="Calibri" w:hAnsi="Calibri"/>
                <w:b w:val="0"/>
                <w:sz w:val="20"/>
              </w:rPr>
              <w:t>2</w:t>
            </w:r>
          </w:p>
        </w:tc>
      </w:tr>
      <w:tr>
        <w:tc>
          <w:tcPr>
            <w:tcW w:type="dxa" w:w="3600"/>
          </w:tcPr>
          <w:p>
            <w:r>
              <w:rPr>
                <w:rFonts w:ascii="Calibri" w:hAnsi="Calibri"/>
                <w:b w:val="0"/>
                <w:sz w:val="20"/>
              </w:rPr>
              <w:t>Association / Foundation</w:t>
            </w:r>
          </w:p>
        </w:tc>
        <w:tc>
          <w:tcPr>
            <w:tcW w:type="dxa" w:w="2880"/>
          </w:tcPr>
          <w:p>
            <w:r>
              <w:rPr>
                <w:rFonts w:ascii="Calibri" w:hAnsi="Calibri"/>
                <w:b w:val="0"/>
                <w:sz w:val="20"/>
              </w:rPr>
              <w:t>#a5d6ff — Light Blue</w:t>
            </w:r>
          </w:p>
        </w:tc>
        <w:tc>
          <w:tcPr>
            <w:tcW w:type="dxa" w:w="2880"/>
          </w:tcPr>
          <w:p>
            <w:r>
              <w:rPr>
                <w:rFonts w:ascii="Calibri" w:hAnsi="Calibri"/>
                <w:b w:val="0"/>
                <w:sz w:val="20"/>
              </w:rPr>
              <w:t>1</w:t>
            </w:r>
          </w:p>
        </w:tc>
      </w:tr>
    </w:tbl>
    <w:p>
      <w:pPr>
        <w:pStyle w:val="Heading1"/>
        <w:jc w:val="left"/>
      </w:pPr>
      <w:r>
        <w:rPr>
          <w:rFonts w:ascii="Calibri" w:hAnsi="Calibri"/>
          <w:color w:val="1F6FEB"/>
        </w:rPr>
        <w:t>8. File Structure</w:t>
      </w:r>
    </w:p>
    <w:p/>
    <w:p>
      <w:pPr>
        <w:pStyle w:val="NoSpacing"/>
      </w:pPr>
      <w:r>
        <w:rPr>
          <w:rFonts w:ascii="Courier New" w:hAnsi="Courier New"/>
          <w:color w:val="0D1117"/>
          <w:sz w:val="20"/>
        </w:rPr>
        <w:t>Agentic Project/</w:t>
        <w:br/>
        <w:t>└── Resource Sharing GIS Visualization/</w:t>
        <w:br/>
        <w:t xml:space="preserve">    ├── resource_sharing_map.html                  ← Interactive map</w:t>
        <w:br/>
        <w:t xml:space="preserve">    ├── locations.json                             ← 770 geocoded locations</w:t>
        <w:br/>
        <w:t xml:space="preserve">    ├── ungeocodeable_libraries.csv                ← all 69 now resolved (v4)</w:t>
        <w:br/>
        <w:t xml:space="preserve">    ├── ungeocodeable_libraries.json               ← same, JSON format</w:t>
        <w:br/>
        <w:t xml:space="preserve">    └── Resource_Sharing_GIS_Visualization_Documentation.docx</w:t>
      </w:r>
    </w:p>
    <w:p>
      <w:pPr>
        <w:pStyle w:val="Heading1"/>
        <w:jc w:val="left"/>
      </w:pPr>
      <w:r>
        <w:rPr>
          <w:rFonts w:ascii="Calibri" w:hAnsi="Calibri"/>
          <w:color w:val="1F6FEB"/>
        </w:rPr>
        <w:t>9. How to Use</w:t>
      </w:r>
    </w:p>
    <w:p>
      <w:pPr>
        <w:pStyle w:val="Heading2"/>
        <w:jc w:val="left"/>
      </w:pPr>
      <w:r>
        <w:rPr>
          <w:rFonts w:ascii="Calibri" w:hAnsi="Calibri"/>
          <w:color w:val="1F6FEB"/>
        </w:rPr>
        <w:t>9.1 Opening the Map</w:t>
      </w:r>
    </w:p>
    <w:p>
      <w:r>
        <w:rPr>
          <w:rFonts w:ascii="Calibri" w:hAnsi="Calibri"/>
          <w:b w:val="0"/>
          <w:sz w:val="22"/>
        </w:rPr>
        <w:t>Paste into any browser's address bar:</w:t>
      </w:r>
    </w:p>
    <w:p/>
    <w:p>
      <w:pPr>
        <w:pStyle w:val="NoSpacing"/>
      </w:pPr>
      <w:r>
        <w:rPr>
          <w:rFonts w:ascii="Courier New" w:hAnsi="Courier New"/>
          <w:color w:val="1F6FEB"/>
          <w:sz w:val="18"/>
        </w:rPr>
        <w:t>file:///Users/tokunboadeshinajr/Desktop/Agentic%20Project/Resource%20Sharing%20GIS%20Visualization/resource_sharing_map.html</w:t>
      </w:r>
    </w:p>
    <w:p>
      <w:pPr>
        <w:pStyle w:val="Heading2"/>
        <w:jc w:val="left"/>
      </w:pPr>
      <w:r>
        <w:rPr>
          <w:rFonts w:ascii="Calibri" w:hAnsi="Calibri"/>
          <w:color w:val="1F6FEB"/>
        </w:rPr>
        <w:t>9.2 Interacting with the Map</w:t>
      </w:r>
    </w:p>
    <w:p>
      <w:pPr>
        <w:pStyle w:val="ListBullet"/>
      </w:pPr>
      <w:r>
        <w:rPr>
          <w:rFonts w:ascii="Calibri" w:hAnsi="Calibri"/>
          <w:sz w:val="22"/>
        </w:rPr>
        <w:t>Map starts playing automatically — each location gets a 6-second cycle with smooth panning and a color-coded marker</w:t>
      </w:r>
    </w:p>
    <w:p>
      <w:pPr>
        <w:pStyle w:val="ListBullet"/>
      </w:pPr>
      <w:r>
        <w:rPr>
          <w:rFonts w:ascii="Calibri" w:hAnsi="Calibri"/>
          <w:sz w:val="22"/>
        </w:rPr>
        <w:t>Pause stops the animation and cancels any pending pan</w:t>
      </w:r>
    </w:p>
    <w:p>
      <w:pPr>
        <w:pStyle w:val="ListBullet"/>
      </w:pPr>
      <w:r>
        <w:rPr>
          <w:rFonts w:ascii="Calibri" w:hAnsi="Calibri"/>
          <w:sz w:val="22"/>
        </w:rPr>
        <w:t>Prev / Next step through locations manually</w:t>
      </w:r>
    </w:p>
    <w:p>
      <w:pPr>
        <w:pStyle w:val="ListBullet"/>
      </w:pPr>
      <w:r>
        <w:rPr>
          <w:rFonts w:ascii="Calibri" w:hAnsi="Calibri"/>
          <w:sz w:val="22"/>
        </w:rPr>
        <w:t>Hover over the marker to see library name, type, and address</w:t>
      </w:r>
    </w:p>
    <w:p>
      <w:pPr>
        <w:pStyle w:val="ListBullet"/>
      </w:pPr>
      <w:r>
        <w:rPr>
          <w:rFonts w:ascii="Calibri" w:hAnsi="Calibri"/>
          <w:sz w:val="22"/>
        </w:rPr>
        <w:t>Mouse wheel / pinch to zoom; click-drag to pan</w:t>
      </w:r>
    </w:p>
    <w:p>
      <w:pPr>
        <w:pStyle w:val="Heading2"/>
        <w:jc w:val="left"/>
      </w:pPr>
      <w:r>
        <w:rPr>
          <w:rFonts w:ascii="Calibri" w:hAnsi="Calibri"/>
          <w:color w:val="1F6FEB"/>
        </w:rPr>
        <w:t>9.3 Adding Missing Libraries</w:t>
      </w:r>
    </w:p>
    <w:p>
      <w:r>
        <w:rPr>
          <w:rFonts w:ascii="Calibri" w:hAnsi="Calibri"/>
          <w:b w:val="0"/>
          <w:sz w:val="22"/>
        </w:rPr>
        <w:t>As of v4, all previously ungeocodeable libraries have been resolved and added to locations.json. To add new libraries in the future: add an entry to locations.json with name, type, layer, address, lat, and lng fields, then paste the corresponding entry into the locations array in resource_sharing_map.html.</w:t>
      </w:r>
    </w:p>
    <w:p>
      <w:pPr>
        <w:pStyle w:val="Heading2"/>
        <w:jc w:val="left"/>
      </w:pPr>
      <w:r>
        <w:rPr>
          <w:rFonts w:ascii="Calibri" w:hAnsi="Calibri"/>
          <w:color w:val="1F6FEB"/>
        </w:rPr>
        <w:t>9.4 Modifying the Animation Speed</w:t>
      </w:r>
    </w:p>
    <w:p>
      <w:r>
        <w:rPr>
          <w:rFonts w:ascii="Calibri" w:hAnsi="Calibri"/>
          <w:b w:val="0"/>
          <w:sz w:val="22"/>
        </w:rPr>
        <w:t>Open resource_sharing_map.html in a text editor and adjust these constants:</w:t>
      </w:r>
    </w:p>
    <w:p/>
    <w:p>
      <w:pPr>
        <w:pStyle w:val="NoSpacing"/>
      </w:pPr>
      <w:r>
        <w:rPr>
          <w:rFonts w:ascii="Courier New" w:hAnsi="Courier New"/>
          <w:color w:val="0D1117"/>
          <w:sz w:val="18"/>
        </w:rPr>
        <w:t>const CYCLE_MS    = 6000;  // total ms per location (default: 6s)</w:t>
        <w:br/>
        <w:t>const ZOOM_IN     = 10;    // zoom level on arrival  (1–18)</w:t>
        <w:br/>
        <w:t>const ZOOM_OUT    = 10;    // zoom level before leaving — same as ZOOM_IN for smooth pan</w:t>
        <w:br/>
        <w:t>const ZOOM_OUT_AT = 3500;  // ms after arrival to begin zoom-out</w:t>
      </w:r>
    </w:p>
    <w:p>
      <w:pPr>
        <w:pStyle w:val="Heading1"/>
        <w:jc w:val="left"/>
      </w:pPr>
      <w:r>
        <w:rPr>
          <w:rFonts w:ascii="Calibri" w:hAnsi="Calibri"/>
          <w:color w:val="1F6FEB"/>
        </w:rPr>
        <w:t>10. Known Limitations &amp; Future Enhancements</w:t>
      </w:r>
    </w:p>
    <w:p>
      <w:pPr>
        <w:pStyle w:val="Heading2"/>
        <w:jc w:val="left"/>
      </w:pPr>
      <w:r>
        <w:rPr>
          <w:rFonts w:ascii="Calibri" w:hAnsi="Calibri"/>
          <w:color w:val="1F6FEB"/>
        </w:rPr>
        <w:t>10.1 Ungeocodeable Libraries (69)</w:t>
      </w:r>
    </w:p>
    <w:p>
      <w:r>
        <w:rPr>
          <w:rFonts w:ascii="Calibri" w:hAnsi="Calibri"/>
          <w:b w:val="0"/>
          <w:sz w:val="22"/>
        </w:rPr>
        <w:t>All 69 institutions that could not be resolved in earlier rounds were successfully geocoded in Round 3 using known addresses and city/county fallback searches via Nominatim. Additionally, 80 institutions that appeared in both the “Who We Borrow From” and “Who We Lend To” layers were originally deduplicated by name; the missing layer variants were restored so that every original Google Maps placemark is represented. The total mapped count is now 770 — matching the original dataset exactly.</w:t>
      </w:r>
    </w:p>
    <w:p>
      <w:pPr>
        <w:pStyle w:val="ListBullet"/>
      </w:pPr>
      <w:r>
        <w:rPr>
          <w:rFonts w:ascii="Calibri" w:hAnsi="Calibri"/>
          <w:sz w:val="22"/>
        </w:rPr>
        <w:t>Regional library consortium names with no OpenStreetMap presence</w:t>
      </w:r>
    </w:p>
    <w:p>
      <w:pPr>
        <w:pStyle w:val="ListBullet"/>
      </w:pPr>
      <w:r>
        <w:rPr>
          <w:rFonts w:ascii="Calibri" w:hAnsi="Calibri"/>
          <w:sz w:val="22"/>
        </w:rPr>
        <w:t>Highly abbreviated ILL system identifiers</w:t>
      </w:r>
    </w:p>
    <w:p>
      <w:pPr>
        <w:pStyle w:val="ListBullet"/>
      </w:pPr>
      <w:r>
        <w:rPr>
          <w:rFonts w:ascii="Calibri" w:hAnsi="Calibri"/>
          <w:sz w:val="22"/>
        </w:rPr>
        <w:t>Internal BOCES/government office designators</w:t>
      </w:r>
    </w:p>
    <w:p>
      <w:pPr>
        <w:pStyle w:val="Heading2"/>
        <w:jc w:val="left"/>
      </w:pPr>
      <w:r>
        <w:rPr>
          <w:rFonts w:ascii="Calibri" w:hAnsi="Calibri"/>
          <w:color w:val="1F6FEB"/>
        </w:rPr>
        <w:t>10.2 Future Enhancements</w:t>
      </w:r>
    </w:p>
    <w:p>
      <w:pPr>
        <w:pStyle w:val="ListBullet"/>
      </w:pPr>
      <w:r>
        <w:rPr>
          <w:rFonts w:ascii="Calibri" w:hAnsi="Calibri"/>
          <w:sz w:val="22"/>
        </w:rPr>
        <w:t>Layer toggle — show/hide "Who We Borrow From" and "Who We Lend To" independently</w:t>
      </w:r>
    </w:p>
    <w:p>
      <w:pPr>
        <w:pStyle w:val="ListBullet"/>
      </w:pPr>
      <w:r>
        <w:rPr>
          <w:rFonts w:ascii="Calibri" w:hAnsi="Calibri"/>
          <w:sz w:val="22"/>
        </w:rPr>
        <w:t>Search bar — jump to any library by typing its name</w:t>
      </w:r>
    </w:p>
    <w:p>
      <w:pPr>
        <w:pStyle w:val="ListBullet"/>
      </w:pPr>
      <w:r>
        <w:rPr>
          <w:rFonts w:ascii="Calibri" w:hAnsi="Calibri"/>
          <w:sz w:val="22"/>
        </w:rPr>
        <w:t>Speed control slider — adjust CYCLE_MS without editing code</w:t>
      </w:r>
    </w:p>
    <w:p>
      <w:pPr>
        <w:pStyle w:val="ListBullet"/>
      </w:pPr>
      <w:r>
        <w:rPr>
          <w:rFonts w:ascii="Calibri" w:hAnsi="Calibri"/>
          <w:sz w:val="22"/>
        </w:rPr>
        <w:t>Animated arc lines from BCC (Bronx, NY) to each partner as the marker moves</w:t>
      </w:r>
    </w:p>
    <w:p>
      <w:pPr>
        <w:pStyle w:val="ListBullet"/>
      </w:pPr>
      <w:r>
        <w:rPr>
          <w:rFonts w:ascii="Calibri" w:hAnsi="Calibri"/>
          <w:sz w:val="22"/>
        </w:rPr>
        <w:t>Export button — save the current map view as PNG</w:t>
      </w:r>
    </w:p>
    <w:p>
      <w:pPr>
        <w:pStyle w:val="ListBullet"/>
      </w:pPr>
      <w:r>
        <w:rPr>
          <w:rFonts w:ascii="Calibri" w:hAnsi="Calibri"/>
          <w:sz w:val="22"/>
        </w:rPr>
        <w:t>Alma/ILLiad live integration — highlight most-active partners from real transaction data</w:t>
      </w:r>
    </w:p>
    <w:p>
      <w:pPr>
        <w:pStyle w:val="ListBullet"/>
      </w:pPr>
      <w:r>
        <w:rPr>
          <w:rFonts w:ascii="Calibri" w:hAnsi="Calibri"/>
          <w:sz w:val="22"/>
        </w:rPr>
        <w:t>Mobile-responsive layout for tablets and phones</w:t>
      </w:r>
    </w:p>
    <w:p>
      <w:pPr>
        <w:pStyle w:val="Heading1"/>
        <w:jc w:val="left"/>
      </w:pPr>
      <w:r>
        <w:rPr>
          <w:rFonts w:ascii="Calibri" w:hAnsi="Calibri"/>
          <w:color w:val="1F6FEB"/>
        </w:rPr>
        <w:t>11. Contact &amp; Maintenance</w:t>
      </w:r>
    </w:p>
    <w:p/>
    <w:tbl>
      <w:tblPr>
        <w:tblStyle w:val="TableGrid"/>
        <w:tblW w:type="auto" w:w="0"/>
        <w:tblLook w:firstColumn="1" w:firstRow="1" w:lastColumn="0" w:lastRow="0" w:noHBand="0" w:noVBand="1" w:val="04A0"/>
      </w:tblPr>
      <w:tblGrid>
        <w:gridCol w:w="4680"/>
        <w:gridCol w:w="4680"/>
      </w:tblGrid>
      <w:tr>
        <w:tc>
          <w:tcPr>
            <w:tcW w:type="dxa" w:w="4680"/>
          </w:tcPr>
          <w:p/>
        </w:tc>
        <w:tc>
          <w:tcPr>
            <w:tcW w:type="dxa" w:w="4680"/>
          </w:tcPr>
          <w:p/>
        </w:tc>
      </w:tr>
      <w:tr>
        <w:tc>
          <w:tcPr>
            <w:tcW w:type="dxa" w:w="2880"/>
            <w:shd w:val="clear" w:color="auto" w:fill="1F6FEB"/>
          </w:tcPr>
          <w:p>
            <w:r>
              <w:rPr>
                <w:rFonts w:ascii="Calibri" w:hAnsi="Calibri"/>
                <w:b/>
                <w:color w:val="FFFFFF"/>
                <w:sz w:val="20"/>
              </w:rPr>
              <w:t>Field</w:t>
            </w:r>
          </w:p>
        </w:tc>
        <w:tc>
          <w:tcPr>
            <w:tcW w:type="dxa" w:w="7200"/>
            <w:shd w:val="clear" w:color="auto" w:fill="1F6FEB"/>
          </w:tcPr>
          <w:p>
            <w:r>
              <w:rPr>
                <w:rFonts w:ascii="Calibri" w:hAnsi="Calibri"/>
                <w:b/>
                <w:color w:val="FFFFFF"/>
                <w:sz w:val="20"/>
              </w:rPr>
              <w:t>Detail</w:t>
            </w:r>
          </w:p>
        </w:tc>
      </w:tr>
      <w:tr>
        <w:tc>
          <w:tcPr>
            <w:tcW w:type="dxa" w:w="2880"/>
          </w:tcPr>
          <w:p>
            <w:r>
              <w:rPr>
                <w:rFonts w:ascii="Calibri" w:hAnsi="Calibri"/>
                <w:b/>
                <w:sz w:val="20"/>
              </w:rPr>
              <w:t>Author</w:t>
            </w:r>
          </w:p>
        </w:tc>
        <w:tc>
          <w:tcPr>
            <w:tcW w:type="dxa" w:w="7200"/>
          </w:tcPr>
          <w:p>
            <w:r>
              <w:rPr>
                <w:rFonts w:ascii="Calibri" w:hAnsi="Calibri"/>
                <w:b w:val="0"/>
                <w:sz w:val="20"/>
              </w:rPr>
              <w:t>Tokunbo Adeshina Jr.</w:t>
            </w:r>
          </w:p>
        </w:tc>
      </w:tr>
      <w:tr>
        <w:tc>
          <w:tcPr>
            <w:tcW w:type="dxa" w:w="2880"/>
          </w:tcPr>
          <w:p>
            <w:r>
              <w:rPr>
                <w:rFonts w:ascii="Calibri" w:hAnsi="Calibri"/>
                <w:b/>
                <w:sz w:val="20"/>
              </w:rPr>
              <w:t>Institution</w:t>
            </w:r>
          </w:p>
        </w:tc>
        <w:tc>
          <w:tcPr>
            <w:tcW w:type="dxa" w:w="7200"/>
          </w:tcPr>
          <w:p>
            <w:r>
              <w:rPr>
                <w:rFonts w:ascii="Calibri" w:hAnsi="Calibri"/>
                <w:b w:val="0"/>
                <w:sz w:val="20"/>
              </w:rPr>
              <w:t>Bronx Community College (BCC), CUNY</w:t>
            </w:r>
          </w:p>
        </w:tc>
      </w:tr>
      <w:tr>
        <w:tc>
          <w:tcPr>
            <w:tcW w:type="dxa" w:w="2880"/>
          </w:tcPr>
          <w:p>
            <w:r>
              <w:rPr>
                <w:rFonts w:ascii="Calibri" w:hAnsi="Calibri"/>
                <w:b/>
                <w:sz w:val="20"/>
              </w:rPr>
              <w:t>Email</w:t>
            </w:r>
          </w:p>
        </w:tc>
        <w:tc>
          <w:tcPr>
            <w:tcW w:type="dxa" w:w="7200"/>
          </w:tcPr>
          <w:p>
            <w:r>
              <w:rPr>
                <w:rFonts w:ascii="Calibri" w:hAnsi="Calibri"/>
                <w:b w:val="0"/>
                <w:sz w:val="20"/>
              </w:rPr>
              <w:t>adetokunbojunior@gmail.com</w:t>
            </w:r>
          </w:p>
        </w:tc>
      </w:tr>
      <w:tr>
        <w:tc>
          <w:tcPr>
            <w:tcW w:type="dxa" w:w="2880"/>
          </w:tcPr>
          <w:p>
            <w:r>
              <w:rPr>
                <w:rFonts w:ascii="Calibri" w:hAnsi="Calibri"/>
                <w:b/>
                <w:sz w:val="20"/>
              </w:rPr>
              <w:t>Map File</w:t>
            </w:r>
          </w:p>
        </w:tc>
        <w:tc>
          <w:tcPr>
            <w:tcW w:type="dxa" w:w="7200"/>
          </w:tcPr>
          <w:p>
            <w:r>
              <w:rPr>
                <w:rFonts w:ascii="Calibri" w:hAnsi="Calibri"/>
                <w:b w:val="0"/>
                <w:sz w:val="20"/>
              </w:rPr>
              <w:t>resource_sharing_map.html</w:t>
            </w:r>
          </w:p>
        </w:tc>
      </w:tr>
      <w:tr>
        <w:tc>
          <w:tcPr>
            <w:tcW w:type="dxa" w:w="2880"/>
          </w:tcPr>
          <w:p>
            <w:r>
              <w:rPr>
                <w:rFonts w:ascii="Calibri" w:hAnsi="Calibri"/>
                <w:b/>
                <w:sz w:val="20"/>
              </w:rPr>
              <w:t>Data File</w:t>
            </w:r>
          </w:p>
        </w:tc>
        <w:tc>
          <w:tcPr>
            <w:tcW w:type="dxa" w:w="7200"/>
          </w:tcPr>
          <w:p>
            <w:r>
              <w:rPr>
                <w:rFonts w:ascii="Calibri" w:hAnsi="Calibri"/>
                <w:b w:val="0"/>
                <w:sz w:val="20"/>
              </w:rPr>
              <w:t>locations.json (770 entries)</w:t>
            </w:r>
          </w:p>
        </w:tc>
      </w:tr>
      <w:tr>
        <w:tc>
          <w:tcPr>
            <w:tcW w:type="dxa" w:w="2880"/>
          </w:tcPr>
          <w:p>
            <w:r>
              <w:rPr>
                <w:rFonts w:ascii="Calibri" w:hAnsi="Calibri"/>
                <w:b/>
                <w:sz w:val="20"/>
              </w:rPr>
              <w:t>Resolved (v4)</w:t>
            </w:r>
          </w:p>
        </w:tc>
        <w:tc>
          <w:tcPr>
            <w:tcW w:type="dxa" w:w="7200"/>
          </w:tcPr>
          <w:p>
            <w:r>
              <w:rPr>
                <w:rFonts w:ascii="Calibri" w:hAnsi="Calibri"/>
                <w:b w:val="0"/>
                <w:sz w:val="20"/>
              </w:rPr>
              <w:t>ungeocodeable_libraries.csv (all 69 resolved)</w:t>
            </w:r>
          </w:p>
        </w:tc>
      </w:tr>
      <w:tr>
        <w:tc>
          <w:tcPr>
            <w:tcW w:type="dxa" w:w="2880"/>
          </w:tcPr>
          <w:p>
            <w:r>
              <w:rPr>
                <w:rFonts w:ascii="Calibri" w:hAnsi="Calibri"/>
                <w:b/>
                <w:sz w:val="20"/>
              </w:rPr>
              <w:t>Project Folder</w:t>
            </w:r>
          </w:p>
        </w:tc>
        <w:tc>
          <w:tcPr>
            <w:tcW w:type="dxa" w:w="7200"/>
          </w:tcPr>
          <w:p>
            <w:r>
              <w:rPr>
                <w:rFonts w:ascii="Calibri" w:hAnsi="Calibri"/>
                <w:b w:val="0"/>
                <w:sz w:val="20"/>
              </w:rPr>
              <w:t>Desktop / Agentic Project / Resource Sharing GIS Visualization</w:t>
            </w:r>
          </w:p>
        </w:tc>
      </w:tr>
      <w:tr>
        <w:tc>
          <w:tcPr>
            <w:tcW w:type="dxa" w:w="2880"/>
          </w:tcPr>
          <w:p>
            <w:r>
              <w:rPr>
                <w:rFonts w:ascii="Calibri" w:hAnsi="Calibri"/>
                <w:b/>
                <w:sz w:val="20"/>
              </w:rPr>
              <w:t>Data Source</w:t>
            </w:r>
          </w:p>
        </w:tc>
        <w:tc>
          <w:tcPr>
            <w:tcW w:type="dxa" w:w="7200"/>
          </w:tcPr>
          <w:p>
            <w:r>
              <w:rPr>
                <w:rFonts w:ascii="Calibri" w:hAnsi="Calibri"/>
                <w:b w:val="0"/>
                <w:sz w:val="20"/>
              </w:rPr>
              <w:t>Google My Maps → KMZ/KML → Nominatim 3-round geocoding pipeline</w:t>
            </w:r>
          </w:p>
        </w:tc>
      </w:tr>
      <w:tr>
        <w:tc>
          <w:tcPr>
            <w:tcW w:type="dxa" w:w="2880"/>
          </w:tcPr>
          <w:p>
            <w:r>
              <w:rPr>
                <w:rFonts w:ascii="Calibri" w:hAnsi="Calibri"/>
                <w:b/>
                <w:sz w:val="20"/>
              </w:rPr>
              <w:t>Version</w:t>
            </w:r>
          </w:p>
        </w:tc>
        <w:tc>
          <w:tcPr>
            <w:tcW w:type="dxa" w:w="7200"/>
          </w:tcPr>
          <w:p>
            <w:r>
              <w:rPr>
                <w:rFonts w:ascii="Calibri" w:hAnsi="Calibri"/>
                <w:b w:val="0"/>
                <w:sz w:val="20"/>
              </w:rPr>
              <w:t>7.0</w:t>
            </w:r>
          </w:p>
        </w:tc>
      </w:tr>
      <w:tr>
        <w:tc>
          <w:tcPr>
            <w:tcW w:type="dxa" w:w="2880"/>
          </w:tcPr>
          <w:p>
            <w:r>
              <w:rPr>
                <w:rFonts w:ascii="Calibri" w:hAnsi="Calibri"/>
                <w:b/>
                <w:sz w:val="20"/>
              </w:rPr>
              <w:t>Last Updated</w:t>
            </w:r>
          </w:p>
        </w:tc>
        <w:tc>
          <w:tcPr>
            <w:tcW w:type="dxa" w:w="7200"/>
          </w:tcPr>
          <w:p>
            <w:r>
              <w:rPr>
                <w:rFonts w:ascii="Calibri" w:hAnsi="Calibri"/>
                <w:b w:val="0"/>
                <w:sz w:val="20"/>
              </w:rPr>
              <w:t>May 04, 2026</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86069"/>
        <w:sz w:val="18"/>
      </w:rPr>
      <w:t>BCC Library · Resource Sharing GIS Visualization v3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
  <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