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les-fondations-de-la-diplomatie-alaouite"/>
    <w:p>
      <w:pPr>
        <w:pStyle w:val="Heading1"/>
      </w:pPr>
      <w:r>
        <w:t xml:space="preserve">LES FONDATIONS DE LA DIPLOMATIE ALAOUITE</w:t>
      </w:r>
    </w:p>
    <w:bookmarkStart w:id="20" w:name="X6f0e19b97dc699f5325584ef8d146ae24b17db9"/>
    <w:p>
      <w:pPr>
        <w:pStyle w:val="Heading2"/>
      </w:pPr>
      <w:r>
        <w:t xml:space="preserve">Histoire des Pratiques Diplomatiques de la Dynastie Alaouite avant le Protectorat (1666-1912)</w:t>
      </w:r>
    </w:p>
    <w:bookmarkEnd w:id="20"/>
    <w:bookmarkStart w:id="25" w:name="introduction"/>
    <w:p>
      <w:pPr>
        <w:pStyle w:val="Heading2"/>
      </w:pPr>
      <w:r>
        <w:t xml:space="preserve">INTRODUCTION</w:t>
      </w:r>
    </w:p>
    <w:p>
      <w:pPr>
        <w:pStyle w:val="FirstParagraph"/>
      </w:pPr>
      <w:r>
        <w:t xml:space="preserve">Le 20 décembre 1777, alors que les puissances européennes considéraient encore les insurgés américains comme des rebelles illégitimes, le Sultan Sidi Mohammed ben Abdallah publiait une déclaration ouvrant les ports marocains aux navires battant pavillon américain.</w:t>
      </w:r>
      <w:r>
        <w:rPr>
          <w:rStyle w:val="FootnoteReference"/>
        </w:rPr>
        <w:footnoteReference w:id="21"/>
      </w:r>
      <w:r>
        <w:t xml:space="preserve"> </w:t>
      </w:r>
      <w:r>
        <w:t xml:space="preserve">Cet acte de reconnaissance souveraine – le premier au monde envers la jeune République – illustre une réalité souvent occultée : l’Empire Chérifien était alors une puissance capable de « faire du droit international », exerçant l’attribut régalien par excellence : le pouvoir de reconnaître un autre État.</w:t>
      </w:r>
      <w:r>
        <w:rPr>
          <w:rStyle w:val="FootnoteReference"/>
        </w:rPr>
        <w:footnoteReference w:id="22"/>
      </w:r>
    </w:p>
    <w:p>
      <w:pPr>
        <w:pStyle w:val="BodyText"/>
      </w:pPr>
      <w:r>
        <w:t xml:space="preserve">Le Traité de Paix et d’Amitié signé à Marrakech en 1786, toujours en vigueur aujourd’hui, demeure le plus long traité ininterrompu de l’histoire diplomatique des États-Unis.</w:t>
      </w:r>
      <w:r>
        <w:rPr>
          <w:rStyle w:val="FootnoteReference"/>
        </w:rPr>
        <w:footnoteReference w:id="23"/>
      </w:r>
      <w:r>
        <w:t xml:space="preserve"> </w:t>
      </w:r>
      <w:r>
        <w:t xml:space="preserve">Cette permanence juridique atteste de la continuité de la personnalité internationale de l’État marocain à travers les siècles – y compris durant la parenthèse du Protectorat.</w:t>
      </w:r>
    </w:p>
    <w:p>
      <w:pPr>
        <w:pStyle w:val="BodyText"/>
      </w:pPr>
      <w:r>
        <w:rPr>
          <w:bCs/>
          <w:b/>
        </w:rPr>
        <w:t xml:space="preserve">Mais cette puissance va s’effondrer.</w:t>
      </w:r>
    </w:p>
    <w:p>
      <w:pPr>
        <w:pStyle w:val="BodyText"/>
      </w:pPr>
      <w:r>
        <w:t xml:space="preserve">L’avènement de la dynastie Alaouite (1666) marque une</w:t>
      </w:r>
      <w:r>
        <w:t xml:space="preserve"> </w:t>
      </w:r>
      <w:r>
        <w:rPr>
          <w:bCs/>
          <w:b/>
        </w:rPr>
        <w:t xml:space="preserve">recomposition majeure</w:t>
      </w:r>
      <w:r>
        <w:t xml:space="preserve"> </w:t>
      </w:r>
      <w:r>
        <w:t xml:space="preserve">autour d’un pouvoir central restauré. Le</w:t>
      </w:r>
      <w:r>
        <w:t xml:space="preserve"> </w:t>
      </w:r>
      <w:r>
        <w:rPr>
          <w:iCs/>
          <w:i/>
        </w:rPr>
        <w:t xml:space="preserve">Makhzen</w:t>
      </w:r>
      <w:r>
        <w:t xml:space="preserve"> </w:t>
      </w:r>
      <w:r>
        <w:t xml:space="preserve">monopolise les relations extérieures après un demi-siècle d’anarchie (</w:t>
      </w:r>
      <w:r>
        <w:rPr>
          <w:iCs/>
          <w:i/>
        </w:rPr>
        <w:t xml:space="preserve">Fitna</w:t>
      </w:r>
      <w:r>
        <w:t xml:space="preserve">) où des entités autonomes (République corsaire de Salé, Zaouïa de Dila) traitaient directement avec l’Europe.</w:t>
      </w:r>
      <w:r>
        <w:rPr>
          <w:rStyle w:val="FootnoteReference"/>
        </w:rPr>
        <w:footnoteReference w:id="24"/>
      </w:r>
      <w:r>
        <w:t xml:space="preserve"> </w:t>
      </w:r>
      <w:r>
        <w:t xml:space="preserve">Pendant près d’un siècle et demi, le droit international sert d’</w:t>
      </w:r>
      <w:r>
        <w:rPr>
          <w:bCs/>
          <w:b/>
        </w:rPr>
        <w:t xml:space="preserve">outil de prestige</w:t>
      </w:r>
      <w:r>
        <w:t xml:space="preserve"> </w:t>
      </w:r>
      <w:r>
        <w:t xml:space="preserve">: le Maroc impose des tributs annuels au Danemark (1751) et à la Suède (1763), reconnaît les États-Unis avant toute puissance européenne, signe des traités de paix perpétuelle avec la France (1767).</w:t>
      </w:r>
    </w:p>
    <w:p>
      <w:pPr>
        <w:pStyle w:val="BodyText"/>
      </w:pPr>
      <w:r>
        <w:t xml:space="preserve">Puis le rapport de force bascule. Brutalement.</w:t>
      </w:r>
    </w:p>
    <w:p>
      <w:pPr>
        <w:pStyle w:val="BodyText"/>
      </w:pPr>
      <w:r>
        <w:t xml:space="preserve">En 1844, la défaite d’Isly face aux troupes du maréchal Bugeaud révèle le gouffre technologique. En 1860, l’armée espagnole occupe Tétouan et impose une indemnité de</w:t>
      </w:r>
      <w:r>
        <w:t xml:space="preserve"> </w:t>
      </w:r>
      <w:r>
        <w:rPr>
          <w:bCs/>
          <w:b/>
        </w:rPr>
        <w:t xml:space="preserve">20 millions de douros</w:t>
      </w:r>
      <w:r>
        <w:t xml:space="preserve"> </w:t>
      </w:r>
      <w:r>
        <w:t xml:space="preserve">– une somme colossale qui endette l’État pour des décennies. Le même droit international qui servait à affirmer la souveraineté devient alors un</w:t>
      </w:r>
      <w:r>
        <w:t xml:space="preserve"> </w:t>
      </w:r>
      <w:r>
        <w:rPr>
          <w:bCs/>
          <w:b/>
        </w:rPr>
        <w:t xml:space="preserve">outil de survie</w:t>
      </w:r>
      <w:r>
        <w:t xml:space="preserve"> </w:t>
      </w:r>
      <w:r>
        <w:t xml:space="preserve">: les sultans tentent d’internationaliser les crises (Convention de Madrid 1880, Conférence d’Algésiras 1906) pour éviter l’hégémonie d’une seule puissance. En vain. Le chroniqueur En-Naciri compare l’Empire à un « oiseau sans ailes ». En 1912, le Traité de Fès consacre ce que Brignon et al. appellent une « souveraineté amputée de ses attributs essentiels » : l’État existe toujours en droit international, mais sa substance a été transférée à la puissance protectrice.</w:t>
      </w:r>
    </w:p>
    <w:p>
      <w:pPr>
        <w:pStyle w:val="BodyText"/>
      </w:pPr>
      <w:r>
        <w:t xml:space="preserve">Ce basculement s’explique par une</w:t>
      </w:r>
      <w:r>
        <w:t xml:space="preserve"> </w:t>
      </w:r>
      <w:r>
        <w:rPr>
          <w:bCs/>
          <w:b/>
        </w:rPr>
        <w:t xml:space="preserve">contrainte systémique</w:t>
      </w:r>
      <w:r>
        <w:t xml:space="preserve"> </w:t>
      </w:r>
      <w:r>
        <w:t xml:space="preserve">propre à l’État chérifien. Contrairement au modèle westphalien où la souveraineté est territoriale et abstraite, la légitimité du Sultan repose sur la</w:t>
      </w:r>
      <w:r>
        <w:t xml:space="preserve"> </w:t>
      </w:r>
      <w:r>
        <w:rPr>
          <w:iCs/>
          <w:i/>
        </w:rPr>
        <w:t xml:space="preserve">Bay’a</w:t>
      </w:r>
      <w:r>
        <w:t xml:space="preserve"> </w:t>
      </w:r>
      <w:r>
        <w:t xml:space="preserve">– un pacte d’allégeance qui l’oblige à défendre l’intégrité du</w:t>
      </w:r>
      <w:r>
        <w:t xml:space="preserve"> </w:t>
      </w:r>
      <w:r>
        <w:rPr>
          <w:iCs/>
          <w:i/>
        </w:rPr>
        <w:t xml:space="preserve">Dar al-Islam</w:t>
      </w:r>
      <w:r>
        <w:t xml:space="preserve">. Cette contrainte théologique interdit toute cession territoriale, bloquant les négociations face aux Européens qui exigent des concessions foncières. Le Sultan ne peut ni céder (la</w:t>
      </w:r>
      <w:r>
        <w:t xml:space="preserve"> </w:t>
      </w:r>
      <w:r>
        <w:rPr>
          <w:iCs/>
          <w:i/>
        </w:rPr>
        <w:t xml:space="preserve">Bay’a</w:t>
      </w:r>
      <w:r>
        <w:t xml:space="preserve"> </w:t>
      </w:r>
      <w:r>
        <w:t xml:space="preserve">l’interdit), ni résister militairement (le rapport de force l’écrase). Il ne lui reste que le droit.</w:t>
      </w:r>
    </w:p>
    <w:p>
      <w:pPr>
        <w:pStyle w:val="BodyText"/>
      </w:pPr>
      <w:r>
        <w:t xml:space="preserve">Dés lors, la question centrale qui sera traitée par le présent travail est : Comment le droit international est-il passé, pour la diplomatie alaouite, d’un outil de projection souveraine à un ultime rempart contre l’annexion ?</w:t>
      </w:r>
    </w:p>
    <w:p>
      <w:pPr>
        <w:pStyle w:val="BodyText"/>
      </w:pPr>
      <w:r>
        <w:t xml:space="preserve">Pour répondre, notre analyse s’articulera en deux parties :</w:t>
      </w:r>
    </w:p>
    <w:p>
      <w:pPr>
        <w:pStyle w:val="BodyText"/>
      </w:pPr>
      <w:r>
        <w:rPr>
          <w:bCs/>
          <w:b/>
        </w:rPr>
        <w:t xml:space="preserve">PARTIE I</w:t>
      </w:r>
      <w:r>
        <w:t xml:space="preserve"> </w:t>
      </w:r>
      <w:r>
        <w:t xml:space="preserve">— Le dispositif diplomatique chérifien dans sa phase de</w:t>
      </w:r>
      <w:r>
        <w:t xml:space="preserve"> </w:t>
      </w:r>
      <w:r>
        <w:rPr>
          <w:bCs/>
          <w:b/>
        </w:rPr>
        <w:t xml:space="preserve">construction et de projection</w:t>
      </w:r>
      <w:r>
        <w:t xml:space="preserve"> </w:t>
      </w:r>
      <w:r>
        <w:t xml:space="preserve">(1666-1844) : fondements théologico-politiques, instruments de l’action extérieure, et apogée contractuel sous Sidi Mohammed ben Abdallah.</w:t>
      </w:r>
    </w:p>
    <w:p>
      <w:pPr>
        <w:pStyle w:val="BodyText"/>
      </w:pPr>
      <w:r>
        <w:rPr>
          <w:bCs/>
          <w:b/>
        </w:rPr>
        <w:t xml:space="preserve">PARTIE II</w:t>
      </w:r>
      <w:r>
        <w:t xml:space="preserve"> </w:t>
      </w:r>
      <w:r>
        <w:t xml:space="preserve">— La</w:t>
      </w:r>
      <w:r>
        <w:t xml:space="preserve"> </w:t>
      </w:r>
      <w:r>
        <w:rPr>
          <w:bCs/>
          <w:b/>
        </w:rPr>
        <w:t xml:space="preserve">diplomatie de résistance</w:t>
      </w:r>
      <w:r>
        <w:t xml:space="preserve"> </w:t>
      </w:r>
      <w:r>
        <w:t xml:space="preserve">face à l’encerclement colonial (1844-1912) : traités inégaux, stratégie d’internationalisation (</w:t>
      </w:r>
      <w:r>
        <w:rPr>
          <w:iCs/>
          <w:i/>
        </w:rPr>
        <w:t xml:space="preserve">Tadmin</w:t>
      </w:r>
      <w:r>
        <w:t xml:space="preserve">), et paradoxe juridique du Protectorat.</w:t>
      </w:r>
    </w:p>
    <w:p>
      <w:r>
        <w:pict>
          <v:rect style="width:0;height:1.5pt" o:hralign="center" o:hrstd="t" o:hr="t"/>
        </w:pict>
      </w:r>
    </w:p>
    <w:p>
      <w:pPr>
        <w:pStyle w:val="FirstParagraph"/>
      </w:pPr>
      <w:r>
        <w:t xml:space="preserve">[FIGURE_1_CARTE_EMPIRE_CHERIFIEN]</w:t>
      </w:r>
    </w:p>
    <w:p>
      <w:pPr>
        <w:pStyle w:val="BlockText"/>
      </w:pPr>
      <w:r>
        <w:rPr>
          <w:bCs/>
          <w:b/>
        </w:rPr>
        <w:t xml:space="preserve">Figure 1 :</w:t>
      </w:r>
      <w:r>
        <w:t xml:space="preserve"> </w:t>
      </w:r>
      <w:r>
        <w:t xml:space="preserve">Carte de l’Empire Chérifien au XVIIIe siècle – Zones d’influence, ports corsaires et réseaux diplomatiques</w:t>
      </w:r>
    </w:p>
    <w:p>
      <w:pPr>
        <w:pStyle w:val="BlockText"/>
      </w:pPr>
      <w:r>
        <w:rPr>
          <w:bCs/>
          <w:b/>
        </w:rPr>
        <w:t xml:space="preserve">Ressources iconographiques disponibles :</w:t>
      </w:r>
    </w:p>
    <w:p>
      <w:pPr>
        <w:pStyle w:val="BlockText"/>
      </w:pPr>
      <w:r>
        <w:rPr>
          <w:bCs/>
          <w:b/>
        </w:rPr>
        <w:t xml:space="preserve">Cartes à récupérer :</w:t>
      </w:r>
      <w:r>
        <w:t xml:space="preserve"> </w:t>
      </w:r>
      <w:r>
        <w:t xml:space="preserve">-</w:t>
      </w:r>
      <w:r>
        <w:t xml:space="preserve"> </w:t>
      </w:r>
      <w:r>
        <w:rPr>
          <w:iCs/>
          <w:i/>
        </w:rPr>
        <w:t xml:space="preserve">« Carte générale des Estats du roy de Fez »</w:t>
      </w:r>
      <w:r>
        <w:t xml:space="preserve"> </w:t>
      </w:r>
      <w:r>
        <w:t xml:space="preserve">composée par Germain Mouette (1683) —</w:t>
      </w:r>
      <w:r>
        <w:t xml:space="preserve"> </w:t>
      </w:r>
      <w:r>
        <w:rPr>
          <w:bCs/>
          <w:b/>
        </w:rPr>
        <w:t xml:space="preserve">Source :</w:t>
      </w:r>
      <w:r>
        <w:t xml:space="preserve"> </w:t>
      </w:r>
      <w:r>
        <w:t xml:space="preserve">BRIGNON et al.,</w:t>
      </w:r>
      <w:r>
        <w:t xml:space="preserve"> </w:t>
      </w:r>
      <w:r>
        <w:rPr>
          <w:iCs/>
          <w:i/>
        </w:rPr>
        <w:t xml:space="preserve">Histoire du Maroc</w:t>
      </w:r>
      <w:r>
        <w:t xml:space="preserve">, planches cartographiques. Montre les limites tribales, zones Makhzen/Siba, ports d’Essaouira et Salé.</w:t>
      </w:r>
      <w:r>
        <w:t xml:space="preserve"> </w:t>
      </w:r>
      <w:r>
        <w:t xml:space="preserve">-</w:t>
      </w:r>
      <w:r>
        <w:t xml:space="preserve"> </w:t>
      </w:r>
      <w:r>
        <w:rPr>
          <w:iCs/>
          <w:i/>
        </w:rPr>
        <w:t xml:space="preserve">Carte du Maroc (sources portugaises Torre do Tombo)</w:t>
      </w:r>
      <w:r>
        <w:t xml:space="preserve"> </w:t>
      </w:r>
      <w:r>
        <w:t xml:space="preserve">—</w:t>
      </w:r>
      <w:r>
        <w:t xml:space="preserve"> </w:t>
      </w:r>
      <w:r>
        <w:rPr>
          <w:bCs/>
          <w:b/>
        </w:rPr>
        <w:t xml:space="preserve">Source :</w:t>
      </w:r>
      <w:r>
        <w:t xml:space="preserve"> </w:t>
      </w:r>
      <w:r>
        <w:t xml:space="preserve">TAZI,</w:t>
      </w:r>
      <w:r>
        <w:t xml:space="preserve"> </w:t>
      </w:r>
      <w:r>
        <w:rPr>
          <w:iCs/>
          <w:i/>
        </w:rPr>
        <w:t xml:space="preserve">Histoire diplomatique du Maroc</w:t>
      </w:r>
      <w:r>
        <w:t xml:space="preserve">, T.7 ; Originaux :</w:t>
      </w:r>
      <w:r>
        <w:t xml:space="preserve"> </w:t>
      </w:r>
      <w:r>
        <w:rPr>
          <w:bCs/>
          <w:b/>
        </w:rPr>
        <w:t xml:space="preserve">Archives de Torre do Tombo (Lisbonne)</w:t>
      </w:r>
      <w:r>
        <w:t xml:space="preserve">. Représentation XV-XVIIe s. des présides espagnols et routes commerciales.</w:t>
      </w:r>
      <w:r>
        <w:t xml:space="preserve"> </w:t>
      </w:r>
      <w:r>
        <w:t xml:space="preserve">-</w:t>
      </w:r>
      <w:r>
        <w:t xml:space="preserve"> </w:t>
      </w:r>
      <w:r>
        <w:rPr>
          <w:iCs/>
          <w:i/>
        </w:rPr>
        <w:t xml:space="preserve">Carte de la Maurétanie Tingitane (reconstitution romaine)</w:t>
      </w:r>
      <w:r>
        <w:t xml:space="preserve"> </w:t>
      </w:r>
      <w:r>
        <w:t xml:space="preserve">—</w:t>
      </w:r>
      <w:r>
        <w:t xml:space="preserve"> </w:t>
      </w:r>
      <w:r>
        <w:rPr>
          <w:bCs/>
          <w:b/>
        </w:rPr>
        <w:t xml:space="preserve">Source :</w:t>
      </w:r>
      <w:r>
        <w:t xml:space="preserve"> </w:t>
      </w:r>
      <w:r>
        <w:rPr>
          <w:iCs/>
          <w:i/>
        </w:rPr>
        <w:t xml:space="preserve">Archives Marocaines</w:t>
      </w:r>
      <w:r>
        <w:t xml:space="preserve">, T.1 (Besnier). À superposer pour montrer la continuité territoriale.</w:t>
      </w:r>
      <w:r>
        <w:t xml:space="preserve"> </w:t>
      </w:r>
      <w:r>
        <w:t xml:space="preserve">-</w:t>
      </w:r>
      <w:r>
        <w:t xml:space="preserve"> </w:t>
      </w:r>
      <w:r>
        <w:rPr>
          <w:iCs/>
          <w:i/>
        </w:rPr>
        <w:t xml:space="preserve">Plan de la Baie de Tanger, XVIIe-XVIIIe siècles</w:t>
      </w:r>
      <w:r>
        <w:t xml:space="preserve"> </w:t>
      </w:r>
      <w:r>
        <w:t xml:space="preserve">—</w:t>
      </w:r>
      <w:r>
        <w:t xml:space="preserve"> </w:t>
      </w:r>
      <w:r>
        <w:rPr>
          <w:bCs/>
          <w:b/>
        </w:rPr>
        <w:t xml:space="preserve">Source :</w:t>
      </w:r>
      <w:r>
        <w:t xml:space="preserve"> </w:t>
      </w:r>
      <w:r>
        <w:t xml:space="preserve">BRIGNON,</w:t>
      </w:r>
      <w:r>
        <w:t xml:space="preserve"> </w:t>
      </w:r>
      <w:r>
        <w:rPr>
          <w:iCs/>
          <w:i/>
        </w:rPr>
        <w:t xml:space="preserve">Histoire du Maroc</w:t>
      </w:r>
      <w:r>
        <w:t xml:space="preserve"> </w:t>
      </w:r>
      <w:r>
        <w:t xml:space="preserve">; Manuscrit espagnol (ca. 1700). Localisation : Archives d’État (Valladolid).</w:t>
      </w:r>
    </w:p>
    <w:p>
      <w:pPr>
        <w:pStyle w:val="BlockText"/>
      </w:pPr>
      <w:r>
        <w:rPr>
          <w:bCs/>
          <w:b/>
        </w:rPr>
        <w:t xml:space="preserve">Fonds d’archives recommandés :</w:t>
      </w:r>
      <w:r>
        <w:t xml:space="preserve"> </w:t>
      </w:r>
      <w:r>
        <w:t xml:space="preserve">-</w:t>
      </w:r>
      <w:r>
        <w:t xml:space="preserve"> </w:t>
      </w:r>
      <w:r>
        <w:rPr>
          <w:bCs/>
          <w:b/>
        </w:rPr>
        <w:t xml:space="preserve">Torre do Tombo (Lisbonne) :</w:t>
      </w:r>
      <w:r>
        <w:t xml:space="preserve"> </w:t>
      </w:r>
      <w:r>
        <w:t xml:space="preserve">Cartes marines portugaises du Maroc, XVe-XVIIe s. [Consultable en ligne : torre.org.pt]</w:t>
      </w:r>
      <w:r>
        <w:t xml:space="preserve"> </w:t>
      </w:r>
      <w:r>
        <w:t xml:space="preserve">-</w:t>
      </w:r>
      <w:r>
        <w:t xml:space="preserve"> </w:t>
      </w:r>
      <w:r>
        <w:rPr>
          <w:bCs/>
          <w:b/>
        </w:rPr>
        <w:t xml:space="preserve">Direction des Archives Royales (Rabat) :</w:t>
      </w:r>
      <w:r>
        <w:t xml:space="preserve"> </w:t>
      </w:r>
      <w:r>
        <w:t xml:space="preserve">Dossiers topographie et urbanisme, XVIIIe s.</w:t>
      </w:r>
      <w:r>
        <w:t xml:space="preserve"> </w:t>
      </w:r>
      <w:r>
        <w:t xml:space="preserve">-</w:t>
      </w:r>
      <w:r>
        <w:t xml:space="preserve"> </w:t>
      </w:r>
      <w:r>
        <w:rPr>
          <w:bCs/>
          <w:b/>
        </w:rPr>
        <w:t xml:space="preserve">British Library (Londres) :</w:t>
      </w:r>
      <w:r>
        <w:t xml:space="preserve"> </w:t>
      </w:r>
      <w:r>
        <w:t xml:space="preserve">Cartes de Tanger sous contrôle britannique (BL Add MS 16377)</w:t>
      </w:r>
    </w:p>
    <w:p>
      <w:pPr>
        <w:pStyle w:val="BlockText"/>
      </w:pPr>
      <w:r>
        <w:rPr>
          <w:bCs/>
          <w:b/>
        </w:rPr>
        <w:t xml:space="preserve">Indices de localisation pour recherche :</w:t>
      </w:r>
      <w:r>
        <w:t xml:space="preserve"> </w:t>
      </w:r>
      <w:r>
        <w:t xml:space="preserve">Chercher « Carte Maroc Mouette 1683 » ou « Portolan Maroc XVIe » pour trouver ces ressources numérisées via Gallica (BnF) ou Archive.org.</w:t>
      </w:r>
    </w:p>
    <w:p>
      <w:r>
        <w:pict>
          <v:rect style="width:0;height:1.5pt" o:hralign="center" o:hrstd="t" o:hr="t"/>
        </w:pict>
      </w:r>
    </w:p>
    <w:bookmarkEnd w:id="25"/>
    <w:bookmarkEnd w:id="26"/>
    <w:bookmarkStart w:id="77" w:name="X58a3f7f4ea018d2e1900c1462da6745d4c67fbf"/>
    <w:p>
      <w:pPr>
        <w:pStyle w:val="Heading1"/>
      </w:pPr>
      <w:r>
        <w:t xml:space="preserve">PARTIE I : LE DISPOSITIF DIPLOMATIQUE CHÉRIFIEN – ARCHITECTURE ET PROJECTION (1666-1844)</w:t>
      </w:r>
    </w:p>
    <w:p>
      <w:pPr>
        <w:pStyle w:val="FirstParagraph"/>
      </w:pPr>
      <w:r>
        <w:t xml:space="preserve">La première phase de la diplomatie alaouite se caractérise par une</w:t>
      </w:r>
      <w:r>
        <w:t xml:space="preserve"> </w:t>
      </w:r>
      <w:r>
        <w:rPr>
          <w:bCs/>
          <w:b/>
        </w:rPr>
        <w:t xml:space="preserve">double dynamique</w:t>
      </w:r>
      <w:r>
        <w:t xml:space="preserve"> </w:t>
      </w:r>
      <w:r>
        <w:t xml:space="preserve">: d’une part, la construction d’un appareil étatique capable de monopoliser les relations extérieures ; d’autre part, la projection de cette puissance sur la scène internationale, d’abord par la force (course corsaire, récupération des présides), puis par le droit (traités commerciaux).</w:t>
      </w:r>
    </w:p>
    <w:p>
      <w:r>
        <w:pict>
          <v:rect style="width:0;height:1.5pt" o:hralign="center" o:hrstd="t" o:hr="t"/>
        </w:pict>
      </w:r>
    </w:p>
    <w:bookmarkStart w:id="47" w:name="X7f47c7bbc8283b8f74b8d85b47b5080367e1e2e"/>
    <w:p>
      <w:pPr>
        <w:pStyle w:val="Heading2"/>
      </w:pPr>
      <w:r>
        <w:t xml:space="preserve">A. Les Fondements Théologico-Politiques de la Souveraineté</w:t>
      </w:r>
    </w:p>
    <w:bookmarkStart w:id="35" w:name="X2b5a96edd08428efcbc8d2fed3664282b312c56"/>
    <w:p>
      <w:pPr>
        <w:pStyle w:val="Heading3"/>
      </w:pPr>
      <w:r>
        <w:t xml:space="preserve">1. La légitimité prophétique et le rejet de la suzeraineté ottomane</w:t>
      </w:r>
    </w:p>
    <w:p>
      <w:pPr>
        <w:pStyle w:val="FirstParagraph"/>
      </w:pPr>
      <w:r>
        <w:t xml:space="preserve">La singularité de l’État marocain dans le monde musulman du XVIIe siècle réside dans son</w:t>
      </w:r>
      <w:r>
        <w:t xml:space="preserve"> </w:t>
      </w:r>
      <w:r>
        <w:rPr>
          <w:bCs/>
          <w:b/>
        </w:rPr>
        <w:t xml:space="preserve">refus absolu de la suzeraineté ottomane</w:t>
      </w:r>
      <w:r>
        <w:t xml:space="preserve">. Contrairement aux Régences d’Alger, de Tunis et de Tripoli, qui reconnaissent la prééminence du Calife de Constantinople, le Maroc revendique une légitimité</w:t>
      </w:r>
      <w:r>
        <w:t xml:space="preserve"> </w:t>
      </w:r>
      <w:r>
        <w:rPr>
          <w:bCs/>
          <w:b/>
        </w:rPr>
        <w:t xml:space="preserve">concurrente</w:t>
      </w:r>
      <w:r>
        <w:t xml:space="preserve">, fondée sur l’ascendance prophétique de ses souverains.</w:t>
      </w:r>
    </w:p>
    <w:bookmarkStart w:id="28" w:name="largument-généalogique-nasab"/>
    <w:p>
      <w:pPr>
        <w:pStyle w:val="Heading4"/>
      </w:pPr>
      <w:r>
        <w:t xml:space="preserve">L’argument généalogique (</w:t>
      </w:r>
      <w:r>
        <w:rPr>
          <w:iCs/>
          <w:i/>
        </w:rPr>
        <w:t xml:space="preserve">Nasab</w:t>
      </w:r>
      <w:r>
        <w:t xml:space="preserve">)</w:t>
      </w:r>
    </w:p>
    <w:p>
      <w:pPr>
        <w:pStyle w:val="FirstParagraph"/>
      </w:pPr>
      <w:r>
        <w:t xml:space="preserve">Les Alaouites, descendants de Hassan (fils d’Ali et Fatima, fille du Prophète), contestent frontalement la légitimité des Ottomans. Un échange diplomatique entre Moulay Mhammed ben Echchérif et les ambassadeurs turcs d’Alger (vers 1654) cristallise cette rivalité. Les Turcs reprochent au prince alaouite de se rebeller, alors même qu’il est de noble lignée prophétique :</w:t>
      </w:r>
    </w:p>
    <w:p>
      <w:pPr>
        <w:pStyle w:val="BlockText"/>
      </w:pPr>
      <w:r>
        <w:t xml:space="preserve">«</w:t>
      </w:r>
      <w:r>
        <w:t xml:space="preserve"> </w:t>
      </w:r>
      <w:r>
        <w:rPr>
          <w:iCs/>
          <w:i/>
        </w:rPr>
        <w:t xml:space="preserve">Agiter le brandon de la révolte au milieu des créatures n’est pas le fait des nobles membres de la Famille du Prophète… Que répondras-tu devant Dieu quand tu seras interrogé sur ta conduite ?</w:t>
      </w:r>
      <w:r>
        <w:t xml:space="preserve"> </w:t>
      </w:r>
      <w:r>
        <w:t xml:space="preserve">»</w:t>
      </w:r>
      <w:r>
        <w:rPr>
          <w:rStyle w:val="FootnoteReference"/>
        </w:rPr>
        <w:footnoteReference w:id="27"/>
      </w:r>
    </w:p>
    <w:p>
      <w:pPr>
        <w:pStyle w:val="FirstParagraph"/>
      </w:pPr>
      <w:r>
        <w:t xml:space="preserve">Moulay Mhammed retourne l’argument contre ses interlocuteurs : en tant que descendant du Prophète, il possède une légitimité supérieure à celle des Ottomans, d’origine turque. L’argument est théologique : seuls les Qurayshites (la tribu du Prophète) peuvent prétendre au Califat selon la doctrine sunnite majoritaire.</w:t>
      </w:r>
    </w:p>
    <w:p>
      <w:r>
        <w:pict>
          <v:rect style="width:0;height:1.5pt" o:hralign="center" o:hrstd="t" o:hr="t"/>
        </w:pict>
      </w:r>
    </w:p>
    <w:p>
      <w:pPr>
        <w:pStyle w:val="FirstParagraph"/>
      </w:pPr>
      <w:r>
        <w:t xml:space="preserve">[FIGURE_7_PORTRAITS_FONDATEURS_ALAOUITES]</w:t>
      </w:r>
    </w:p>
    <w:p>
      <w:pPr>
        <w:pStyle w:val="BlockText"/>
      </w:pPr>
      <w:r>
        <w:rPr>
          <w:bCs/>
          <w:b/>
        </w:rPr>
        <w:t xml:space="preserve">Figure 7 :</w:t>
      </w:r>
      <w:r>
        <w:t xml:space="preserve"> </w:t>
      </w:r>
      <w:r>
        <w:t xml:space="preserve">Portraits des fondateurs de la dynastie Alaouite (1666-1727)</w:t>
      </w:r>
    </w:p>
    <w:p>
      <w:pPr>
        <w:pStyle w:val="BlockText"/>
      </w:pPr>
      <w:r>
        <w:rPr>
          <w:bCs/>
          <w:b/>
        </w:rPr>
        <w:t xml:space="preserve">Portraits et iconographie disponibles :</w:t>
      </w:r>
      <w:r>
        <w:t xml:space="preserve"> </w:t>
      </w:r>
      <w:r>
        <w:t xml:space="preserve">-</w:t>
      </w:r>
      <w:r>
        <w:t xml:space="preserve"> </w:t>
      </w:r>
      <w:r>
        <w:rPr>
          <w:iCs/>
          <w:i/>
        </w:rPr>
        <w:t xml:space="preserve">Portrait de Moulay Mhammed ben Echchérif (ca. 1631-1662)</w:t>
      </w:r>
      <w:r>
        <w:t xml:space="preserve"> </w:t>
      </w:r>
      <w:r>
        <w:t xml:space="preserve">— Fondateur de la dynastie —</w:t>
      </w:r>
      <w:r>
        <w:t xml:space="preserve"> </w:t>
      </w:r>
      <w:r>
        <w:rPr>
          <w:bCs/>
          <w:b/>
        </w:rPr>
        <w:t xml:space="preserve">Source :</w:t>
      </w:r>
      <w:r>
        <w:t xml:space="preserve"> </w:t>
      </w:r>
      <w:r>
        <w:t xml:space="preserve">TAZI, T.9. Gravures du XVIIe s. (reconstitutions modernes).</w:t>
      </w:r>
      <w:r>
        <w:t xml:space="preserve"> </w:t>
      </w:r>
      <w:r>
        <w:t xml:space="preserve">-</w:t>
      </w:r>
      <w:r>
        <w:t xml:space="preserve"> </w:t>
      </w:r>
      <w:r>
        <w:rPr>
          <w:iCs/>
          <w:i/>
        </w:rPr>
        <w:t xml:space="preserve">Portrait de Moulay Ismaïl (1672-1727)</w:t>
      </w:r>
      <w:r>
        <w:t xml:space="preserve"> </w:t>
      </w:r>
      <w:r>
        <w:t xml:space="preserve">— Gravure par Mouette (1683) —</w:t>
      </w:r>
      <w:r>
        <w:t xml:space="preserve"> </w:t>
      </w:r>
      <w:r>
        <w:rPr>
          <w:bCs/>
          <w:b/>
        </w:rPr>
        <w:t xml:space="preserve">Source :</w:t>
      </w:r>
      <w:r>
        <w:t xml:space="preserve"> </w:t>
      </w:r>
      <w:r>
        <w:t xml:space="preserve">BRIGNON,</w:t>
      </w:r>
      <w:r>
        <w:t xml:space="preserve"> </w:t>
      </w:r>
      <w:r>
        <w:rPr>
          <w:iCs/>
          <w:i/>
        </w:rPr>
        <w:t xml:space="preserve">Histoire du Maroc</w:t>
      </w:r>
      <w:r>
        <w:t xml:space="preserve">, et TAZI, T.9. Vêtements royaux, insignes du pouvoir.</w:t>
      </w:r>
      <w:r>
        <w:t xml:space="preserve"> </w:t>
      </w:r>
      <w:r>
        <w:t xml:space="preserve">-</w:t>
      </w:r>
      <w:r>
        <w:t xml:space="preserve"> </w:t>
      </w:r>
      <w:r>
        <w:rPr>
          <w:iCs/>
          <w:i/>
        </w:rPr>
        <w:t xml:space="preserve">Portrait imaginé de Moulay Ismaïl par peintres européens</w:t>
      </w:r>
      <w:r>
        <w:t xml:space="preserve"> </w:t>
      </w:r>
      <w:r>
        <w:t xml:space="preserve">— Série de représentations XIXe s. —</w:t>
      </w:r>
      <w:r>
        <w:t xml:space="preserve"> </w:t>
      </w:r>
      <w:r>
        <w:rPr>
          <w:bCs/>
          <w:b/>
        </w:rPr>
        <w:t xml:space="preserve">Source :</w:t>
      </w:r>
      <w:r>
        <w:t xml:space="preserve"> </w:t>
      </w:r>
      <w:r>
        <w:t xml:space="preserve">TAZI, T.9 ; conservées dans collections privées et musées.</w:t>
      </w:r>
      <w:r>
        <w:t xml:space="preserve"> </w:t>
      </w:r>
      <w:r>
        <w:t xml:space="preserve">-</w:t>
      </w:r>
      <w:r>
        <w:t xml:space="preserve"> </w:t>
      </w:r>
      <w:r>
        <w:rPr>
          <w:iCs/>
          <w:i/>
        </w:rPr>
        <w:t xml:space="preserve">Armes et armures d’époque</w:t>
      </w:r>
      <w:r>
        <w:t xml:space="preserve"> </w:t>
      </w:r>
      <w:r>
        <w:t xml:space="preserve">— Sabres, boucliers, étendards —</w:t>
      </w:r>
      <w:r>
        <w:t xml:space="preserve"> </w:t>
      </w:r>
      <w:r>
        <w:rPr>
          <w:bCs/>
          <w:b/>
        </w:rPr>
        <w:t xml:space="preserve">Source :</w:t>
      </w:r>
      <w:r>
        <w:t xml:space="preserve"> </w:t>
      </w:r>
      <w:r>
        <w:t xml:space="preserve">Musée du Palais Royal (Fès ou Marrakech) ; reproductions dans BRIGNON.</w:t>
      </w:r>
    </w:p>
    <w:p>
      <w:pPr>
        <w:pStyle w:val="BlockText"/>
      </w:pPr>
      <w:r>
        <w:rPr>
          <w:bCs/>
          <w:b/>
        </w:rPr>
        <w:t xml:space="preserve">Fonds archivistiques :</w:t>
      </w:r>
      <w:r>
        <w:t xml:space="preserve"> </w:t>
      </w:r>
      <w:r>
        <w:t xml:space="preserve">-</w:t>
      </w:r>
      <w:r>
        <w:t xml:space="preserve"> </w:t>
      </w:r>
      <w:r>
        <w:rPr>
          <w:bCs/>
          <w:b/>
        </w:rPr>
        <w:t xml:space="preserve">BnF (Paris), Département des Estampes :</w:t>
      </w:r>
      <w:r>
        <w:t xml:space="preserve"> </w:t>
      </w:r>
      <w:r>
        <w:t xml:space="preserve">Gravures des sultans Alaouites (Fonds Thoisy)</w:t>
      </w:r>
      <w:r>
        <w:t xml:space="preserve"> </w:t>
      </w:r>
      <w:r>
        <w:t xml:space="preserve">-</w:t>
      </w:r>
      <w:r>
        <w:t xml:space="preserve"> </w:t>
      </w:r>
      <w:r>
        <w:rPr>
          <w:bCs/>
          <w:b/>
        </w:rPr>
        <w:t xml:space="preserve">Gallica (bnf.fr) :</w:t>
      </w:r>
      <w:r>
        <w:t xml:space="preserve"> </w:t>
      </w:r>
      <w:r>
        <w:t xml:space="preserve">Rechercher « Moulay Ismaïl gravure » ou « Mouette Maroc »</w:t>
      </w:r>
      <w:r>
        <w:t xml:space="preserve"> </w:t>
      </w:r>
      <w:r>
        <w:t xml:space="preserve">-</w:t>
      </w:r>
      <w:r>
        <w:t xml:space="preserve"> </w:t>
      </w:r>
      <w:r>
        <w:rPr>
          <w:bCs/>
          <w:b/>
        </w:rPr>
        <w:t xml:space="preserve">Musées du Maroc :</w:t>
      </w:r>
      <w:r>
        <w:t xml:space="preserve"> </w:t>
      </w:r>
      <w:r>
        <w:t xml:space="preserve">Musée du Palais Royal (Rabat, Fès, Marrakech)</w:t>
      </w:r>
    </w:p>
    <w:p>
      <w:r>
        <w:pict>
          <v:rect style="width:0;height:1.5pt" o:hralign="center" o:hrstd="t" o:hr="t"/>
        </w:pict>
      </w:r>
    </w:p>
    <w:bookmarkEnd w:id="28"/>
    <w:bookmarkStart w:id="30" w:name="la-fixation-de-la-frontière-orientale"/>
    <w:p>
      <w:pPr>
        <w:pStyle w:val="Heading4"/>
      </w:pPr>
      <w:r>
        <w:t xml:space="preserve">La fixation de la frontière orientale</w:t>
      </w:r>
    </w:p>
    <w:p>
      <w:pPr>
        <w:pStyle w:val="FirstParagraph"/>
      </w:pPr>
      <w:r>
        <w:t xml:space="preserve">Cette rivalité se traduit militairement. Moulay Ismaïl (r. 1672-1727) mène plusieurs expéditions contre les Turcs d’Alger et fixe la frontière à l’</w:t>
      </w:r>
      <w:r>
        <w:rPr>
          <w:bCs/>
          <w:b/>
        </w:rPr>
        <w:t xml:space="preserve">Oued Tafna</w:t>
      </w:r>
      <w:r>
        <w:t xml:space="preserve"> </w:t>
      </w:r>
      <w:r>
        <w:t xml:space="preserve">vers 1678.</w:t>
      </w:r>
      <w:r>
        <w:rPr>
          <w:rStyle w:val="FootnoteReference"/>
        </w:rPr>
        <w:footnoteReference w:id="29"/>
      </w:r>
      <w:r>
        <w:t xml:space="preserve"> </w:t>
      </w:r>
      <w:r>
        <w:t xml:space="preserve">Cette démarcation territoriale est un acte fondateur : elle matérialise l’indépendance du Maroc vis-à-vis de l’espace ottoman et consolide sa personnalité juridique distincte.</w:t>
      </w:r>
    </w:p>
    <w:p>
      <w:r>
        <w:pict>
          <v:rect style="width:0;height:1.5pt" o:hralign="center" o:hrstd="t" o:hr="t"/>
        </w:pict>
      </w:r>
    </w:p>
    <w:p>
      <w:pPr>
        <w:pStyle w:val="FirstParagraph"/>
      </w:pPr>
      <w:r>
        <w:t xml:space="preserve">[FIGURE_8_CARTE_FRONTIERE_OUED_TAFNA]</w:t>
      </w:r>
    </w:p>
    <w:p>
      <w:pPr>
        <w:pStyle w:val="BlockText"/>
      </w:pPr>
      <w:r>
        <w:rPr>
          <w:bCs/>
          <w:b/>
        </w:rPr>
        <w:t xml:space="preserve">Figure 8 :</w:t>
      </w:r>
      <w:r>
        <w:t xml:space="preserve"> </w:t>
      </w:r>
      <w:r>
        <w:t xml:space="preserve">Fixation de la frontière orientale (Oued Tafna 1678) et expansion du territoire alaouite</w:t>
      </w:r>
    </w:p>
    <w:p>
      <w:pPr>
        <w:pStyle w:val="BlockText"/>
      </w:pPr>
      <w:r>
        <w:rPr>
          <w:bCs/>
          <w:b/>
        </w:rPr>
        <w:t xml:space="preserve">Cartes historiques et documents de délimitation :</w:t>
      </w:r>
      <w:r>
        <w:t xml:space="preserve"> </w:t>
      </w:r>
      <w:r>
        <w:t xml:space="preserve">-</w:t>
      </w:r>
      <w:r>
        <w:t xml:space="preserve"> </w:t>
      </w:r>
      <w:r>
        <w:rPr>
          <w:iCs/>
          <w:i/>
        </w:rPr>
        <w:t xml:space="preserve">Carte de la frontière Maroc-Algérie, XVIIe-XVIIIe siècles</w:t>
      </w:r>
      <w:r>
        <w:t xml:space="preserve"> </w:t>
      </w:r>
      <w:r>
        <w:t xml:space="preserve">— Reconstitution —</w:t>
      </w:r>
      <w:r>
        <w:t xml:space="preserve"> </w:t>
      </w:r>
      <w:r>
        <w:rPr>
          <w:bCs/>
          <w:b/>
        </w:rPr>
        <w:t xml:space="preserve">Source :</w:t>
      </w:r>
      <w:r>
        <w:t xml:space="preserve"> </w:t>
      </w:r>
      <w:r>
        <w:t xml:space="preserve">TAZI,</w:t>
      </w:r>
      <w:r>
        <w:t xml:space="preserve"> </w:t>
      </w:r>
      <w:r>
        <w:rPr>
          <w:iCs/>
          <w:i/>
        </w:rPr>
        <w:t xml:space="preserve">Histoire diplomatique</w:t>
      </w:r>
      <w:r>
        <w:t xml:space="preserve">, T.7. Montre l’Oued Tafna comme démarcation entre Maroc et espace ottoman.</w:t>
      </w:r>
      <w:r>
        <w:t xml:space="preserve"> </w:t>
      </w:r>
      <w:r>
        <w:t xml:space="preserve">-</w:t>
      </w:r>
      <w:r>
        <w:t xml:space="preserve"> </w:t>
      </w:r>
      <w:r>
        <w:rPr>
          <w:iCs/>
          <w:i/>
        </w:rPr>
        <w:t xml:space="preserve">Carte des zones d’influence tribales (Zaïan, Zemmour, Rif)</w:t>
      </w:r>
      <w:r>
        <w:t xml:space="preserve"> </w:t>
      </w:r>
      <w:r>
        <w:t xml:space="preserve">— Évolution XVIIe-XIXe s. —</w:t>
      </w:r>
      <w:r>
        <w:t xml:space="preserve"> </w:t>
      </w:r>
      <w:r>
        <w:rPr>
          <w:bCs/>
          <w:b/>
        </w:rPr>
        <w:t xml:space="preserve">Source :</w:t>
      </w:r>
      <w:r>
        <w:t xml:space="preserve"> </w:t>
      </w:r>
      <w:r>
        <w:t xml:space="preserve">BRIGNON,</w:t>
      </w:r>
      <w:r>
        <w:t xml:space="preserve"> </w:t>
      </w:r>
      <w:r>
        <w:rPr>
          <w:iCs/>
          <w:i/>
        </w:rPr>
        <w:t xml:space="preserve">Histoire du Maroc</w:t>
      </w:r>
      <w:r>
        <w:t xml:space="preserve">. Montre l’intégration progressive au Makhzen.</w:t>
      </w:r>
      <w:r>
        <w:t xml:space="preserve"> </w:t>
      </w:r>
      <w:r>
        <w:t xml:space="preserve">-</w:t>
      </w:r>
      <w:r>
        <w:t xml:space="preserve"> </w:t>
      </w:r>
      <w:r>
        <w:rPr>
          <w:iCs/>
          <w:i/>
        </w:rPr>
        <w:t xml:space="preserve">Carte comparée : Maroc 1660 vs Maroc 1700</w:t>
      </w:r>
      <w:r>
        <w:t xml:space="preserve"> </w:t>
      </w:r>
      <w:r>
        <w:t xml:space="preserve">— Avant/après Moulay Ismaïl —</w:t>
      </w:r>
      <w:r>
        <w:t xml:space="preserve"> </w:t>
      </w:r>
      <w:r>
        <w:rPr>
          <w:bCs/>
          <w:b/>
        </w:rPr>
        <w:t xml:space="preserve">Source :</w:t>
      </w:r>
      <w:r>
        <w:t xml:space="preserve"> </w:t>
      </w:r>
      <w:r>
        <w:rPr>
          <w:iCs/>
          <w:i/>
        </w:rPr>
        <w:t xml:space="preserve">Archives Marocaines</w:t>
      </w:r>
      <w:r>
        <w:t xml:space="preserve">, Vol. 1.</w:t>
      </w:r>
      <w:r>
        <w:t xml:space="preserve"> </w:t>
      </w:r>
      <w:r>
        <w:t xml:space="preserve">-</w:t>
      </w:r>
      <w:r>
        <w:t xml:space="preserve"> </w:t>
      </w:r>
      <w:r>
        <w:rPr>
          <w:iCs/>
          <w:i/>
        </w:rPr>
        <w:t xml:space="preserve">Plans militaires des expéditions contre Alger (1670-1678)</w:t>
      </w:r>
      <w:r>
        <w:t xml:space="preserve"> </w:t>
      </w:r>
      <w:r>
        <w:t xml:space="preserve">— Itinéraires des troupes —</w:t>
      </w:r>
      <w:r>
        <w:t xml:space="preserve"> </w:t>
      </w:r>
      <w:r>
        <w:rPr>
          <w:bCs/>
          <w:b/>
        </w:rPr>
        <w:t xml:space="preserve">Source :</w:t>
      </w:r>
      <w:r>
        <w:t xml:space="preserve"> </w:t>
      </w:r>
      <w:r>
        <w:t xml:space="preserve">TAZI, T.7 ; Originals: Torre do Tombo (Lisbonne) ou Archives du Maroc.</w:t>
      </w:r>
      <w:r>
        <w:t xml:space="preserve"> </w:t>
      </w:r>
      <w:r>
        <w:t xml:space="preserve">-</w:t>
      </w:r>
      <w:r>
        <w:t xml:space="preserve"> </w:t>
      </w:r>
      <w:r>
        <w:rPr>
          <w:iCs/>
          <w:i/>
        </w:rPr>
        <w:t xml:space="preserve">Copie du traité de délimitation avec la Régence d’Alger (1678)</w:t>
      </w:r>
      <w:r>
        <w:t xml:space="preserve"> </w:t>
      </w:r>
      <w:r>
        <w:t xml:space="preserve">— Fac-similé —</w:t>
      </w:r>
      <w:r>
        <w:t xml:space="preserve"> </w:t>
      </w:r>
      <w:r>
        <w:rPr>
          <w:bCs/>
          <w:b/>
        </w:rPr>
        <w:t xml:space="preserve">Source :</w:t>
      </w:r>
      <w:r>
        <w:t xml:space="preserve"> </w:t>
      </w:r>
      <w:r>
        <w:t xml:space="preserve">TAZI, T.7 Annexes.</w:t>
      </w:r>
    </w:p>
    <w:p>
      <w:pPr>
        <w:pStyle w:val="BlockText"/>
      </w:pPr>
      <w:r>
        <w:rPr>
          <w:bCs/>
          <w:b/>
        </w:rPr>
        <w:t xml:space="preserve">Fonds d’archives :</w:t>
      </w:r>
      <w:r>
        <w:t xml:space="preserve"> </w:t>
      </w:r>
      <w:r>
        <w:t xml:space="preserve">-</w:t>
      </w:r>
      <w:r>
        <w:t xml:space="preserve"> </w:t>
      </w:r>
      <w:r>
        <w:rPr>
          <w:bCs/>
          <w:b/>
        </w:rPr>
        <w:t xml:space="preserve">Direction des Archives Royales (Rabat) :</w:t>
      </w:r>
      <w:r>
        <w:t xml:space="preserve"> </w:t>
      </w:r>
      <w:r>
        <w:t xml:space="preserve">Dossiers frontières, XVIIe-XIXe s.</w:t>
      </w:r>
      <w:r>
        <w:t xml:space="preserve"> </w:t>
      </w:r>
      <w:r>
        <w:t xml:space="preserve">-</w:t>
      </w:r>
      <w:r>
        <w:t xml:space="preserve"> </w:t>
      </w:r>
      <w:r>
        <w:rPr>
          <w:bCs/>
          <w:b/>
        </w:rPr>
        <w:t xml:space="preserve">Torre do Tombo (Lisbonne) :</w:t>
      </w:r>
      <w:r>
        <w:t xml:space="preserve"> </w:t>
      </w:r>
      <w:r>
        <w:t xml:space="preserve">Cartes portugaises des confins algéro-marocains</w:t>
      </w:r>
      <w:r>
        <w:t xml:space="preserve"> </w:t>
      </w:r>
      <w:r>
        <w:t xml:space="preserve">-</w:t>
      </w:r>
      <w:r>
        <w:t xml:space="preserve"> </w:t>
      </w:r>
      <w:r>
        <w:rPr>
          <w:bCs/>
          <w:b/>
        </w:rPr>
        <w:t xml:space="preserve">Archives du MAE (Paris) :</w:t>
      </w:r>
      <w:r>
        <w:t xml:space="preserve"> </w:t>
      </w:r>
      <w:r>
        <w:t xml:space="preserve">Correspondances sur la délimitation (XIXe s.)</w:t>
      </w:r>
      <w:r>
        <w:t xml:space="preserve"> </w:t>
      </w:r>
      <w:r>
        <w:t xml:space="preserve">-</w:t>
      </w:r>
      <w:r>
        <w:t xml:space="preserve"> </w:t>
      </w:r>
      <w:r>
        <w:rPr>
          <w:bCs/>
          <w:b/>
        </w:rPr>
        <w:t xml:space="preserve">TAZI, T.7 Annexes :</w:t>
      </w:r>
      <w:r>
        <w:t xml:space="preserve"> </w:t>
      </w:r>
      <w:r>
        <w:t xml:space="preserve">Reproductions cartographiques</w:t>
      </w:r>
    </w:p>
    <w:p>
      <w:r>
        <w:pict>
          <v:rect style="width:0;height:1.5pt" o:hralign="center" o:hrstd="t" o:hr="t"/>
        </w:pict>
      </w:r>
    </w:p>
    <w:bookmarkEnd w:id="30"/>
    <w:bookmarkStart w:id="32" w:name="conséquence-diplomatique"/>
    <w:p>
      <w:pPr>
        <w:pStyle w:val="Heading4"/>
      </w:pPr>
      <w:r>
        <w:t xml:space="preserve">Conséquence diplomatique</w:t>
      </w:r>
    </w:p>
    <w:p>
      <w:pPr>
        <w:pStyle w:val="FirstParagraph"/>
      </w:pPr>
      <w:r>
        <w:t xml:space="preserve">Le rejet de la suzeraineté ottomane fonde la</w:t>
      </w:r>
      <w:r>
        <w:t xml:space="preserve"> </w:t>
      </w:r>
      <w:r>
        <w:rPr>
          <w:bCs/>
          <w:b/>
        </w:rPr>
        <w:t xml:space="preserve">prétention à l’égalité souveraine</w:t>
      </w:r>
      <w:r>
        <w:t xml:space="preserve"> </w:t>
      </w:r>
      <w:r>
        <w:t xml:space="preserve">avec les grandes puissances. Moulay Ismaïl exige d’être traité en « Pair » (</w:t>
      </w:r>
      <w:r>
        <w:rPr>
          <w:iCs/>
          <w:i/>
        </w:rPr>
        <w:t xml:space="preserve">Nid</w:t>
      </w:r>
      <w:r>
        <w:t xml:space="preserve">) avec le Grand Turc et les monarques européens, refusant tout protocole condescendant.</w:t>
      </w:r>
      <w:r>
        <w:rPr>
          <w:rStyle w:val="FootnoteReference"/>
        </w:rPr>
        <w:footnoteReference w:id="31"/>
      </w:r>
      <w:r>
        <w:t xml:space="preserve"> </w:t>
      </w:r>
      <w:r>
        <w:t xml:space="preserve">Cette exigence de parité statutaire structure l’ensemble des négociations diplomatiques du XVIIe-XVIIIe siècle.</w:t>
      </w:r>
    </w:p>
    <w:bookmarkEnd w:id="32"/>
    <w:bookmarkStart w:id="34" w:name="Xa209742dfb992b5d2da71cadf61e3a8742745ca"/>
    <w:p>
      <w:pPr>
        <w:pStyle w:val="Heading4"/>
      </w:pPr>
      <w:r>
        <w:t xml:space="preserve">Contraste stratégique : le modèle califal ottoman vs le modèle chérifien</w:t>
      </w:r>
    </w:p>
    <w:p>
      <w:pPr>
        <w:pStyle w:val="FirstParagraph"/>
      </w:pPr>
      <w:r>
        <w:t xml:space="preserve">Ce positionnement marocain se distingue radicalement de la stratégie ottomane analysée par Paul Dumont.</w:t>
      </w:r>
      <w:r>
        <w:rPr>
          <w:rStyle w:val="FootnoteReference"/>
        </w:rPr>
        <w:footnoteReference w:id="33"/>
      </w:r>
      <w:r>
        <w:t xml:space="preserve"> </w:t>
      </w:r>
      <w:r>
        <w:t xml:space="preserve">Après le traité de Küçük Kaynarca (1774) et les pertes territoriales successives (Crimée, Balkans), les Ottomans développent une</w:t>
      </w:r>
      <w:r>
        <w:t xml:space="preserve"> </w:t>
      </w:r>
      <w:r>
        <w:rPr>
          <w:bCs/>
          <w:b/>
        </w:rPr>
        <w:t xml:space="preserve">instrumentalisation du titre califal</w:t>
      </w:r>
      <w:r>
        <w:t xml:space="preserve"> </w:t>
      </w:r>
      <w:r>
        <w:t xml:space="preserve">: le Sultan-Calife conserve une juridiction spirituelle sur les populations musulmanes des territoires perdus, maintenant la</w:t>
      </w:r>
      <w:r>
        <w:t xml:space="preserve"> </w:t>
      </w:r>
      <w:r>
        <w:rPr>
          <w:iCs/>
          <w:i/>
        </w:rPr>
        <w:t xml:space="preserve">khutba</w:t>
      </w:r>
      <w:r>
        <w:t xml:space="preserve"> </w:t>
      </w:r>
      <w:r>
        <w:t xml:space="preserve">(prône du vendredi) en son nom même sous domination étrangère. Cette stratégie de</w:t>
      </w:r>
      <w:r>
        <w:t xml:space="preserve"> </w:t>
      </w:r>
      <w:r>
        <w:rPr>
          <w:bCs/>
          <w:b/>
        </w:rPr>
        <w:t xml:space="preserve">dissociation entre souveraineté territoriale et autorité religieuse</w:t>
      </w:r>
      <w:r>
        <w:t xml:space="preserve"> </w:t>
      </w:r>
      <w:r>
        <w:t xml:space="preserve">permet à la Porte de « gérer le recul » tout en préservant une influence transnationale.</w:t>
      </w:r>
    </w:p>
    <w:p>
      <w:pPr>
        <w:pStyle w:val="BodyText"/>
      </w:pPr>
      <w:r>
        <w:t xml:space="preserve">Les Alaouites refusent catégoriquement cette dissociation. La légitimité du Sultan marocain est simultanément</w:t>
      </w:r>
      <w:r>
        <w:t xml:space="preserve"> </w:t>
      </w:r>
      <w:r>
        <w:rPr>
          <w:bCs/>
          <w:b/>
        </w:rPr>
        <w:t xml:space="preserve">chérifienne</w:t>
      </w:r>
      <w:r>
        <w:t xml:space="preserve"> </w:t>
      </w:r>
      <w:r>
        <w:t xml:space="preserve">(fondée sur le sang) et</w:t>
      </w:r>
      <w:r>
        <w:t xml:space="preserve"> </w:t>
      </w:r>
      <w:r>
        <w:rPr>
          <w:bCs/>
          <w:b/>
        </w:rPr>
        <w:t xml:space="preserve">contractuelle</w:t>
      </w:r>
      <w:r>
        <w:t xml:space="preserve"> </w:t>
      </w:r>
      <w:r>
        <w:t xml:space="preserve">(fondée sur la</w:t>
      </w:r>
      <w:r>
        <w:t xml:space="preserve"> </w:t>
      </w:r>
      <w:r>
        <w:rPr>
          <w:iCs/>
          <w:i/>
        </w:rPr>
        <w:t xml:space="preserve">Bay’a</w:t>
      </w:r>
      <w:r>
        <w:t xml:space="preserve">). Ce double ancrage rend impossible l’acceptation d’une autorité spirituelle sur des terres passées sous contrôle chrétien sans résistance armée. Comme le rapportent les Archives Marocaines, lorsque les notables de Tlemcen interrogent le Sultan Moulay Abderrahman après la chute d’Alger (1830), la réponse juridique est sans ambiguïté : « si l’Imam ne peut faire exécuter ses ordres, il doit être remplacé » – c’est-à-dire que la souveraineté spirituelle sans pouvoir effectif est nulle.</w:t>
      </w:r>
    </w:p>
    <w:p>
      <w:pPr>
        <w:pStyle w:val="BlockText"/>
      </w:pPr>
      <w:r>
        <w:rPr>
          <w:bCs/>
          <w:b/>
        </w:rPr>
        <w:t xml:space="preserve">Synthèse comparative :</w:t>
      </w:r>
      <w:r>
        <w:t xml:space="preserve"> </w:t>
      </w:r>
      <w:r>
        <w:t xml:space="preserve">Là où les Ottomans utilisaient le Califat pour maintenir un lien virtuel et transfrontalier après les défaites, le Maroc maintenait une conception</w:t>
      </w:r>
      <w:r>
        <w:t xml:space="preserve"> </w:t>
      </w:r>
      <w:r>
        <w:rPr>
          <w:bCs/>
          <w:b/>
        </w:rPr>
        <w:t xml:space="preserve">concrète et territoriale de l’Imamat</w:t>
      </w:r>
      <w:r>
        <w:t xml:space="preserve"> </w:t>
      </w:r>
      <w:r>
        <w:t xml:space="preserve">: sans défense effective de la terre d’Islam, la légitimité spirituelle s’effondre. Cette intransigeance a protégé l’identité nationale mais a condamné l’État à l’asphyxie face à des puissances pragmatiques capables de compromis.</w:t>
      </w:r>
    </w:p>
    <w:p>
      <w:r>
        <w:pict>
          <v:rect style="width:0;height:1.5pt" o:hralign="center" o:hrstd="t" o:hr="t"/>
        </w:pict>
      </w:r>
    </w:p>
    <w:bookmarkEnd w:id="34"/>
    <w:bookmarkEnd w:id="35"/>
    <w:bookmarkStart w:id="41" w:name="Xd8c078ec77517c65764e3ed660bb317dbfbb8d5"/>
    <w:p>
      <w:pPr>
        <w:pStyle w:val="Heading3"/>
      </w:pPr>
      <w:r>
        <w:t xml:space="preserve">2. Le modèle chérifien vs le modèle westphalien : souveraineté personnelle vs territoriale</w:t>
      </w:r>
    </w:p>
    <w:bookmarkStart w:id="36" w:name="deux-conceptions-de-la-souveraineté"/>
    <w:p>
      <w:pPr>
        <w:pStyle w:val="Heading4"/>
      </w:pPr>
      <w:r>
        <w:t xml:space="preserve">Deux conceptions de la souveraineté</w:t>
      </w:r>
    </w:p>
    <w:tbl>
      <w:tblPr>
        <w:tblStyle w:val="Table"/>
        <w:tblW w:type="pct" w:w="5000"/>
        <w:tblLook w:firstRow="1" w:lastRow="0" w:firstColumn="0" w:lastColumn="0" w:noHBand="0" w:noVBand="0" w:val="0020"/>
        <w:jc w:val="start"/>
      </w:tblPr>
      <w:tblGrid>
        <w:gridCol w:w="1418"/>
        <w:gridCol w:w="3073"/>
        <w:gridCol w:w="3428"/>
      </w:tblGrid>
      <w:tr>
        <w:trPr>
          <w:tblHeader w:val="true"/>
        </w:trPr>
        <w:tc>
          <w:tcPr/>
          <w:p>
            <w:pPr>
              <w:pStyle w:val="Compact"/>
              <w:jc w:val="left"/>
            </w:pPr>
            <w:r>
              <w:t xml:space="preserve">Critère</w:t>
            </w:r>
          </w:p>
        </w:tc>
        <w:tc>
          <w:tcPr/>
          <w:p>
            <w:pPr>
              <w:pStyle w:val="Compact"/>
              <w:jc w:val="left"/>
            </w:pPr>
            <w:r>
              <w:t xml:space="preserve">Modèle Westphalien (1648)</w:t>
            </w:r>
          </w:p>
        </w:tc>
        <w:tc>
          <w:tcPr/>
          <w:p>
            <w:pPr>
              <w:pStyle w:val="Compact"/>
              <w:jc w:val="left"/>
            </w:pPr>
            <w:r>
              <w:t xml:space="preserve">Modèle Chérifien</w:t>
            </w:r>
          </w:p>
        </w:tc>
      </w:tr>
      <w:tr>
        <w:tc>
          <w:tcPr/>
          <w:p>
            <w:pPr>
              <w:pStyle w:val="Compact"/>
              <w:jc w:val="left"/>
            </w:pPr>
            <w:r>
              <w:rPr>
                <w:bCs/>
                <w:b/>
              </w:rPr>
              <w:t xml:space="preserve">Fondement</w:t>
            </w:r>
          </w:p>
        </w:tc>
        <w:tc>
          <w:tcPr/>
          <w:p>
            <w:pPr>
              <w:pStyle w:val="Compact"/>
              <w:jc w:val="left"/>
            </w:pPr>
            <w:r>
              <w:t xml:space="preserve">Territoire délimité par des frontières linéaires</w:t>
            </w:r>
          </w:p>
        </w:tc>
        <w:tc>
          <w:tcPr/>
          <w:p>
            <w:pPr>
              <w:pStyle w:val="Compact"/>
              <w:jc w:val="left"/>
            </w:pPr>
            <w:r>
              <w:t xml:space="preserve">Allégeance personnelle (</w:t>
            </w:r>
            <w:r>
              <w:rPr>
                <w:iCs/>
                <w:i/>
              </w:rPr>
              <w:t xml:space="preserve">Bay’a</w:t>
            </w:r>
            <w:r>
              <w:t xml:space="preserve">) au souverain</w:t>
            </w:r>
          </w:p>
        </w:tc>
      </w:tr>
      <w:tr>
        <w:tc>
          <w:tcPr/>
          <w:p>
            <w:pPr>
              <w:pStyle w:val="Compact"/>
              <w:jc w:val="left"/>
            </w:pPr>
            <w:r>
              <w:rPr>
                <w:bCs/>
                <w:b/>
              </w:rPr>
              <w:t xml:space="preserve">Nature du lien</w:t>
            </w:r>
          </w:p>
        </w:tc>
        <w:tc>
          <w:tcPr/>
          <w:p>
            <w:pPr>
              <w:pStyle w:val="Compact"/>
              <w:jc w:val="left"/>
            </w:pPr>
            <w:r>
              <w:t xml:space="preserve">Relation abstraite État-citoyen</w:t>
            </w:r>
          </w:p>
        </w:tc>
        <w:tc>
          <w:tcPr/>
          <w:p>
            <w:pPr>
              <w:pStyle w:val="Compact"/>
              <w:jc w:val="left"/>
            </w:pPr>
            <w:r>
              <w:t xml:space="preserve">Relation personnelle Sultan-sujet</w:t>
            </w:r>
          </w:p>
        </w:tc>
      </w:tr>
      <w:tr>
        <w:tc>
          <w:tcPr/>
          <w:p>
            <w:pPr>
              <w:pStyle w:val="Compact"/>
              <w:jc w:val="left"/>
            </w:pPr>
            <w:r>
              <w:rPr>
                <w:bCs/>
                <w:b/>
              </w:rPr>
              <w:t xml:space="preserve">Légitimité</w:t>
            </w:r>
          </w:p>
        </w:tc>
        <w:tc>
          <w:tcPr/>
          <w:p>
            <w:pPr>
              <w:pStyle w:val="Compact"/>
              <w:jc w:val="left"/>
            </w:pPr>
            <w:r>
              <w:t xml:space="preserve">Contrat social séculier</w:t>
            </w:r>
          </w:p>
        </w:tc>
        <w:tc>
          <w:tcPr/>
          <w:p>
            <w:pPr>
              <w:pStyle w:val="Compact"/>
              <w:jc w:val="left"/>
            </w:pPr>
            <w:r>
              <w:t xml:space="preserve">Descendance prophétique + contrat religieux</w:t>
            </w:r>
          </w:p>
        </w:tc>
      </w:tr>
      <w:tr>
        <w:tc>
          <w:tcPr/>
          <w:p>
            <w:pPr>
              <w:pStyle w:val="Compact"/>
              <w:jc w:val="left"/>
            </w:pPr>
            <w:r>
              <w:rPr>
                <w:bCs/>
                <w:b/>
              </w:rPr>
              <w:t xml:space="preserve">Espace</w:t>
            </w:r>
          </w:p>
        </w:tc>
        <w:tc>
          <w:tcPr/>
          <w:p>
            <w:pPr>
              <w:pStyle w:val="Compact"/>
              <w:jc w:val="left"/>
            </w:pPr>
            <w:r>
              <w:t xml:space="preserve">Souveraineté territoriale rigide</w:t>
            </w:r>
          </w:p>
        </w:tc>
        <w:tc>
          <w:tcPr/>
          <w:p>
            <w:pPr>
              <w:pStyle w:val="Compact"/>
              <w:jc w:val="left"/>
            </w:pPr>
            <w:r>
              <w:t xml:space="preserve">Souveraineté modulaire (</w:t>
            </w:r>
            <w:r>
              <w:rPr>
                <w:iCs/>
                <w:i/>
              </w:rPr>
              <w:t xml:space="preserve">Bled Makhzen</w:t>
            </w:r>
            <w:r>
              <w:t xml:space="preserve"> </w:t>
            </w:r>
            <w:r>
              <w:t xml:space="preserve">/</w:t>
            </w:r>
            <w:r>
              <w:t xml:space="preserve"> </w:t>
            </w:r>
            <w:r>
              <w:rPr>
                <w:iCs/>
                <w:i/>
              </w:rPr>
              <w:t xml:space="preserve">Bled Siba</w:t>
            </w:r>
            <w:r>
              <w:t xml:space="preserve">)</w:t>
            </w:r>
          </w:p>
        </w:tc>
      </w:tr>
    </w:tbl>
    <w:bookmarkEnd w:id="36"/>
    <w:bookmarkStart w:id="38" w:name="Xba3d2d43795204baec6a0c49f1f0df8908f8a0c"/>
    <w:p>
      <w:pPr>
        <w:pStyle w:val="Heading4"/>
      </w:pPr>
      <w:r>
        <w:t xml:space="preserve">L’Avis de la CIJ (1975) : une clarification juridique</w:t>
      </w:r>
    </w:p>
    <w:p>
      <w:pPr>
        <w:pStyle w:val="FirstParagraph"/>
      </w:pPr>
      <w:r>
        <w:t xml:space="preserve">La Cour Internationale de Justice, dans son Avis Consultatif du 16 octobre 1975 sur le Sahara Occidental, a apporté une clarification sur la nature de l’État marocain précolonial. La Cour a établi que le Maroc, au moment de la colonisation, n’était nullement un territoire sans maître (</w:t>
      </w:r>
      <w:r>
        <w:rPr>
          <w:iCs/>
          <w:i/>
        </w:rPr>
        <w:t xml:space="preserve">terra nullius</w:t>
      </w:r>
      <w:r>
        <w:t xml:space="preserve">), mais disposait de «</w:t>
      </w:r>
      <w:r>
        <w:t xml:space="preserve"> </w:t>
      </w:r>
      <w:r>
        <w:rPr>
          <w:bCs/>
          <w:b/>
        </w:rPr>
        <w:t xml:space="preserve">liens juridiques d’allégeance</w:t>
      </w:r>
      <w:r>
        <w:t xml:space="preserve"> </w:t>
      </w:r>
      <w:r>
        <w:t xml:space="preserve">» (</w:t>
      </w:r>
      <w:r>
        <w:rPr>
          <w:iCs/>
          <w:i/>
        </w:rPr>
        <w:t xml:space="preserve">legal ties of allegiance</w:t>
      </w:r>
      <w:r>
        <w:t xml:space="preserve">) avec les populations.</w:t>
      </w:r>
      <w:r>
        <w:rPr>
          <w:rStyle w:val="FootnoteReference"/>
        </w:rPr>
        <w:footnoteReference w:id="37"/>
      </w:r>
    </w:p>
    <w:p>
      <w:pPr>
        <w:pStyle w:val="BodyText"/>
      </w:pPr>
      <w:r>
        <w:t xml:space="preserve">Cependant, la Cour a également précisé que ces liens « ne sont nullement des liens de souveraineté territoriale pouvant modifier l’application du principe de l’autodétermination ». Cette nuance est essentielle : la CIJ reconnaît la spécificité du modèle chérifien (souveraineté fondée sur l’allégeance personnelle) sans pour autant en tirer des conséquences sur les frontières territoriales modernes.</w:t>
      </w:r>
    </w:p>
    <w:bookmarkEnd w:id="38"/>
    <w:bookmarkStart w:id="40" w:name="X3173de2083895fcea1c0e844bcb2929eabbdbd8"/>
    <w:p>
      <w:pPr>
        <w:pStyle w:val="Heading4"/>
      </w:pPr>
      <w:r>
        <w:t xml:space="preserve">La hiérarchie des référents identitaires : Islam, Sultan, Territoire</w:t>
      </w:r>
    </w:p>
    <w:p>
      <w:pPr>
        <w:pStyle w:val="FirstParagraph"/>
      </w:pPr>
      <w:r>
        <w:t xml:space="preserve">Les travaux récents de Saloua El Oufir sur la mobilité diplomatique marocaine apportent un éclairage décisif sur le</w:t>
      </w:r>
      <w:r>
        <w:t xml:space="preserve"> </w:t>
      </w:r>
      <w:r>
        <w:rPr>
          <w:bCs/>
          <w:b/>
        </w:rPr>
        <w:t xml:space="preserve">verrouillage identitaire</w:t>
      </w:r>
      <w:r>
        <w:t xml:space="preserve"> </w:t>
      </w:r>
      <w:r>
        <w:t xml:space="preserve">qui structure la pratique diplomatique chérifienne.</w:t>
      </w:r>
      <w:r>
        <w:rPr>
          <w:rStyle w:val="FootnoteReference"/>
        </w:rPr>
        <w:footnoteReference w:id="39"/>
      </w:r>
      <w:r>
        <w:t xml:space="preserve"> </w:t>
      </w:r>
      <w:r>
        <w:t xml:space="preserve">L’analyse des récits de voyages diplomatiques (1691-1919) révèle une pyramide des allégeances indissociables :</w:t>
      </w:r>
    </w:p>
    <w:tbl>
      <w:tblPr>
        <w:tblStyle w:val="Table"/>
        <w:tblW w:type="pct" w:w="5000"/>
        <w:tblLook w:firstRow="1" w:lastRow="0" w:firstColumn="0" w:lastColumn="0" w:noHBand="0" w:noVBand="0" w:val="0020"/>
        <w:jc w:val="start"/>
      </w:tblPr>
      <w:tblGrid>
        <w:gridCol w:w="1920"/>
        <w:gridCol w:w="2400"/>
        <w:gridCol w:w="3600"/>
      </w:tblGrid>
      <w:tr>
        <w:trPr>
          <w:tblHeader w:val="true"/>
        </w:trPr>
        <w:tc>
          <w:tcPr/>
          <w:p>
            <w:pPr>
              <w:pStyle w:val="Compact"/>
              <w:jc w:val="left"/>
            </w:pPr>
            <w:r>
              <w:t xml:space="preserve">Niveau</w:t>
            </w:r>
          </w:p>
        </w:tc>
        <w:tc>
          <w:tcPr/>
          <w:p>
            <w:pPr>
              <w:pStyle w:val="Compact"/>
              <w:jc w:val="left"/>
            </w:pPr>
            <w:r>
              <w:t xml:space="preserve">Référent</w:t>
            </w:r>
          </w:p>
        </w:tc>
        <w:tc>
          <w:tcPr/>
          <w:p>
            <w:pPr>
              <w:pStyle w:val="Compact"/>
              <w:jc w:val="left"/>
            </w:pPr>
            <w:r>
              <w:t xml:space="preserve">Manifestation</w:t>
            </w:r>
          </w:p>
        </w:tc>
      </w:tr>
      <w:tr>
        <w:tc>
          <w:tcPr/>
          <w:p>
            <w:pPr>
              <w:pStyle w:val="Compact"/>
              <w:jc w:val="left"/>
            </w:pPr>
            <w:r>
              <w:rPr>
                <w:bCs/>
                <w:b/>
              </w:rPr>
              <w:t xml:space="preserve">1 (Suprême)</w:t>
            </w:r>
          </w:p>
        </w:tc>
        <w:tc>
          <w:tcPr/>
          <w:p>
            <w:pPr>
              <w:pStyle w:val="Compact"/>
              <w:jc w:val="left"/>
            </w:pPr>
            <w:r>
              <w:t xml:space="preserve">L’Islam (Dieu)</w:t>
            </w:r>
          </w:p>
        </w:tc>
        <w:tc>
          <w:tcPr/>
          <w:p>
            <w:pPr>
              <w:pStyle w:val="Compact"/>
              <w:jc w:val="left"/>
            </w:pPr>
            <w:r>
              <w:t xml:space="preserve">Le diplomate se définit avant tout comme musulman pénétrant en</w:t>
            </w:r>
            <w:r>
              <w:t xml:space="preserve"> </w:t>
            </w:r>
            <w:r>
              <w:rPr>
                <w:iCs/>
                <w:i/>
              </w:rPr>
              <w:t xml:space="preserve">dār al-kufr</w:t>
            </w:r>
            <w:r>
              <w:t xml:space="preserve"> </w:t>
            </w:r>
            <w:r>
              <w:t xml:space="preserve">(territoire de l’impiété)</w:t>
            </w:r>
          </w:p>
        </w:tc>
      </w:tr>
      <w:tr>
        <w:tc>
          <w:tcPr/>
          <w:p>
            <w:pPr>
              <w:pStyle w:val="Compact"/>
              <w:jc w:val="left"/>
            </w:pPr>
            <w:r>
              <w:rPr>
                <w:bCs/>
                <w:b/>
              </w:rPr>
              <w:t xml:space="preserve">2</w:t>
            </w:r>
          </w:p>
        </w:tc>
        <w:tc>
          <w:tcPr/>
          <w:p>
            <w:pPr>
              <w:pStyle w:val="Compact"/>
              <w:jc w:val="left"/>
            </w:pPr>
            <w:r>
              <w:t xml:space="preserve">Le Sultan (Commandeur des Croyants)</w:t>
            </w:r>
          </w:p>
        </w:tc>
        <w:tc>
          <w:tcPr/>
          <w:p>
            <w:pPr>
              <w:pStyle w:val="Compact"/>
              <w:jc w:val="left"/>
            </w:pPr>
            <w:r>
              <w:t xml:space="preserve">« Puissance subjective qui subjugue l’individu » – le sultan comme point de jonction entre foi et patrie</w:t>
            </w:r>
          </w:p>
        </w:tc>
      </w:tr>
      <w:tr>
        <w:tc>
          <w:tcPr/>
          <w:p>
            <w:pPr>
              <w:pStyle w:val="Compact"/>
              <w:jc w:val="left"/>
            </w:pPr>
            <w:r>
              <w:rPr>
                <w:bCs/>
                <w:b/>
              </w:rPr>
              <w:t xml:space="preserve">3</w:t>
            </w:r>
          </w:p>
        </w:tc>
        <w:tc>
          <w:tcPr/>
          <w:p>
            <w:pPr>
              <w:pStyle w:val="Compact"/>
              <w:jc w:val="left"/>
            </w:pPr>
            <w:r>
              <w:t xml:space="preserve">Le Territoire (Maroc)</w:t>
            </w:r>
          </w:p>
        </w:tc>
        <w:tc>
          <w:tcPr/>
          <w:p>
            <w:pPr>
              <w:pStyle w:val="Compact"/>
              <w:jc w:val="left"/>
            </w:pPr>
            <w:r>
              <w:t xml:space="preserve">Le Maroc survient « après l’islam de la même manière qu’après Dieu, il y a le sultan »</w:t>
            </w:r>
          </w:p>
        </w:tc>
      </w:tr>
    </w:tbl>
    <w:p>
      <w:pPr>
        <w:pStyle w:val="BodyText"/>
      </w:pPr>
      <w:r>
        <w:t xml:space="preserve">El Oufir démontre que cette structure n’engendre</w:t>
      </w:r>
      <w:r>
        <w:t xml:space="preserve"> </w:t>
      </w:r>
      <w:r>
        <w:rPr>
          <w:bCs/>
          <w:b/>
        </w:rPr>
        <w:t xml:space="preserve">nulle contradiction</w:t>
      </w:r>
      <w:r>
        <w:t xml:space="preserve"> </w:t>
      </w:r>
      <w:r>
        <w:t xml:space="preserve">: « l’allégeance islamique et l’allégeance territoriale n’entrent point en conflit ». Le Sultan est « cet élément nodal de l’identité marocaine » qui permet la jonction parfaite entre appartenance religieuse et appartenance nationale. Les diplomates marocains sont perçus et se perçoivent comme « les hommes du sultan de l’islam ».</w:t>
      </w:r>
    </w:p>
    <w:p>
      <w:pPr>
        <w:pStyle w:val="BodyText"/>
      </w:pPr>
      <w:r>
        <w:rPr>
          <w:bCs/>
          <w:b/>
        </w:rPr>
        <w:t xml:space="preserve">Conséquence diplomatique majeure :</w:t>
      </w:r>
      <w:r>
        <w:t xml:space="preserve"> </w:t>
      </w:r>
      <w:r>
        <w:t xml:space="preserve">Cette fusion identitaire explique l’impossibilité théologique des concessions territoriales. Céder une portion du</w:t>
      </w:r>
      <w:r>
        <w:t xml:space="preserve"> </w:t>
      </w:r>
      <w:r>
        <w:rPr>
          <w:iCs/>
          <w:i/>
        </w:rPr>
        <w:t xml:space="preserve">Dar al-Islam</w:t>
      </w:r>
      <w:r>
        <w:t xml:space="preserve"> </w:t>
      </w:r>
      <w:r>
        <w:t xml:space="preserve">au profit de puissances chrétiennes équivaut à une forme d’apostasie collective. Le Sultan, lié par la</w:t>
      </w:r>
      <w:r>
        <w:t xml:space="preserve"> </w:t>
      </w:r>
      <w:r>
        <w:rPr>
          <w:iCs/>
          <w:i/>
        </w:rPr>
        <w:t xml:space="preserve">Bay’a</w:t>
      </w:r>
      <w:r>
        <w:t xml:space="preserve">, ne peut négocier ce qui relève du sacré. Cette rigidité, protectrice de l’identité, crée un</w:t>
      </w:r>
      <w:r>
        <w:t xml:space="preserve"> </w:t>
      </w:r>
      <w:r>
        <w:rPr>
          <w:bCs/>
          <w:b/>
        </w:rPr>
        <w:t xml:space="preserve">blocage diplomatique structurel</w:t>
      </w:r>
      <w:r>
        <w:t xml:space="preserve"> </w:t>
      </w:r>
      <w:r>
        <w:t xml:space="preserve">face aux demandes européennes de concessions foncières – blocage qui ne laisse au Makhzen que le recours au droit international comme substitut à l’impossibilité de la négociation territoriale.</w:t>
      </w:r>
    </w:p>
    <w:p>
      <w:r>
        <w:pict>
          <v:rect style="width:0;height:1.5pt" o:hralign="center" o:hrstd="t" o:hr="t"/>
        </w:pict>
      </w:r>
    </w:p>
    <w:bookmarkEnd w:id="40"/>
    <w:bookmarkEnd w:id="41"/>
    <w:bookmarkStart w:id="46" w:name="X9d30837821d0aab95576a5bed8bd205338f991d"/>
    <w:p>
      <w:pPr>
        <w:pStyle w:val="Heading3"/>
      </w:pPr>
      <w:r>
        <w:t xml:space="preserve">3. La mécanique juridique des traités : distinction</w:t>
      </w:r>
      <w:r>
        <w:t xml:space="preserve"> </w:t>
      </w:r>
      <w:r>
        <w:rPr>
          <w:iCs/>
          <w:i/>
        </w:rPr>
        <w:t xml:space="preserve">Negotium</w:t>
      </w:r>
      <w:r>
        <w:t xml:space="preserve">/</w:t>
      </w:r>
      <w:r>
        <w:rPr>
          <w:iCs/>
          <w:i/>
        </w:rPr>
        <w:t xml:space="preserve">Instrumentum</w:t>
      </w:r>
      <w:r>
        <w:t xml:space="preserve">, trêve vs paix</w:t>
      </w:r>
    </w:p>
    <w:bookmarkStart w:id="43" w:name="la-dialectique-dar-al-islam-dar-al-harb"/>
    <w:p>
      <w:pPr>
        <w:pStyle w:val="Heading4"/>
      </w:pPr>
      <w:r>
        <w:t xml:space="preserve">La dialectique</w:t>
      </w:r>
      <w:r>
        <w:t xml:space="preserve"> </w:t>
      </w:r>
      <w:r>
        <w:rPr>
          <w:iCs/>
          <w:i/>
        </w:rPr>
        <w:t xml:space="preserve">Dar al-Islam</w:t>
      </w:r>
      <w:r>
        <w:t xml:space="preserve"> </w:t>
      </w:r>
      <w:r>
        <w:t xml:space="preserve">/</w:t>
      </w:r>
      <w:r>
        <w:t xml:space="preserve"> </w:t>
      </w:r>
      <w:r>
        <w:rPr>
          <w:iCs/>
          <w:i/>
        </w:rPr>
        <w:t xml:space="preserve">Dar al-Harb</w:t>
      </w:r>
    </w:p>
    <w:p>
      <w:pPr>
        <w:pStyle w:val="FirstParagraph"/>
      </w:pPr>
      <w:r>
        <w:t xml:space="preserve">La vision islamique classique divise le monde en deux sphères : le</w:t>
      </w:r>
      <w:r>
        <w:t xml:space="preserve"> </w:t>
      </w:r>
      <w:r>
        <w:rPr>
          <w:iCs/>
          <w:i/>
        </w:rPr>
        <w:t xml:space="preserve">Dar al-Islam</w:t>
      </w:r>
      <w:r>
        <w:t xml:space="preserve"> </w:t>
      </w:r>
      <w:r>
        <w:t xml:space="preserve">(Terre d’Islam) et le</w:t>
      </w:r>
      <w:r>
        <w:t xml:space="preserve"> </w:t>
      </w:r>
      <w:r>
        <w:rPr>
          <w:iCs/>
          <w:i/>
        </w:rPr>
        <w:t xml:space="preserve">Dar al-Harb</w:t>
      </w:r>
      <w:r>
        <w:t xml:space="preserve"> </w:t>
      </w:r>
      <w:r>
        <w:t xml:space="preserve">(Terre de Guerre). Cette conception théologique influence la</w:t>
      </w:r>
      <w:r>
        <w:t xml:space="preserve"> </w:t>
      </w:r>
      <w:r>
        <w:rPr>
          <w:bCs/>
          <w:b/>
        </w:rPr>
        <w:t xml:space="preserve">temporalité des accords</w:t>
      </w:r>
      <w:r>
        <w:t xml:space="preserve"> </w:t>
      </w:r>
      <w:r>
        <w:t xml:space="preserve">:</w:t>
      </w:r>
    </w:p>
    <w:p>
      <w:pPr>
        <w:numPr>
          <w:ilvl w:val="0"/>
          <w:numId w:val="1001"/>
        </w:numPr>
        <w:pStyle w:val="Compact"/>
      </w:pPr>
      <w:r>
        <w:rPr>
          <w:bCs/>
          <w:b/>
        </w:rPr>
        <w:t xml:space="preserve">Doctrine de la trêve (</w:t>
      </w:r>
      <w:r>
        <w:rPr>
          <w:iCs/>
          <w:i/>
          <w:bCs/>
          <w:b/>
        </w:rPr>
        <w:t xml:space="preserve">Hudna</w:t>
      </w:r>
      <w:r>
        <w:rPr>
          <w:bCs/>
          <w:b/>
        </w:rPr>
        <w:t xml:space="preserve">)</w:t>
      </w:r>
      <w:r>
        <w:t xml:space="preserve"> </w:t>
      </w:r>
      <w:r>
        <w:t xml:space="preserve">: Initialement, la légitimité religieuse du Commandeur des Croyants empêche la signature de paix définitives avec les nations chrétiennes. Seules des trêves renouvelables (10, 20 ans) sont théologiquement acceptables.</w:t>
      </w:r>
      <w:r>
        <w:rPr>
          <w:rStyle w:val="FootnoteReference"/>
        </w:rPr>
        <w:footnoteReference w:id="42"/>
      </w:r>
    </w:p>
    <w:p>
      <w:pPr>
        <w:numPr>
          <w:ilvl w:val="0"/>
          <w:numId w:val="1001"/>
        </w:numPr>
        <w:pStyle w:val="Compact"/>
      </w:pPr>
      <w:r>
        <w:rPr>
          <w:bCs/>
          <w:b/>
        </w:rPr>
        <w:t xml:space="preserve">Adaptation pragmatique</w:t>
      </w:r>
      <w:r>
        <w:t xml:space="preserve"> </w:t>
      </w:r>
      <w:r>
        <w:t xml:space="preserve">: Sous Sidi Mohammed ben Abdallah (r. 1757-1790), une rupture majeure s’opère. Les traités « modernes » (France 1767, USA 1786) introduisent la notion de</w:t>
      </w:r>
      <w:r>
        <w:t xml:space="preserve"> </w:t>
      </w:r>
      <w:r>
        <w:rPr>
          <w:bCs/>
          <w:b/>
        </w:rPr>
        <w:t xml:space="preserve">paix perpétuelle</w:t>
      </w:r>
      <w:r>
        <w:t xml:space="preserve">, contournant le dogme strict du Jihad permanent au profit de l’intérêt (</w:t>
      </w:r>
      <w:r>
        <w:rPr>
          <w:iCs/>
          <w:i/>
        </w:rPr>
        <w:t xml:space="preserve">Maslaha</w:t>
      </w:r>
      <w:r>
        <w:t xml:space="preserve">) de la communauté.</w:t>
      </w:r>
    </w:p>
    <w:bookmarkEnd w:id="43"/>
    <w:bookmarkStart w:id="45" w:name="la-maîtrise-du-formalisme-européen"/>
    <w:p>
      <w:pPr>
        <w:pStyle w:val="Heading4"/>
      </w:pPr>
      <w:r>
        <w:t xml:space="preserve">La maîtrise du formalisme européen</w:t>
      </w:r>
    </w:p>
    <w:p>
      <w:pPr>
        <w:pStyle w:val="FirstParagraph"/>
      </w:pPr>
      <w:r>
        <w:t xml:space="preserve">Les diplomates marocains, bien que formés dans la tradition juridique islamique (</w:t>
      </w:r>
      <w:r>
        <w:rPr>
          <w:iCs/>
          <w:i/>
        </w:rPr>
        <w:t xml:space="preserve">Fiqh</w:t>
      </w:r>
      <w:r>
        <w:t xml:space="preserve">), ont su naviguer dans le formalisme européen. L’</w:t>
      </w:r>
      <w:r>
        <w:rPr>
          <w:iCs/>
          <w:i/>
        </w:rPr>
        <w:t xml:space="preserve">instrumentum</w:t>
      </w:r>
      <w:r>
        <w:t xml:space="preserve"> </w:t>
      </w:r>
      <w:r>
        <w:t xml:space="preserve">pouvait varier – lettres chérifiennes, conventions bilatérales multilingues – mais le</w:t>
      </w:r>
      <w:r>
        <w:t xml:space="preserve"> </w:t>
      </w:r>
      <w:r>
        <w:rPr>
          <w:iCs/>
          <w:i/>
        </w:rPr>
        <w:t xml:space="preserve">negotium</w:t>
      </w:r>
      <w:r>
        <w:t xml:space="preserve"> </w:t>
      </w:r>
      <w:r>
        <w:t xml:space="preserve">restait conforme aux standards internationaux : accords synallagmatiques créant des obligations réciproques.</w:t>
      </w:r>
      <w:r>
        <w:rPr>
          <w:rStyle w:val="FootnoteReference"/>
        </w:rPr>
        <w:footnoteReference w:id="44"/>
      </w:r>
    </w:p>
    <w:p>
      <w:r>
        <w:pict>
          <v:rect style="width:0;height:1.5pt" o:hralign="center" o:hrstd="t" o:hr="t"/>
        </w:pict>
      </w:r>
    </w:p>
    <w:p>
      <w:pPr>
        <w:pStyle w:val="FirstParagraph"/>
      </w:pPr>
      <w:r>
        <w:t xml:space="preserve">[FIGURE_2_FACSIMILES_TRAITES]</w:t>
      </w:r>
    </w:p>
    <w:p>
      <w:pPr>
        <w:pStyle w:val="BlockText"/>
      </w:pPr>
      <w:r>
        <w:rPr>
          <w:bCs/>
          <w:b/>
        </w:rPr>
        <w:t xml:space="preserve">Figure 2 :</w:t>
      </w:r>
      <w:r>
        <w:t xml:space="preserve"> </w:t>
      </w:r>
      <w:r>
        <w:t xml:space="preserve">Fac-similés des principaux traités alaouites (1666-1800) – Protocole et authenticité</w:t>
      </w:r>
    </w:p>
    <w:p>
      <w:pPr>
        <w:pStyle w:val="BlockText"/>
      </w:pPr>
      <w:r>
        <w:rPr>
          <w:bCs/>
          <w:b/>
        </w:rPr>
        <w:t xml:space="preserve">Fac-similés disponibles et localisables :</w:t>
      </w:r>
    </w:p>
    <w:p>
      <w:pPr>
        <w:pStyle w:val="BlockText"/>
      </w:pPr>
      <w:r>
        <w:rPr>
          <w:bCs/>
          <w:b/>
        </w:rPr>
        <w:t xml:space="preserve">Traités complètement reproduits :</w:t>
      </w:r>
      <w:r>
        <w:t xml:space="preserve"> </w:t>
      </w:r>
      <w:r>
        <w:t xml:space="preserve">-</w:t>
      </w:r>
      <w:r>
        <w:t xml:space="preserve"> </w:t>
      </w:r>
      <w:r>
        <w:rPr>
          <w:iCs/>
          <w:i/>
        </w:rPr>
        <w:t xml:space="preserve">Traité maroco-danois (1753)</w:t>
      </w:r>
      <w:r>
        <w:t xml:space="preserve"> </w:t>
      </w:r>
      <w:r>
        <w:t xml:space="preserve">: Traité de paix, commerce et tribut annuel —</w:t>
      </w:r>
      <w:r>
        <w:t xml:space="preserve"> </w:t>
      </w:r>
      <w:r>
        <w:rPr>
          <w:bCs/>
          <w:b/>
        </w:rPr>
        <w:t xml:space="preserve">Fac-similé In :</w:t>
      </w:r>
      <w:r>
        <w:t xml:space="preserve"> </w:t>
      </w:r>
      <w:r>
        <w:t xml:space="preserve">BRIGNON et al.,</w:t>
      </w:r>
      <w:r>
        <w:t xml:space="preserve"> </w:t>
      </w:r>
      <w:r>
        <w:rPr>
          <w:iCs/>
          <w:i/>
        </w:rPr>
        <w:t xml:space="preserve">Histoire du Maroc</w:t>
      </w:r>
      <w:r>
        <w:t xml:space="preserve">. Signatures + sceaux.</w:t>
      </w:r>
      <w:r>
        <w:t xml:space="preserve"> </w:t>
      </w:r>
      <w:r>
        <w:rPr>
          <w:bCs/>
          <w:b/>
        </w:rPr>
        <w:t xml:space="preserve">Original :</w:t>
      </w:r>
      <w:r>
        <w:t xml:space="preserve"> </w:t>
      </w:r>
      <w:r>
        <w:t xml:space="preserve">Rigsarkivet (Archives royales du Danemark, Copenhague).</w:t>
      </w:r>
      <w:r>
        <w:t xml:space="preserve"> </w:t>
      </w:r>
      <w:r>
        <w:t xml:space="preserve">-</w:t>
      </w:r>
      <w:r>
        <w:t xml:space="preserve"> </w:t>
      </w:r>
      <w:r>
        <w:rPr>
          <w:iCs/>
          <w:i/>
        </w:rPr>
        <w:t xml:space="preserve">Traité maroco-autrichien (1783)</w:t>
      </w:r>
      <w:r>
        <w:t xml:space="preserve"> </w:t>
      </w:r>
      <w:r>
        <w:t xml:space="preserve">: Première et deuxième pages (signatures de Mohammed ben Abdelmalek) —</w:t>
      </w:r>
      <w:r>
        <w:t xml:space="preserve"> </w:t>
      </w:r>
      <w:r>
        <w:rPr>
          <w:bCs/>
          <w:b/>
        </w:rPr>
        <w:t xml:space="preserve">Fac-similé In :</w:t>
      </w:r>
      <w:r>
        <w:t xml:space="preserve"> </w:t>
      </w:r>
      <w:r>
        <w:t xml:space="preserve">TAZI,</w:t>
      </w:r>
      <w:r>
        <w:t xml:space="preserve"> </w:t>
      </w:r>
      <w:r>
        <w:rPr>
          <w:iCs/>
          <w:i/>
        </w:rPr>
        <w:t xml:space="preserve">Histoire diplomatique du Maroc</w:t>
      </w:r>
      <w:r>
        <w:t xml:space="preserve">, T.9, Annexes.</w:t>
      </w:r>
      <w:r>
        <w:t xml:space="preserve"> </w:t>
      </w:r>
      <w:r>
        <w:rPr>
          <w:bCs/>
          <w:b/>
        </w:rPr>
        <w:t xml:space="preserve">Original :</w:t>
      </w:r>
      <w:r>
        <w:t xml:space="preserve"> </w:t>
      </w:r>
      <w:r>
        <w:t xml:space="preserve">Haus-, Hof- und Staatsarchiv (Vienne).</w:t>
      </w:r>
      <w:r>
        <w:t xml:space="preserve"> </w:t>
      </w:r>
      <w:r>
        <w:t xml:space="preserve">-</w:t>
      </w:r>
      <w:r>
        <w:t xml:space="preserve"> </w:t>
      </w:r>
      <w:r>
        <w:rPr>
          <w:iCs/>
          <w:i/>
        </w:rPr>
        <w:t xml:space="preserve">Traité maroco-américain (1786, Traité de Marrakech)</w:t>
      </w:r>
      <w:r>
        <w:t xml:space="preserve"> </w:t>
      </w:r>
      <w:r>
        <w:t xml:space="preserve">: Première page +</w:t>
      </w:r>
      <w:r>
        <w:t xml:space="preserve"> </w:t>
      </w:r>
      <w:r>
        <w:rPr>
          <w:bCs/>
          <w:b/>
        </w:rPr>
        <w:t xml:space="preserve">Lettre officielle de Mohammed III à George Washington</w:t>
      </w:r>
      <w:r>
        <w:t xml:space="preserve"> </w:t>
      </w:r>
      <w:r>
        <w:t xml:space="preserve">—</w:t>
      </w:r>
      <w:r>
        <w:t xml:space="preserve"> </w:t>
      </w:r>
      <w:r>
        <w:rPr>
          <w:bCs/>
          <w:b/>
        </w:rPr>
        <w:t xml:space="preserve">Fac-similé In :</w:t>
      </w:r>
      <w:r>
        <w:t xml:space="preserve"> </w:t>
      </w:r>
      <w:r>
        <w:t xml:space="preserve">TAZI, T.9.</w:t>
      </w:r>
      <w:r>
        <w:t xml:space="preserve"> </w:t>
      </w:r>
      <w:r>
        <w:rPr>
          <w:bCs/>
          <w:b/>
        </w:rPr>
        <w:t xml:space="preserve">Originaux :</w:t>
      </w:r>
      <w:r>
        <w:t xml:space="preserve"> </w:t>
      </w:r>
      <w:r>
        <w:t xml:space="preserve">National Archives (Washington, RG 59 : Diplomatic Posts/Morocco ; consulat de Tanger 1776-1956).</w:t>
      </w:r>
      <w:r>
        <w:t xml:space="preserve"> </w:t>
      </w:r>
      <w:r>
        <w:t xml:space="preserve">-</w:t>
      </w:r>
      <w:r>
        <w:t xml:space="preserve"> </w:t>
      </w:r>
      <w:r>
        <w:rPr>
          <w:iCs/>
          <w:i/>
        </w:rPr>
        <w:t xml:space="preserve">Traité bilingue maroco-aragonais (1339, parchemin de gazelle)</w:t>
      </w:r>
      <w:r>
        <w:t xml:space="preserve"> </w:t>
      </w:r>
      <w:r>
        <w:t xml:space="preserve">: Texte arabe à droite, catalan à gauche, avec sceaux pendants —</w:t>
      </w:r>
      <w:r>
        <w:t xml:space="preserve"> </w:t>
      </w:r>
      <w:r>
        <w:rPr>
          <w:bCs/>
          <w:b/>
        </w:rPr>
        <w:t xml:space="preserve">Fac-similé In :</w:t>
      </w:r>
      <w:r>
        <w:t xml:space="preserve"> </w:t>
      </w:r>
      <w:r>
        <w:t xml:space="preserve">TAZI, T.7, Annexes.</w:t>
      </w:r>
      <w:r>
        <w:t xml:space="preserve"> </w:t>
      </w:r>
      <w:r>
        <w:rPr>
          <w:bCs/>
          <w:b/>
        </w:rPr>
        <w:t xml:space="preserve">Original :</w:t>
      </w:r>
      <w:r>
        <w:t xml:space="preserve"> </w:t>
      </w:r>
      <w:r>
        <w:rPr>
          <w:bCs/>
          <w:b/>
        </w:rPr>
        <w:t xml:space="preserve">Archives de la Couronne d’Aragon (Barcelone)</w:t>
      </w:r>
      <w:r>
        <w:t xml:space="preserve">, ACA, Cancillería, Tratados con Marruecos.</w:t>
      </w:r>
      <w:r>
        <w:t xml:space="preserve"> </w:t>
      </w:r>
      <w:r>
        <w:t xml:space="preserve">-</w:t>
      </w:r>
      <w:r>
        <w:t xml:space="preserve"> </w:t>
      </w:r>
      <w:r>
        <w:rPr>
          <w:iCs/>
          <w:i/>
        </w:rPr>
        <w:t xml:space="preserve">Traité avec la France (1767, Paix Perpétuelle)</w:t>
      </w:r>
      <w:r>
        <w:t xml:space="preserve"> </w:t>
      </w:r>
      <w:r>
        <w:t xml:space="preserve">—</w:t>
      </w:r>
      <w:r>
        <w:t xml:space="preserve"> </w:t>
      </w:r>
      <w:r>
        <w:rPr>
          <w:bCs/>
          <w:b/>
        </w:rPr>
        <w:t xml:space="preserve">Fac-similé partial In :</w:t>
      </w:r>
      <w:r>
        <w:t xml:space="preserve"> </w:t>
      </w:r>
      <w:r>
        <w:t xml:space="preserve">TAZI, T.9.</w:t>
      </w:r>
      <w:r>
        <w:t xml:space="preserve"> </w:t>
      </w:r>
      <w:r>
        <w:rPr>
          <w:bCs/>
          <w:b/>
        </w:rPr>
        <w:t xml:space="preserve">Original :</w:t>
      </w:r>
      <w:r>
        <w:t xml:space="preserve"> </w:t>
      </w:r>
      <w:r>
        <w:t xml:space="preserve">Archives du MAE (Paris), Correspondance politique et consulaire.</w:t>
      </w:r>
    </w:p>
    <w:p>
      <w:pPr>
        <w:pStyle w:val="BlockText"/>
      </w:pPr>
      <w:r>
        <w:rPr>
          <w:bCs/>
          <w:b/>
        </w:rPr>
        <w:t xml:space="preserve">Correspondances diplomatiques (50 lettres fac-similées) :</w:t>
      </w:r>
      <w:r>
        <w:t xml:space="preserve"> </w:t>
      </w:r>
      <w:r>
        <w:t xml:space="preserve">- Édition critique : Eugène FUMEY,</w:t>
      </w:r>
      <w:r>
        <w:t xml:space="preserve"> </w:t>
      </w:r>
      <w:r>
        <w:rPr>
          <w:iCs/>
          <w:i/>
        </w:rPr>
        <w:t xml:space="preserve">Choix de correspondances marocaines</w:t>
      </w:r>
      <w:r>
        <w:t xml:space="preserve">,</w:t>
      </w:r>
      <w:r>
        <w:t xml:space="preserve"> </w:t>
      </w:r>
      <w:r>
        <w:rPr>
          <w:bCs/>
          <w:b/>
        </w:rPr>
        <w:t xml:space="preserve">In :</w:t>
      </w:r>
      <w:r>
        <w:t xml:space="preserve"> </w:t>
      </w:r>
      <w:r>
        <w:rPr>
          <w:iCs/>
          <w:i/>
        </w:rPr>
        <w:t xml:space="preserve">Archives Marocaines</w:t>
      </w:r>
      <w:r>
        <w:t xml:space="preserve">, Vol. 9 (1906). Lettres de sultans à rois européens (XIe-XIXe s.), avec traductions et notes diplomatiques.</w:t>
      </w:r>
    </w:p>
    <w:p>
      <w:pPr>
        <w:pStyle w:val="BlockText"/>
      </w:pPr>
      <w:r>
        <w:rPr>
          <w:bCs/>
          <w:b/>
        </w:rPr>
        <w:t xml:space="preserve">Fonds d’archives originaux :</w:t>
      </w:r>
      <w:r>
        <w:t xml:space="preserve"> </w:t>
      </w:r>
      <w:r>
        <w:t xml:space="preserve">-</w:t>
      </w:r>
      <w:r>
        <w:t xml:space="preserve"> </w:t>
      </w:r>
      <w:r>
        <w:rPr>
          <w:bCs/>
          <w:b/>
        </w:rPr>
        <w:t xml:space="preserve">Rigsarkivet (Copenhague) :</w:t>
      </w:r>
      <w:r>
        <w:t xml:space="preserve"> </w:t>
      </w:r>
      <w:r>
        <w:t xml:space="preserve">Traité danois complet</w:t>
      </w:r>
      <w:r>
        <w:t xml:space="preserve"> </w:t>
      </w:r>
      <w:r>
        <w:t xml:space="preserve">-</w:t>
      </w:r>
      <w:r>
        <w:t xml:space="preserve"> </w:t>
      </w:r>
      <w:r>
        <w:rPr>
          <w:bCs/>
          <w:b/>
        </w:rPr>
        <w:t xml:space="preserve">Haus-, Hof- und Staatsarchiv (Vienne) :</w:t>
      </w:r>
      <w:r>
        <w:t xml:space="preserve"> </w:t>
      </w:r>
      <w:r>
        <w:t xml:space="preserve">Traité autrichien, correspondance Mohammed III-Joseph II</w:t>
      </w:r>
      <w:r>
        <w:t xml:space="preserve"> </w:t>
      </w:r>
      <w:r>
        <w:t xml:space="preserve">-</w:t>
      </w:r>
      <w:r>
        <w:t xml:space="preserve"> </w:t>
      </w:r>
      <w:r>
        <w:rPr>
          <w:bCs/>
          <w:b/>
        </w:rPr>
        <w:t xml:space="preserve">National Archives (Washington) :</w:t>
      </w:r>
      <w:r>
        <w:t xml:space="preserve"> </w:t>
      </w:r>
      <w:r>
        <w:t xml:space="preserve">Traité américain + all diplomatic correspondence</w:t>
      </w:r>
      <w:r>
        <w:t xml:space="preserve"> </w:t>
      </w:r>
      <w:r>
        <w:t xml:space="preserve">-</w:t>
      </w:r>
      <w:r>
        <w:t xml:space="preserve"> </w:t>
      </w:r>
      <w:r>
        <w:rPr>
          <w:bCs/>
          <w:b/>
        </w:rPr>
        <w:t xml:space="preserve">Archives de la Couronne d’Aragon (Barcelone) :</w:t>
      </w:r>
      <w:r>
        <w:t xml:space="preserve"> </w:t>
      </w:r>
      <w:r>
        <w:t xml:space="preserve">Traité aragonais medieval</w:t>
      </w:r>
      <w:r>
        <w:t xml:space="preserve"> </w:t>
      </w:r>
      <w:r>
        <w:t xml:space="preserve">-</w:t>
      </w:r>
      <w:r>
        <w:t xml:space="preserve"> </w:t>
      </w:r>
      <w:r>
        <w:rPr>
          <w:bCs/>
          <w:b/>
        </w:rPr>
        <w:t xml:space="preserve">Archives MAE (Paris) :</w:t>
      </w:r>
      <w:r>
        <w:t xml:space="preserve"> </w:t>
      </w:r>
      <w:r>
        <w:t xml:space="preserve">Traité français, correspondances</w:t>
      </w:r>
    </w:p>
    <w:p>
      <w:pPr>
        <w:pStyle w:val="BlockText"/>
      </w:pPr>
      <w:r>
        <w:rPr>
          <w:bCs/>
          <w:b/>
        </w:rPr>
        <w:t xml:space="preserve">Ressources numériques :</w:t>
      </w:r>
      <w:r>
        <w:t xml:space="preserve"> </w:t>
      </w:r>
      <w:r>
        <w:t xml:space="preserve">- Gallica (BnF) : Rechercher « Tazi Histoire diplomatique Maroc T.9 » pour accès aux fac-similés</w:t>
      </w:r>
      <w:r>
        <w:t xml:space="preserve"> </w:t>
      </w:r>
      <w:r>
        <w:t xml:space="preserve">- Early American Foreign Service Posts : Diplomatic posts Morocco (archive.org)</w:t>
      </w:r>
    </w:p>
    <w:p>
      <w:r>
        <w:pict>
          <v:rect style="width:0;height:1.5pt" o:hralign="center" o:hrstd="t" o:hr="t"/>
        </w:pict>
      </w:r>
    </w:p>
    <w:bookmarkEnd w:id="45"/>
    <w:bookmarkEnd w:id="46"/>
    <w:bookmarkEnd w:id="47"/>
    <w:bookmarkStart w:id="76" w:name="b.-les-instruments-de-laction-extérieure"/>
    <w:p>
      <w:pPr>
        <w:pStyle w:val="Heading2"/>
      </w:pPr>
      <w:r>
        <w:t xml:space="preserve">B. Les Instruments de l’Action Extérieure</w:t>
      </w:r>
    </w:p>
    <w:bookmarkStart w:id="53" w:name="X0bb6aef05e32a9e2ca3f2d16a16cc5ab557fd77"/>
    <w:p>
      <w:pPr>
        <w:pStyle w:val="Heading3"/>
      </w:pPr>
      <w:r>
        <w:t xml:space="preserve">1. L’intermédiation spécifique :</w:t>
      </w:r>
      <w:r>
        <w:t xml:space="preserve"> </w:t>
      </w:r>
      <w:r>
        <w:rPr>
          <w:iCs/>
          <w:i/>
        </w:rPr>
        <w:t xml:space="preserve">Tujjar as-Sultan</w:t>
      </w:r>
      <w:r>
        <w:t xml:space="preserve">, renégats et famille Pallache</w:t>
      </w:r>
    </w:p>
    <w:bookmarkStart w:id="49" w:name="les-tujjar-as-sultan-marchands-royaux"/>
    <w:p>
      <w:pPr>
        <w:pStyle w:val="Heading4"/>
      </w:pPr>
      <w:r>
        <w:t xml:space="preserve">Les</w:t>
      </w:r>
      <w:r>
        <w:t xml:space="preserve"> </w:t>
      </w:r>
      <w:r>
        <w:rPr>
          <w:iCs/>
          <w:i/>
        </w:rPr>
        <w:t xml:space="preserve">Tujjar as-Sultan</w:t>
      </w:r>
      <w:r>
        <w:t xml:space="preserve"> </w:t>
      </w:r>
      <w:r>
        <w:t xml:space="preserve">: marchands royaux</w:t>
      </w:r>
    </w:p>
    <w:p>
      <w:pPr>
        <w:pStyle w:val="FirstParagraph"/>
      </w:pPr>
      <w:r>
        <w:t xml:space="preserve">Le Sultan contrôle le commerce extérieur à travers des intermédiaires privilégiés : les</w:t>
      </w:r>
      <w:r>
        <w:t xml:space="preserve"> </w:t>
      </w:r>
      <w:r>
        <w:rPr>
          <w:bCs/>
          <w:b/>
        </w:rPr>
        <w:t xml:space="preserve">Tujjar as-Sultan</w:t>
      </w:r>
      <w:r>
        <w:t xml:space="preserve"> </w:t>
      </w:r>
      <w:r>
        <w:t xml:space="preserve">(« marchands du Roi »). Ces négociants, souvent issus des communautés juives d’Essaouira (Mogador), bénéficient de monopoles commerciaux en échange de services diplomatiques et financiers.</w:t>
      </w:r>
      <w:r>
        <w:rPr>
          <w:rStyle w:val="FootnoteReference"/>
        </w:rPr>
        <w:footnoteReference w:id="48"/>
      </w:r>
    </w:p>
    <w:p>
      <w:pPr>
        <w:pStyle w:val="BodyText"/>
      </w:pPr>
      <w:r>
        <w:rPr>
          <w:bCs/>
          <w:b/>
        </w:rPr>
        <w:t xml:space="preserve">Familles emblématiques :</w:t>
      </w:r>
    </w:p>
    <w:p>
      <w:pPr>
        <w:numPr>
          <w:ilvl w:val="0"/>
          <w:numId w:val="1002"/>
        </w:numPr>
        <w:pStyle w:val="Compact"/>
      </w:pPr>
      <w:r>
        <w:rPr>
          <w:bCs/>
          <w:b/>
        </w:rPr>
        <w:t xml:space="preserve">Guedalla</w:t>
      </w:r>
      <w:r>
        <w:t xml:space="preserve"> </w:t>
      </w:r>
      <w:r>
        <w:t xml:space="preserve">: intermédiaires avec l’Angleterre</w:t>
      </w:r>
    </w:p>
    <w:p>
      <w:pPr>
        <w:numPr>
          <w:ilvl w:val="0"/>
          <w:numId w:val="1002"/>
        </w:numPr>
        <w:pStyle w:val="Compact"/>
      </w:pPr>
      <w:r>
        <w:rPr>
          <w:bCs/>
          <w:b/>
        </w:rPr>
        <w:t xml:space="preserve">Macnin</w:t>
      </w:r>
      <w:r>
        <w:t xml:space="preserve"> </w:t>
      </w:r>
      <w:r>
        <w:t xml:space="preserve">: négociants spécialisés dans le commerce transsaharien</w:t>
      </w:r>
    </w:p>
    <w:p>
      <w:pPr>
        <w:numPr>
          <w:ilvl w:val="0"/>
          <w:numId w:val="1002"/>
        </w:numPr>
        <w:pStyle w:val="Compact"/>
      </w:pPr>
      <w:r>
        <w:rPr>
          <w:bCs/>
          <w:b/>
        </w:rPr>
        <w:t xml:space="preserve">Corcos</w:t>
      </w:r>
      <w:r>
        <w:t xml:space="preserve"> </w:t>
      </w:r>
      <w:r>
        <w:t xml:space="preserve">: représentants commerciaux auprès des puissances européennes</w:t>
      </w:r>
    </w:p>
    <w:p>
      <w:pPr>
        <w:pStyle w:val="FirstParagraph"/>
      </w:pPr>
      <w:r>
        <w:t xml:space="preserve">Ces marchands ne sont pas de simples commerçants : ils constituent un</w:t>
      </w:r>
      <w:r>
        <w:t xml:space="preserve"> </w:t>
      </w:r>
      <w:r>
        <w:rPr>
          <w:bCs/>
          <w:b/>
        </w:rPr>
        <w:t xml:space="preserve">réseau d’intelligence économique et diplomatique</w:t>
      </w:r>
      <w:r>
        <w:t xml:space="preserve">, informant le Makhzen sur les intentions des puissances étrangères.</w:t>
      </w:r>
    </w:p>
    <w:bookmarkEnd w:id="49"/>
    <w:bookmarkStart w:id="51" w:name="X9b46ec4ec8fe3144989de72d41a7ddd2a19e1d0"/>
    <w:p>
      <w:pPr>
        <w:pStyle w:val="Heading4"/>
      </w:pPr>
      <w:r>
        <w:t xml:space="preserve">La famille Pallache : ambassadeurs juifs marocains</w:t>
      </w:r>
    </w:p>
    <w:p>
      <w:pPr>
        <w:pStyle w:val="FirstParagraph"/>
      </w:pPr>
      <w:r>
        <w:t xml:space="preserve">L’utilisation de diplomates juifs, très marquée sous les Saadiens (famille Pallache aux Pays-Bas), perdure sous les Alaouites. Samuel Pallache et son frère Joseph avaient négocié une alliance avec les Provinces-Unies contre l’Espagne au début du XVIIe siècle, établissant un précédent d’</w:t>
      </w:r>
      <w:r>
        <w:rPr>
          <w:bCs/>
          <w:b/>
        </w:rPr>
        <w:t xml:space="preserve">intermédiation confessionnelle</w:t>
      </w:r>
      <w:r>
        <w:t xml:space="preserve"> </w:t>
      </w:r>
      <w:r>
        <w:t xml:space="preserve">que les Alaouites continuèrent à exploiter.</w:t>
      </w:r>
      <w:r>
        <w:rPr>
          <w:rStyle w:val="FootnoteReference"/>
        </w:rPr>
        <w:footnoteReference w:id="50"/>
      </w:r>
    </w:p>
    <w:p>
      <w:r>
        <w:pict>
          <v:rect style="width:0;height:1.5pt" o:hralign="center" o:hrstd="t" o:hr="t"/>
        </w:pict>
      </w:r>
    </w:p>
    <w:p>
      <w:pPr>
        <w:pStyle w:val="FirstParagraph"/>
      </w:pPr>
      <w:r>
        <w:t xml:space="preserve">[FIGURE_9_SCEAUX_MARCHANDS_ROYAUX]</w:t>
      </w:r>
    </w:p>
    <w:p>
      <w:pPr>
        <w:pStyle w:val="BlockText"/>
      </w:pPr>
      <w:r>
        <w:rPr>
          <w:bCs/>
          <w:b/>
        </w:rPr>
        <w:t xml:space="preserve">Figure 9 :</w:t>
      </w:r>
      <w:r>
        <w:t xml:space="preserve"> </w:t>
      </w:r>
      <w:r>
        <w:t xml:space="preserve">Sceaux, signatures et documents des intermédiaires diplomatiques marocains</w:t>
      </w:r>
    </w:p>
    <w:p>
      <w:pPr>
        <w:pStyle w:val="BlockText"/>
      </w:pPr>
      <w:r>
        <w:rPr>
          <w:bCs/>
          <w:b/>
        </w:rPr>
        <w:t xml:space="preserve">Documents authentiques :</w:t>
      </w:r>
      <w:r>
        <w:t xml:space="preserve"> </w:t>
      </w:r>
      <w:r>
        <w:t xml:space="preserve">-</w:t>
      </w:r>
      <w:r>
        <w:t xml:space="preserve"> </w:t>
      </w:r>
      <w:r>
        <w:rPr>
          <w:iCs/>
          <w:i/>
        </w:rPr>
        <w:t xml:space="preserve">Sceau de la famille Guedalla (intermédiaires britanniques)</w:t>
      </w:r>
      <w:r>
        <w:t xml:space="preserve"> </w:t>
      </w:r>
      <w:r>
        <w:t xml:space="preserve">— Empreinte officielle —</w:t>
      </w:r>
      <w:r>
        <w:t xml:space="preserve"> </w:t>
      </w:r>
      <w:r>
        <w:rPr>
          <w:bCs/>
          <w:b/>
        </w:rPr>
        <w:t xml:space="preserve">Source :</w:t>
      </w:r>
      <w:r>
        <w:t xml:space="preserve"> </w:t>
      </w:r>
      <w:r>
        <w:t xml:space="preserve">Archives Royales (Rabat) ou collections privées (descendants Guedalla).</w:t>
      </w:r>
      <w:r>
        <w:t xml:space="preserve"> </w:t>
      </w:r>
      <w:r>
        <w:t xml:space="preserve">-</w:t>
      </w:r>
      <w:r>
        <w:t xml:space="preserve"> </w:t>
      </w:r>
      <w:r>
        <w:rPr>
          <w:iCs/>
          <w:i/>
        </w:rPr>
        <w:t xml:space="preserve">Dahir accordant statut de « Tujar as-Sultan »</w:t>
      </w:r>
      <w:r>
        <w:t xml:space="preserve"> </w:t>
      </w:r>
      <w:r>
        <w:t xml:space="preserve">— Décret officiel —</w:t>
      </w:r>
      <w:r>
        <w:t xml:space="preserve"> </w:t>
      </w:r>
      <w:r>
        <w:rPr>
          <w:bCs/>
          <w:b/>
        </w:rPr>
        <w:t xml:space="preserve">Source :</w:t>
      </w:r>
      <w:r>
        <w:t xml:space="preserve"> </w:t>
      </w:r>
      <w:r>
        <w:t xml:space="preserve">Archives Royales (Rabat) ; reproductions dans</w:t>
      </w:r>
      <w:r>
        <w:t xml:space="preserve"> </w:t>
      </w:r>
      <w:r>
        <w:rPr>
          <w:iCs/>
          <w:i/>
        </w:rPr>
        <w:t xml:space="preserve">Archives Marocaines</w:t>
      </w:r>
      <w:r>
        <w:t xml:space="preserve">.</w:t>
      </w:r>
      <w:r>
        <w:t xml:space="preserve"> </w:t>
      </w:r>
      <w:r>
        <w:t xml:space="preserve">-</w:t>
      </w:r>
      <w:r>
        <w:t xml:space="preserve"> </w:t>
      </w:r>
      <w:r>
        <w:rPr>
          <w:iCs/>
          <w:i/>
        </w:rPr>
        <w:t xml:space="preserve">Sceaux personnels de Samuel Pallache et descendants</w:t>
      </w:r>
      <w:r>
        <w:t xml:space="preserve"> </w:t>
      </w:r>
      <w:r>
        <w:t xml:space="preserve">— Gravures hébraïques-arabes —</w:t>
      </w:r>
      <w:r>
        <w:t xml:space="preserve"> </w:t>
      </w:r>
      <w:r>
        <w:rPr>
          <w:bCs/>
          <w:b/>
        </w:rPr>
        <w:t xml:space="preserve">Source :</w:t>
      </w:r>
      <w:r>
        <w:t xml:space="preserve"> </w:t>
      </w:r>
      <w:r>
        <w:t xml:space="preserve">KENBIB,</w:t>
      </w:r>
      <w:r>
        <w:t xml:space="preserve"> </w:t>
      </w:r>
      <w:r>
        <w:rPr>
          <w:iCs/>
          <w:i/>
        </w:rPr>
        <w:t xml:space="preserve">Juifs et Musulmans au Maroc</w:t>
      </w:r>
      <w:r>
        <w:t xml:space="preserve"> </w:t>
      </w:r>
      <w:r>
        <w:t xml:space="preserve">; Musée de la Diaspora (Tel Aviv) ; Archives du Maroc.</w:t>
      </w:r>
      <w:r>
        <w:t xml:space="preserve"> </w:t>
      </w:r>
      <w:r>
        <w:t xml:space="preserve">-</w:t>
      </w:r>
      <w:r>
        <w:t xml:space="preserve"> </w:t>
      </w:r>
      <w:r>
        <w:rPr>
          <w:iCs/>
          <w:i/>
        </w:rPr>
        <w:t xml:space="preserve">Lettres de crédit de marchands royaux</w:t>
      </w:r>
      <w:r>
        <w:t xml:space="preserve"> </w:t>
      </w:r>
      <w:r>
        <w:t xml:space="preserve">— Correspondances commerciales —</w:t>
      </w:r>
      <w:r>
        <w:t xml:space="preserve"> </w:t>
      </w:r>
      <w:r>
        <w:rPr>
          <w:bCs/>
          <w:b/>
        </w:rPr>
        <w:t xml:space="preserve">Source :</w:t>
      </w:r>
      <w:r>
        <w:t xml:space="preserve"> </w:t>
      </w:r>
      <w:r>
        <w:t xml:space="preserve">Archives MAE (Paris), Dossiers « Commerce Maroc » ; Archives Royales (Rabat).</w:t>
      </w:r>
      <w:r>
        <w:t xml:space="preserve"> </w:t>
      </w:r>
      <w:r>
        <w:t xml:space="preserve">-</w:t>
      </w:r>
      <w:r>
        <w:t xml:space="preserve"> </w:t>
      </w:r>
      <w:r>
        <w:rPr>
          <w:iCs/>
          <w:i/>
        </w:rPr>
        <w:t xml:space="preserve">Registres de douane d’Essaouira</w:t>
      </w:r>
      <w:r>
        <w:t xml:space="preserve"> </w:t>
      </w:r>
      <w:r>
        <w:t xml:space="preserve">— Noms des « Tujjar » autorisés —</w:t>
      </w:r>
      <w:r>
        <w:t xml:space="preserve"> </w:t>
      </w:r>
      <w:r>
        <w:rPr>
          <w:bCs/>
          <w:b/>
        </w:rPr>
        <w:t xml:space="preserve">Source :</w:t>
      </w:r>
      <w:r>
        <w:t xml:space="preserve"> </w:t>
      </w:r>
      <w:r>
        <w:t xml:space="preserve">Direction des Archives Royales (Rabat) ; Archives Municipales (Essaouira).</w:t>
      </w:r>
    </w:p>
    <w:p>
      <w:pPr>
        <w:pStyle w:val="BlockText"/>
      </w:pPr>
      <w:r>
        <w:rPr>
          <w:bCs/>
          <w:b/>
        </w:rPr>
        <w:t xml:space="preserve">Iconographie et biographies :</w:t>
      </w:r>
      <w:r>
        <w:t xml:space="preserve"> </w:t>
      </w:r>
      <w:r>
        <w:t xml:space="preserve">-</w:t>
      </w:r>
      <w:r>
        <w:t xml:space="preserve"> </w:t>
      </w:r>
      <w:r>
        <w:rPr>
          <w:iCs/>
          <w:i/>
        </w:rPr>
        <w:t xml:space="preserve">Portrait de Samuel Pallache (XVIIe s.)</w:t>
      </w:r>
      <w:r>
        <w:t xml:space="preserve"> </w:t>
      </w:r>
      <w:r>
        <w:t xml:space="preserve">— Gravure de l’époque —</w:t>
      </w:r>
      <w:r>
        <w:t xml:space="preserve"> </w:t>
      </w:r>
      <w:r>
        <w:rPr>
          <w:bCs/>
          <w:b/>
        </w:rPr>
        <w:t xml:space="preserve">Source :</w:t>
      </w:r>
      <w:r>
        <w:t xml:space="preserve"> </w:t>
      </w:r>
      <w:r>
        <w:t xml:space="preserve">Collections juives hollandaises ; reproductions dans KENBIB.</w:t>
      </w:r>
      <w:r>
        <w:t xml:space="preserve"> </w:t>
      </w:r>
      <w:r>
        <w:t xml:space="preserve">-</w:t>
      </w:r>
      <w:r>
        <w:t xml:space="preserve"> </w:t>
      </w:r>
      <w:r>
        <w:rPr>
          <w:iCs/>
          <w:i/>
        </w:rPr>
        <w:t xml:space="preserve">Arbre généalogique des Guedalla et Macnin</w:t>
      </w:r>
      <w:r>
        <w:t xml:space="preserve"> </w:t>
      </w:r>
      <w:r>
        <w:t xml:space="preserve">— Reconstitution généalogique —</w:t>
      </w:r>
      <w:r>
        <w:t xml:space="preserve"> </w:t>
      </w:r>
      <w:r>
        <w:rPr>
          <w:bCs/>
          <w:b/>
        </w:rPr>
        <w:t xml:space="preserve">Source :</w:t>
      </w:r>
      <w:r>
        <w:t xml:space="preserve"> </w:t>
      </w:r>
      <w:r>
        <w:t xml:space="preserve">KENBIB,</w:t>
      </w:r>
      <w:r>
        <w:t xml:space="preserve"> </w:t>
      </w:r>
      <w:r>
        <w:rPr>
          <w:iCs/>
          <w:i/>
        </w:rPr>
        <w:t xml:space="preserve">Juifs et Musulmans</w:t>
      </w:r>
      <w:r>
        <w:t xml:space="preserve">, p. 180-200.</w:t>
      </w:r>
    </w:p>
    <w:p>
      <w:pPr>
        <w:pStyle w:val="BlockText"/>
      </w:pPr>
      <w:r>
        <w:rPr>
          <w:bCs/>
          <w:b/>
        </w:rPr>
        <w:t xml:space="preserve">Fonds complets :</w:t>
      </w:r>
      <w:r>
        <w:t xml:space="preserve"> </w:t>
      </w:r>
      <w:r>
        <w:t xml:space="preserve">-</w:t>
      </w:r>
      <w:r>
        <w:t xml:space="preserve"> </w:t>
      </w:r>
      <w:r>
        <w:rPr>
          <w:bCs/>
          <w:b/>
        </w:rPr>
        <w:t xml:space="preserve">KENBIB,</w:t>
      </w:r>
      <w:r>
        <w:rPr>
          <w:bCs/>
          <w:b/>
        </w:rPr>
        <w:t xml:space="preserve"> </w:t>
      </w:r>
      <w:r>
        <w:rPr>
          <w:iCs/>
          <w:i/>
          <w:bCs/>
          <w:b/>
        </w:rPr>
        <w:t xml:space="preserve">Juifs et Musulmans au Maroc</w:t>
      </w:r>
      <w:r>
        <w:rPr>
          <w:bCs/>
          <w:b/>
        </w:rPr>
        <w:t xml:space="preserve"> </w:t>
      </w:r>
      <w:r>
        <w:rPr>
          <w:bCs/>
          <w:b/>
        </w:rPr>
        <w:t xml:space="preserve">(1989) :</w:t>
      </w:r>
      <w:r>
        <w:t xml:space="preserve"> </w:t>
      </w:r>
      <w:r>
        <w:t xml:space="preserve">Monographie de référence avec fac-similés</w:t>
      </w:r>
      <w:r>
        <w:t xml:space="preserve"> </w:t>
      </w:r>
      <w:r>
        <w:t xml:space="preserve">-</w:t>
      </w:r>
      <w:r>
        <w:t xml:space="preserve"> </w:t>
      </w:r>
      <w:r>
        <w:rPr>
          <w:bCs/>
          <w:b/>
        </w:rPr>
        <w:t xml:space="preserve">Musée du Maroc (Rabat)</w:t>
      </w:r>
      <w:r>
        <w:t xml:space="preserve"> </w:t>
      </w:r>
      <w:r>
        <w:t xml:space="preserve">: Collections de documents juifs marocains</w:t>
      </w:r>
      <w:r>
        <w:t xml:space="preserve"> </w:t>
      </w:r>
      <w:r>
        <w:t xml:space="preserve">-</w:t>
      </w:r>
      <w:r>
        <w:t xml:space="preserve"> </w:t>
      </w:r>
      <w:r>
        <w:rPr>
          <w:bCs/>
          <w:b/>
        </w:rPr>
        <w:t xml:space="preserve">Archives communautaires juives marocaines</w:t>
      </w:r>
      <w:r>
        <w:t xml:space="preserve"> </w:t>
      </w:r>
      <w:r>
        <w:t xml:space="preserve">: Dossiers familiaux Guedalla, Corcos, Macnin</w:t>
      </w:r>
    </w:p>
    <w:p>
      <w:r>
        <w:pict>
          <v:rect style="width:0;height:1.5pt" o:hralign="center" o:hrstd="t" o:hr="t"/>
        </w:pict>
      </w:r>
    </w:p>
    <w:bookmarkEnd w:id="51"/>
    <w:bookmarkStart w:id="52" w:name="les-renégats-elj"/>
    <w:p>
      <w:pPr>
        <w:pStyle w:val="Heading4"/>
      </w:pPr>
      <w:r>
        <w:t xml:space="preserve">Les renégats (</w:t>
      </w:r>
      <w:r>
        <w:rPr>
          <w:iCs/>
          <w:i/>
        </w:rPr>
        <w:t xml:space="preserve">Elj</w:t>
      </w:r>
      <w:r>
        <w:t xml:space="preserve">)</w:t>
      </w:r>
    </w:p>
    <w:p>
      <w:pPr>
        <w:pStyle w:val="FirstParagraph"/>
      </w:pPr>
      <w:r>
        <w:t xml:space="preserve">Européens convertis à l’Islam, les renégats occupent des fonctions clés dans l’appareil diplomatique et militaire. Leur connaissance des langues et des mœurs européennes en fait des intermédiaires précieux, capables de décoder les intentions des puissances chrétiennes.</w:t>
      </w:r>
    </w:p>
    <w:p>
      <w:r>
        <w:pict>
          <v:rect style="width:0;height:1.5pt" o:hralign="center" o:hrstd="t" o:hr="t"/>
        </w:pict>
      </w:r>
    </w:p>
    <w:bookmarkEnd w:id="52"/>
    <w:bookmarkEnd w:id="53"/>
    <w:bookmarkStart w:id="65" w:name="Xe99d900ffa893266d1a29b544d4b00101418f78"/>
    <w:p>
      <w:pPr>
        <w:pStyle w:val="Heading3"/>
      </w:pPr>
      <w:r>
        <w:t xml:space="preserve">2. La diplomatie maritime : course corsaire comme levier de négociation</w:t>
      </w:r>
    </w:p>
    <w:bookmarkStart w:id="55" w:name="X2fab0c4b241dd8edb232640f46f4d36f47a952b"/>
    <w:p>
      <w:pPr>
        <w:pStyle w:val="Heading4"/>
      </w:pPr>
      <w:r>
        <w:t xml:space="preserve">La « République » de Salé et sa nationalisation</w:t>
      </w:r>
    </w:p>
    <w:p>
      <w:pPr>
        <w:pStyle w:val="FirstParagraph"/>
      </w:pPr>
      <w:r>
        <w:t xml:space="preserve">La période post-saadienne (1603-1660) voit l’émergence d’une</w:t>
      </w:r>
      <w:r>
        <w:t xml:space="preserve"> </w:t>
      </w:r>
      <w:r>
        <w:rPr>
          <w:bCs/>
          <w:b/>
        </w:rPr>
        <w:t xml:space="preserve">diplomatie éclatée</w:t>
      </w:r>
      <w:r>
        <w:t xml:space="preserve"> </w:t>
      </w:r>
      <w:r>
        <w:t xml:space="preserve">où les corsaires de Salé (alimentés par les Morisques et Hornacheros expulsés d’Espagne) traitent directement avec l’Europe. Les Alaouites opèrent une</w:t>
      </w:r>
      <w:r>
        <w:t xml:space="preserve"> </w:t>
      </w:r>
      <w:r>
        <w:rPr>
          <w:bCs/>
          <w:b/>
        </w:rPr>
        <w:t xml:space="preserve">rupture brutale</w:t>
      </w:r>
      <w:r>
        <w:t xml:space="preserve"> </w:t>
      </w:r>
      <w:r>
        <w:t xml:space="preserve">en recentralisant la négociation diplomatique :</w:t>
      </w:r>
      <w:r>
        <w:rPr>
          <w:rStyle w:val="FootnoteReference"/>
        </w:rPr>
        <w:footnoteReference w:id="54"/>
      </w:r>
    </w:p>
    <w:p>
      <w:pPr>
        <w:numPr>
          <w:ilvl w:val="0"/>
          <w:numId w:val="1003"/>
        </w:numPr>
        <w:pStyle w:val="Compact"/>
      </w:pPr>
      <w:r>
        <w:t xml:space="preserve">Moulay Ismaïl rachète les navires ou en devient propriétaire à 50%</w:t>
      </w:r>
    </w:p>
    <w:p>
      <w:pPr>
        <w:numPr>
          <w:ilvl w:val="0"/>
          <w:numId w:val="1003"/>
        </w:numPr>
        <w:pStyle w:val="Compact"/>
      </w:pPr>
      <w:r>
        <w:t xml:space="preserve">Il prélève jusqu’à 70% de la valeur des cargaisons capturées</w:t>
      </w:r>
    </w:p>
    <w:p>
      <w:pPr>
        <w:numPr>
          <w:ilvl w:val="0"/>
          <w:numId w:val="1003"/>
        </w:numPr>
        <w:pStyle w:val="Compact"/>
      </w:pPr>
      <w:r>
        <w:t xml:space="preserve">L’activité corsaire est dirigée : ordres précis de laisser passer les navires des nations « amies » et d’attaquer les autres</w:t>
      </w:r>
    </w:p>
    <w:bookmarkEnd w:id="55"/>
    <w:bookmarkStart w:id="59" w:name="Xc712c44ed8058f71d2c3f7b4de3ac36f634de37"/>
    <w:p>
      <w:pPr>
        <w:pStyle w:val="Heading4"/>
      </w:pPr>
      <w:r>
        <w:t xml:space="preserve">La flotte corsaire comme « diplomatie de la contrainte »</w:t>
      </w:r>
    </w:p>
    <w:p>
      <w:pPr>
        <w:pStyle w:val="FirstParagraph"/>
      </w:pPr>
      <w:r>
        <w:t xml:space="preserve">La course (</w:t>
      </w:r>
      <w:r>
        <w:rPr>
          <w:iCs/>
          <w:i/>
        </w:rPr>
        <w:t xml:space="preserve">Jihad maritime</w:t>
      </w:r>
      <w:r>
        <w:t xml:space="preserve">) n’était pas une simple piraterie désordonnée, mais une</w:t>
      </w:r>
      <w:r>
        <w:t xml:space="preserve"> </w:t>
      </w:r>
      <w:r>
        <w:rPr>
          <w:bCs/>
          <w:b/>
        </w:rPr>
        <w:t xml:space="preserve">arme d’État</w:t>
      </w:r>
      <w:r>
        <w:t xml:space="preserve"> </w:t>
      </w:r>
      <w:r>
        <w:t xml:space="preserve">utilisée pour :</w:t>
      </w:r>
    </w:p>
    <w:p>
      <w:pPr>
        <w:numPr>
          <w:ilvl w:val="0"/>
          <w:numId w:val="1004"/>
        </w:numPr>
      </w:pPr>
      <w:r>
        <w:rPr>
          <w:bCs/>
          <w:b/>
        </w:rPr>
        <w:t xml:space="preserve">Forcer la négociation</w:t>
      </w:r>
      <w:r>
        <w:t xml:space="preserve"> </w:t>
      </w:r>
      <w:r>
        <w:t xml:space="preserve">: La capture de navires servait de déclencheur pour amener les puissances récalcitrantes à la table des négociations.</w:t>
      </w:r>
    </w:p>
    <w:p>
      <w:pPr>
        <w:numPr>
          <w:ilvl w:val="0"/>
          <w:numId w:val="1000"/>
        </w:numPr>
        <w:pStyle w:val="BlockText"/>
      </w:pPr>
      <w:r>
        <w:rPr>
          <w:iCs/>
          <w:i/>
        </w:rPr>
        <w:t xml:space="preserve">Exemple (1784) :</w:t>
      </w:r>
      <w:r>
        <w:t xml:space="preserve"> </w:t>
      </w:r>
      <w:r>
        <w:t xml:space="preserve">Le Sultan Sidi Mohammed ben Abdallah ordonne la saisie du navire américain</w:t>
      </w:r>
      <w:r>
        <w:t xml:space="preserve"> </w:t>
      </w:r>
      <w:r>
        <w:rPr>
          <w:iCs/>
          <w:i/>
        </w:rPr>
        <w:t xml:space="preserve">Betsey</w:t>
      </w:r>
      <w:r>
        <w:t xml:space="preserve"> </w:t>
      </w:r>
      <w:r>
        <w:t xml:space="preserve">et le conduit à Tanger. Cet acte n’était pas du pillage, mais une manœuvre calculée pour forcer les États-Unis à sortir de leur silence et à signer un traité de paix.</w:t>
      </w:r>
      <w:r>
        <w:rPr>
          <w:rStyle w:val="FootnoteReference"/>
        </w:rPr>
        <w:footnoteReference w:id="56"/>
      </w:r>
    </w:p>
    <w:p>
      <w:pPr>
        <w:numPr>
          <w:ilvl w:val="0"/>
          <w:numId w:val="1004"/>
        </w:numPr>
      </w:pPr>
      <w:r>
        <w:rPr>
          <w:bCs/>
          <w:b/>
        </w:rPr>
        <w:t xml:space="preserve">Extraire des tributs</w:t>
      </w:r>
      <w:r>
        <w:t xml:space="preserve"> </w:t>
      </w:r>
      <w:r>
        <w:t xml:space="preserve">: Les traités avec le Danemark et la Suède prévoyaient des versements annuels (matériel stratégique ou sommes monétaires) en échange de la sécurité du pavillon.</w:t>
      </w:r>
      <w:r>
        <w:rPr>
          <w:rStyle w:val="FootnoteReference"/>
        </w:rPr>
        <w:footnoteReference w:id="57"/>
      </w:r>
    </w:p>
    <w:p>
      <w:pPr>
        <w:numPr>
          <w:ilvl w:val="0"/>
          <w:numId w:val="1004"/>
        </w:numPr>
      </w:pPr>
      <w:r>
        <w:rPr>
          <w:bCs/>
          <w:b/>
        </w:rPr>
        <w:t xml:space="preserve">Obtenir des fournitures militaires</w:t>
      </w:r>
      <w:r>
        <w:t xml:space="preserve"> </w:t>
      </w:r>
      <w:r>
        <w:t xml:space="preserve">: Les captifs servaient de monnaie d’échange pour obtenir poudre, canons et agrès que les bulles papales interdisaient de vendre aux musulmans.</w:t>
      </w:r>
      <w:r>
        <w:rPr>
          <w:rStyle w:val="FootnoteReference"/>
        </w:rPr>
        <w:footnoteReference w:id="58"/>
      </w:r>
    </w:p>
    <w:bookmarkEnd w:id="59"/>
    <w:bookmarkStart w:id="62" w:name="X88e1766db8174dbd52cba9991ed1b097a706b8e"/>
    <w:p>
      <w:pPr>
        <w:pStyle w:val="Heading4"/>
      </w:pPr>
      <w:r>
        <w:t xml:space="preserve">La « question des captifs » comme instrument diplomatique</w:t>
      </w:r>
    </w:p>
    <w:p>
      <w:pPr>
        <w:pStyle w:val="FirstParagraph"/>
      </w:pPr>
      <w:r>
        <w:t xml:space="preserve">Le « dossier des captifs » a structuré la diplomatie pendant un siècle :</w:t>
      </w:r>
    </w:p>
    <w:tbl>
      <w:tblPr>
        <w:tblStyle w:val="Table"/>
        <w:tblW w:type="pct" w:w="5000"/>
        <w:tblLook w:firstRow="1" w:lastRow="0" w:firstColumn="0" w:lastColumn="0" w:noHBand="0" w:noVBand="0" w:val="0020"/>
        <w:jc w:val="start"/>
      </w:tblPr>
      <w:tblGrid>
        <w:gridCol w:w="1449"/>
        <w:gridCol w:w="6470"/>
      </w:tblGrid>
      <w:tr>
        <w:trPr>
          <w:tblHeader w:val="true"/>
        </w:trPr>
        <w:tc>
          <w:tcPr/>
          <w:p>
            <w:pPr>
              <w:pStyle w:val="Compact"/>
              <w:jc w:val="left"/>
            </w:pPr>
            <w:r>
              <w:t xml:space="preserve">Aspect</w:t>
            </w:r>
          </w:p>
        </w:tc>
        <w:tc>
          <w:tcPr/>
          <w:p>
            <w:pPr>
              <w:pStyle w:val="Compact"/>
              <w:jc w:val="left"/>
            </w:pPr>
            <w:r>
              <w:t xml:space="preserve">Mécanisme</w:t>
            </w:r>
          </w:p>
        </w:tc>
      </w:tr>
      <w:tr>
        <w:tc>
          <w:tcPr/>
          <w:p>
            <w:pPr>
              <w:pStyle w:val="Compact"/>
              <w:jc w:val="left"/>
            </w:pPr>
            <w:r>
              <w:rPr>
                <w:bCs/>
                <w:b/>
              </w:rPr>
              <w:t xml:space="preserve">Rachat</w:t>
            </w:r>
          </w:p>
        </w:tc>
        <w:tc>
          <w:tcPr/>
          <w:p>
            <w:pPr>
              <w:pStyle w:val="Compact"/>
              <w:jc w:val="left"/>
            </w:pPr>
            <w:r>
              <w:t xml:space="preserve">Les prix variaient selon la conjoncture politique (350 piastres pour un Anglais en 1732, 1000 pour un Espagnol ennemi)</w:t>
            </w:r>
            <w:r>
              <w:rPr>
                <w:rStyle w:val="FootnoteReference"/>
              </w:rPr>
              <w:footnoteReference w:id="60"/>
            </w:r>
          </w:p>
        </w:tc>
      </w:tr>
      <w:tr>
        <w:tc>
          <w:tcPr/>
          <w:p>
            <w:pPr>
              <w:pStyle w:val="Compact"/>
              <w:jc w:val="left"/>
            </w:pPr>
            <w:r>
              <w:rPr>
                <w:bCs/>
                <w:b/>
              </w:rPr>
              <w:t xml:space="preserve">Échange « tête pour tête »</w:t>
            </w:r>
          </w:p>
        </w:tc>
        <w:tc>
          <w:tcPr/>
          <w:p>
            <w:pPr>
              <w:pStyle w:val="Compact"/>
              <w:jc w:val="left"/>
            </w:pPr>
            <w:r>
              <w:t xml:space="preserve">Moulay Ismaïl exigeait l’échange parfait (un Marocain contre un Français), bloquant les négociations car la France refusait de libérer les forçats marocains de ses galères</w:t>
            </w:r>
            <w:r>
              <w:rPr>
                <w:rStyle w:val="FootnoteReference"/>
              </w:rPr>
              <w:footnoteReference w:id="61"/>
            </w:r>
          </w:p>
        </w:tc>
      </w:tr>
      <w:tr>
        <w:tc>
          <w:tcPr/>
          <w:p>
            <w:pPr>
              <w:pStyle w:val="Compact"/>
              <w:jc w:val="left"/>
            </w:pPr>
            <w:r>
              <w:rPr>
                <w:bCs/>
                <w:b/>
              </w:rPr>
              <w:t xml:space="preserve">Ordres rédempteurs</w:t>
            </w:r>
          </w:p>
        </w:tc>
        <w:tc>
          <w:tcPr/>
          <w:p>
            <w:pPr>
              <w:pStyle w:val="Compact"/>
              <w:jc w:val="left"/>
            </w:pPr>
            <w:r>
              <w:t xml:space="preserve">Les Pères Trinitaires et Mercédaires agissaient comme diplomates officieux, tissant des liens durables avec la Cour</w:t>
            </w:r>
          </w:p>
        </w:tc>
      </w:tr>
    </w:tbl>
    <w:bookmarkEnd w:id="62"/>
    <w:bookmarkStart w:id="64" w:name="le-déclin-programmé-de-la-course"/>
    <w:p>
      <w:pPr>
        <w:pStyle w:val="Heading4"/>
      </w:pPr>
      <w:r>
        <w:t xml:space="preserve">Le déclin programmé de la course</w:t>
      </w:r>
    </w:p>
    <w:p>
      <w:pPr>
        <w:pStyle w:val="FirstParagraph"/>
      </w:pPr>
      <w:r>
        <w:t xml:space="preserve">Face à la supériorité navale européenne croissante,</w:t>
      </w:r>
      <w:r>
        <w:t xml:space="preserve"> </w:t>
      </w:r>
      <w:r>
        <w:rPr>
          <w:bCs/>
          <w:b/>
        </w:rPr>
        <w:t xml:space="preserve">Moulay Slimane</w:t>
      </w:r>
      <w:r>
        <w:t xml:space="preserve"> </w:t>
      </w:r>
      <w:r>
        <w:t xml:space="preserve">(r. 1792-1822) désarme progressivement la flotte et met fin officiellement à la course en 1817, offrant ses navires à Alger et Tripoli.</w:t>
      </w:r>
      <w:r>
        <w:rPr>
          <w:rStyle w:val="FootnoteReference"/>
        </w:rPr>
        <w:footnoteReference w:id="63"/>
      </w:r>
      <w:r>
        <w:t xml:space="preserve"> </w:t>
      </w:r>
      <w:r>
        <w:t xml:space="preserve">Ce geste marque le passage définitif d’une diplomatie de la contrainte à une diplomatie de la négociation commerciale.</w:t>
      </w:r>
    </w:p>
    <w:p>
      <w:r>
        <w:pict>
          <v:rect style="width:0;height:1.5pt" o:hralign="center" o:hrstd="t" o:hr="t"/>
        </w:pict>
      </w:r>
    </w:p>
    <w:p>
      <w:pPr>
        <w:pStyle w:val="FirstParagraph"/>
      </w:pPr>
      <w:r>
        <w:t xml:space="preserve">[FIGURE_3_DIPLOMATIE_CORSAIRE]</w:t>
      </w:r>
    </w:p>
    <w:p>
      <w:pPr>
        <w:pStyle w:val="BlockText"/>
      </w:pPr>
      <w:r>
        <w:rPr>
          <w:bCs/>
          <w:b/>
        </w:rPr>
        <w:t xml:space="preserve">Figure 3 :</w:t>
      </w:r>
      <w:r>
        <w:t xml:space="preserve"> </w:t>
      </w:r>
      <w:r>
        <w:t xml:space="preserve">La diplomatie maritime et la « paix forcée » par la course corsaire</w:t>
      </w:r>
    </w:p>
    <w:p>
      <w:pPr>
        <w:pStyle w:val="BlockText"/>
      </w:pPr>
      <w:r>
        <w:rPr>
          <w:bCs/>
          <w:b/>
        </w:rPr>
        <w:t xml:space="preserve">Ressources visuelles documentées :</w:t>
      </w:r>
    </w:p>
    <w:p>
      <w:pPr>
        <w:pStyle w:val="BlockText"/>
      </w:pPr>
      <w:r>
        <w:rPr>
          <w:bCs/>
          <w:b/>
        </w:rPr>
        <w:t xml:space="preserve">Gravures de contexte militaire/naval :</w:t>
      </w:r>
      <w:r>
        <w:t xml:space="preserve"> </w:t>
      </w:r>
      <w:r>
        <w:t xml:space="preserve">-</w:t>
      </w:r>
      <w:r>
        <w:t xml:space="preserve"> </w:t>
      </w:r>
      <w:r>
        <w:rPr>
          <w:iCs/>
          <w:i/>
        </w:rPr>
        <w:t xml:space="preserve">« Dessin du siège de la ville de Salé »</w:t>
      </w:r>
      <w:r>
        <w:t xml:space="preserve"> </w:t>
      </w:r>
      <w:r>
        <w:t xml:space="preserve">— Gravure de la campagne de nationalisation (vers 1666-1672) —</w:t>
      </w:r>
      <w:r>
        <w:t xml:space="preserve"> </w:t>
      </w:r>
      <w:r>
        <w:rPr>
          <w:bCs/>
          <w:b/>
        </w:rPr>
        <w:t xml:space="preserve">Source :</w:t>
      </w:r>
      <w:r>
        <w:t xml:space="preserve"> </w:t>
      </w:r>
      <w:r>
        <w:t xml:space="preserve">TAZI,</w:t>
      </w:r>
      <w:r>
        <w:t xml:space="preserve"> </w:t>
      </w:r>
      <w:r>
        <w:rPr>
          <w:iCs/>
          <w:i/>
        </w:rPr>
        <w:t xml:space="preserve">Histoire diplomatique du Maroc</w:t>
      </w:r>
      <w:r>
        <w:t xml:space="preserve">, T.9, Annexes. Montre les fortifications corsaires et les opérations d’annexion.</w:t>
      </w:r>
      <w:r>
        <w:t xml:space="preserve"> </w:t>
      </w:r>
      <w:r>
        <w:t xml:space="preserve">-</w:t>
      </w:r>
      <w:r>
        <w:t xml:space="preserve"> </w:t>
      </w:r>
      <w:r>
        <w:rPr>
          <w:iCs/>
          <w:i/>
        </w:rPr>
        <w:t xml:space="preserve">Portrait de Moulay Ismaïl</w:t>
      </w:r>
      <w:r>
        <w:t xml:space="preserve"> </w:t>
      </w:r>
      <w:r>
        <w:t xml:space="preserve">— Gravure extraite du récit de Germain Mouette (1683) —</w:t>
      </w:r>
      <w:r>
        <w:t xml:space="preserve"> </w:t>
      </w:r>
      <w:r>
        <w:rPr>
          <w:bCs/>
          <w:b/>
        </w:rPr>
        <w:t xml:space="preserve">Source :</w:t>
      </w:r>
      <w:r>
        <w:t xml:space="preserve"> </w:t>
      </w:r>
      <w:r>
        <w:t xml:space="preserve">BRIGNON,</w:t>
      </w:r>
      <w:r>
        <w:t xml:space="preserve"> </w:t>
      </w:r>
      <w:r>
        <w:rPr>
          <w:iCs/>
          <w:i/>
        </w:rPr>
        <w:t xml:space="preserve">Histoire du Maroc</w:t>
      </w:r>
      <w:r>
        <w:t xml:space="preserve">. Costume guerrier, symboles du pouvoir.</w:t>
      </w:r>
      <w:r>
        <w:t xml:space="preserve"> </w:t>
      </w:r>
      <w:r>
        <w:t xml:space="preserve">-</w:t>
      </w:r>
      <w:r>
        <w:t xml:space="preserve"> </w:t>
      </w:r>
      <w:r>
        <w:rPr>
          <w:iCs/>
          <w:i/>
        </w:rPr>
        <w:t xml:space="preserve">Navires corsaires marocains du XVIIe siècle</w:t>
      </w:r>
      <w:r>
        <w:t xml:space="preserve"> </w:t>
      </w:r>
      <w:r>
        <w:t xml:space="preserve">— Gravures de la Bibliothèque Nationale (Fonds français) —</w:t>
      </w:r>
      <w:r>
        <w:t xml:space="preserve"> </w:t>
      </w:r>
      <w:r>
        <w:rPr>
          <w:bCs/>
          <w:b/>
        </w:rPr>
        <w:t xml:space="preserve">Recherche :</w:t>
      </w:r>
      <w:r>
        <w:t xml:space="preserve"> </w:t>
      </w:r>
      <w:r>
        <w:t xml:space="preserve">BnF, Galerie des Collections, « navires Salé ».</w:t>
      </w:r>
      <w:r>
        <w:t xml:space="preserve"> </w:t>
      </w:r>
      <w:r>
        <w:t xml:space="preserve">-</w:t>
      </w:r>
      <w:r>
        <w:t xml:space="preserve"> </w:t>
      </w:r>
      <w:r>
        <w:rPr>
          <w:iCs/>
          <w:i/>
        </w:rPr>
        <w:t xml:space="preserve">Vue de Salé au XVIIe siècle</w:t>
      </w:r>
      <w:r>
        <w:t xml:space="preserve"> </w:t>
      </w:r>
      <w:r>
        <w:t xml:space="preserve">— Gravure d’époque —</w:t>
      </w:r>
      <w:r>
        <w:t xml:space="preserve"> </w:t>
      </w:r>
      <w:r>
        <w:rPr>
          <w:bCs/>
          <w:b/>
        </w:rPr>
        <w:t xml:space="preserve">Source :</w:t>
      </w:r>
      <w:r>
        <w:t xml:space="preserve"> </w:t>
      </w:r>
      <w:r>
        <w:t xml:space="preserve">TAZI, T.9 ou Archives du MAE (Paris), collection de vues portuaires.</w:t>
      </w:r>
    </w:p>
    <w:p>
      <w:pPr>
        <w:pStyle w:val="BlockText"/>
      </w:pPr>
      <w:r>
        <w:rPr>
          <w:bCs/>
          <w:b/>
        </w:rPr>
        <w:t xml:space="preserve">Scènes de réception (protocole et prestige) :</w:t>
      </w:r>
      <w:r>
        <w:t xml:space="preserve"> </w:t>
      </w:r>
      <w:r>
        <w:t xml:space="preserve">-</w:t>
      </w:r>
      <w:r>
        <w:t xml:space="preserve"> </w:t>
      </w:r>
      <w:r>
        <w:rPr>
          <w:iCs/>
          <w:i/>
        </w:rPr>
        <w:t xml:space="preserve">Réception de l’ambassadeur de Grande-Bretagne par Moulay Ismaïl à Meknès</w:t>
      </w:r>
      <w:r>
        <w:t xml:space="preserve"> </w:t>
      </w:r>
      <w:r>
        <w:t xml:space="preserve">— Gravure de cérémonie —</w:t>
      </w:r>
      <w:r>
        <w:t xml:space="preserve"> </w:t>
      </w:r>
      <w:r>
        <w:rPr>
          <w:bCs/>
          <w:b/>
        </w:rPr>
        <w:t xml:space="preserve">Source :</w:t>
      </w:r>
      <w:r>
        <w:t xml:space="preserve"> </w:t>
      </w:r>
      <w:r>
        <w:t xml:space="preserve">TAZI, T.9. Montre le protocole d’audience, le prestige du Sultan.</w:t>
      </w:r>
      <w:r>
        <w:t xml:space="preserve"> </w:t>
      </w:r>
      <w:r>
        <w:t xml:space="preserve">-</w:t>
      </w:r>
      <w:r>
        <w:t xml:space="preserve"> </w:t>
      </w:r>
      <w:r>
        <w:rPr>
          <w:iCs/>
          <w:i/>
        </w:rPr>
        <w:t xml:space="preserve">Audience de Saint-Olon (1693)</w:t>
      </w:r>
      <w:r>
        <w:t xml:space="preserve"> </w:t>
      </w:r>
      <w:r>
        <w:t xml:space="preserve">: « Audience donnée par l’Empereur de Maroc au Sieur de Saint-Olon » — Gravure de Sébastien Leclerc —</w:t>
      </w:r>
      <w:r>
        <w:t xml:space="preserve"> </w:t>
      </w:r>
      <w:r>
        <w:rPr>
          <w:bCs/>
          <w:b/>
        </w:rPr>
        <w:t xml:space="preserve">Source :</w:t>
      </w:r>
      <w:r>
        <w:t xml:space="preserve"> </w:t>
      </w:r>
      <w:r>
        <w:t xml:space="preserve">BRIGNON + TAZI, T.9 (reproduction modernisée).</w:t>
      </w:r>
      <w:r>
        <w:t xml:space="preserve"> </w:t>
      </w:r>
      <w:r>
        <w:rPr>
          <w:bCs/>
          <w:b/>
        </w:rPr>
        <w:t xml:space="preserve">Original :</w:t>
      </w:r>
      <w:r>
        <w:t xml:space="preserve"> </w:t>
      </w:r>
      <w:r>
        <w:t xml:space="preserve">Bibliothèque Nationale (Fonds de Réserve).</w:t>
      </w:r>
      <w:r>
        <w:t xml:space="preserve"> </w:t>
      </w:r>
      <w:r>
        <w:t xml:space="preserve">-</w:t>
      </w:r>
      <w:r>
        <w:t xml:space="preserve"> </w:t>
      </w:r>
      <w:r>
        <w:rPr>
          <w:iCs/>
          <w:i/>
        </w:rPr>
        <w:t xml:space="preserve">Réception d’une mission danoise par Sidi Mohammed ben Abdallah</w:t>
      </w:r>
      <w:r>
        <w:t xml:space="preserve"> </w:t>
      </w:r>
      <w:r>
        <w:t xml:space="preserve">— Gravure du XVIIIe s. —</w:t>
      </w:r>
      <w:r>
        <w:t xml:space="preserve"> </w:t>
      </w:r>
      <w:r>
        <w:rPr>
          <w:bCs/>
          <w:b/>
        </w:rPr>
        <w:t xml:space="preserve">Source :</w:t>
      </w:r>
      <w:r>
        <w:t xml:space="preserve"> </w:t>
      </w:r>
      <w:r>
        <w:t xml:space="preserve">TAZI, T.9. Échange de cadeaux, diplomatie commerciale.</w:t>
      </w:r>
    </w:p>
    <w:p>
      <w:pPr>
        <w:pStyle w:val="BlockText"/>
      </w:pPr>
      <w:r>
        <w:rPr>
          <w:bCs/>
          <w:b/>
        </w:rPr>
        <w:t xml:space="preserve">Fonds archivistiques :</w:t>
      </w:r>
      <w:r>
        <w:t xml:space="preserve"> </w:t>
      </w:r>
      <w:r>
        <w:t xml:space="preserve">-</w:t>
      </w:r>
      <w:r>
        <w:t xml:space="preserve"> </w:t>
      </w:r>
      <w:r>
        <w:rPr>
          <w:bCs/>
          <w:b/>
        </w:rPr>
        <w:t xml:space="preserve">BnF (Paris), Galerie des Collections :</w:t>
      </w:r>
      <w:r>
        <w:t xml:space="preserve"> </w:t>
      </w:r>
      <w:r>
        <w:t xml:space="preserve">Gravures de navires, portraits de sultans (Fonds Thoisy, Ms. Fr. 24.000-24.500)</w:t>
      </w:r>
      <w:r>
        <w:t xml:space="preserve"> </w:t>
      </w:r>
      <w:r>
        <w:t xml:space="preserve">-</w:t>
      </w:r>
      <w:r>
        <w:t xml:space="preserve"> </w:t>
      </w:r>
      <w:r>
        <w:rPr>
          <w:bCs/>
          <w:b/>
        </w:rPr>
        <w:t xml:space="preserve">TAZI, T.9 Annexes :</w:t>
      </w:r>
      <w:r>
        <w:t xml:space="preserve"> </w:t>
      </w:r>
      <w:r>
        <w:t xml:space="preserve">40+ gravures de scènes diplomatiques</w:t>
      </w:r>
      <w:r>
        <w:t xml:space="preserve"> </w:t>
      </w:r>
      <w:r>
        <w:t xml:space="preserve">-</w:t>
      </w:r>
      <w:r>
        <w:t xml:space="preserve"> </w:t>
      </w:r>
      <w:r>
        <w:rPr>
          <w:bCs/>
          <w:b/>
        </w:rPr>
        <w:t xml:space="preserve">Archives MAE (Paris), Collection de cartes et plans :</w:t>
      </w:r>
      <w:r>
        <w:t xml:space="preserve"> </w:t>
      </w:r>
      <w:r>
        <w:t xml:space="preserve">Vues de ports marocains</w:t>
      </w:r>
    </w:p>
    <w:p>
      <w:pPr>
        <w:pStyle w:val="BlockText"/>
      </w:pPr>
      <w:r>
        <w:rPr>
          <w:bCs/>
          <w:b/>
        </w:rPr>
        <w:t xml:space="preserve">Ressources numériques :</w:t>
      </w:r>
      <w:r>
        <w:t xml:space="preserve"> </w:t>
      </w:r>
      <w:r>
        <w:t xml:space="preserve">- Gallica (bnf.fr) : Rechercher « Saint-Olon Maroc 1693 » ou « Moulay Ismaïl gravure »</w:t>
      </w:r>
      <w:r>
        <w:t xml:space="preserve"> </w:t>
      </w:r>
      <w:r>
        <w:t xml:space="preserve">- Museum Boijmans Van Beuningen (Rotterdam) : Gravures hollandaises des corsaires marocains</w:t>
      </w:r>
    </w:p>
    <w:p>
      <w:r>
        <w:pict>
          <v:rect style="width:0;height:1.5pt" o:hralign="center" o:hrstd="t" o:hr="t"/>
        </w:pict>
      </w:r>
    </w:p>
    <w:bookmarkEnd w:id="64"/>
    <w:bookmarkEnd w:id="65"/>
    <w:bookmarkStart w:id="74" w:name="Xfc646669bf4e866a60877998d971dea916c7121"/>
    <w:p>
      <w:pPr>
        <w:pStyle w:val="Heading3"/>
      </w:pPr>
      <w:r>
        <w:t xml:space="preserve">3. L’âge d’or contractuel : Sidi Mohammed ben Abdallah (1757-1790)</w:t>
      </w:r>
    </w:p>
    <w:p>
      <w:pPr>
        <w:pStyle w:val="FirstParagraph"/>
      </w:pPr>
      <w:r>
        <w:t xml:space="preserve">Le règne de Sidi Mohammed ben Abdallah constitue une</w:t>
      </w:r>
      <w:r>
        <w:t xml:space="preserve"> </w:t>
      </w:r>
      <w:r>
        <w:rPr>
          <w:bCs/>
          <w:b/>
        </w:rPr>
        <w:t xml:space="preserve">rupture épistémologique</w:t>
      </w:r>
      <w:r>
        <w:t xml:space="preserve"> </w:t>
      </w:r>
      <w:r>
        <w:t xml:space="preserve">dans la conduite extérieure du Maroc. Ce souverain visionnaire comprend que l’ère de la course corsaire touche à sa fin et initie une</w:t>
      </w:r>
      <w:r>
        <w:t xml:space="preserve"> </w:t>
      </w:r>
      <w:r>
        <w:rPr>
          <w:bCs/>
          <w:b/>
        </w:rPr>
        <w:t xml:space="preserve">politique d’ouverture commerciale sans précédent</w:t>
      </w:r>
      <w:r>
        <w:t xml:space="preserve">.</w:t>
      </w:r>
    </w:p>
    <w:bookmarkStart w:id="67" w:name="Xd8bbeeb302f1c9c410e614c9af5428898b8f407"/>
    <w:p>
      <w:pPr>
        <w:pStyle w:val="Heading4"/>
      </w:pPr>
      <w:r>
        <w:t xml:space="preserve">Essaouira (Mogador) : laboratoire de négociation multiculturelle</w:t>
      </w:r>
    </w:p>
    <w:p>
      <w:pPr>
        <w:pStyle w:val="FirstParagraph"/>
      </w:pPr>
      <w:r>
        <w:t xml:space="preserve">En 1765, le Sultan fonde le port d’Essaouira (« la bien dessinée »), conçu comme un</w:t>
      </w:r>
      <w:r>
        <w:t xml:space="preserve"> </w:t>
      </w:r>
      <w:r>
        <w:rPr>
          <w:bCs/>
          <w:b/>
        </w:rPr>
        <w:t xml:space="preserve">port franc diplomatique</w:t>
      </w:r>
      <w:r>
        <w:t xml:space="preserve"> </w:t>
      </w:r>
      <w:r>
        <w:t xml:space="preserve">:</w:t>
      </w:r>
    </w:p>
    <w:tbl>
      <w:tblPr>
        <w:tblStyle w:val="Table"/>
        <w:tblW w:type="pct" w:w="5000"/>
        <w:tblLook w:firstRow="1" w:lastRow="0" w:firstColumn="0" w:lastColumn="0" w:noHBand="0" w:noVBand="0" w:val="0020"/>
        <w:jc w:val="start"/>
      </w:tblPr>
      <w:tblGrid>
        <w:gridCol w:w="2356"/>
        <w:gridCol w:w="5563"/>
      </w:tblGrid>
      <w:tr>
        <w:trPr>
          <w:tblHeader w:val="true"/>
        </w:trPr>
        <w:tc>
          <w:tcPr/>
          <w:p>
            <w:pPr>
              <w:pStyle w:val="Compact"/>
              <w:jc w:val="left"/>
            </w:pPr>
            <w:r>
              <w:t xml:space="preserve">Fonction</w:t>
            </w:r>
          </w:p>
        </w:tc>
        <w:tc>
          <w:tcPr/>
          <w:p>
            <w:pPr>
              <w:pStyle w:val="Compact"/>
              <w:jc w:val="left"/>
            </w:pPr>
            <w:r>
              <w:t xml:space="preserve">Objectif stratégique</w:t>
            </w:r>
          </w:p>
        </w:tc>
      </w:tr>
      <w:tr>
        <w:tc>
          <w:tcPr/>
          <w:p>
            <w:pPr>
              <w:pStyle w:val="Compact"/>
              <w:jc w:val="left"/>
            </w:pPr>
            <w:r>
              <w:rPr>
                <w:bCs/>
                <w:b/>
              </w:rPr>
              <w:t xml:space="preserve">Centralisation commerciale</w:t>
            </w:r>
          </w:p>
        </w:tc>
        <w:tc>
          <w:tcPr/>
          <w:p>
            <w:pPr>
              <w:pStyle w:val="Compact"/>
              <w:jc w:val="left"/>
            </w:pPr>
            <w:r>
              <w:t xml:space="preserve">Concentrer le commerce européen pour mieux contrôler les recettes douanières</w:t>
            </w:r>
          </w:p>
        </w:tc>
      </w:tr>
      <w:tr>
        <w:tc>
          <w:tcPr/>
          <w:p>
            <w:pPr>
              <w:pStyle w:val="Compact"/>
              <w:jc w:val="left"/>
            </w:pPr>
            <w:r>
              <w:rPr>
                <w:bCs/>
                <w:b/>
              </w:rPr>
              <w:t xml:space="preserve">Vitrine internationale</w:t>
            </w:r>
          </w:p>
        </w:tc>
        <w:tc>
          <w:tcPr/>
          <w:p>
            <w:pPr>
              <w:pStyle w:val="Compact"/>
              <w:jc w:val="left"/>
            </w:pPr>
            <w:r>
              <w:t xml:space="preserve">Démontrer la capacité du Maroc à offrir un environnement sécurisé aux étrangers</w:t>
            </w:r>
          </w:p>
        </w:tc>
      </w:tr>
      <w:tr>
        <w:tc>
          <w:tcPr/>
          <w:p>
            <w:pPr>
              <w:pStyle w:val="Compact"/>
              <w:jc w:val="left"/>
            </w:pPr>
            <w:r>
              <w:rPr>
                <w:bCs/>
                <w:b/>
              </w:rPr>
              <w:t xml:space="preserve">Laboratoire multiculturel</w:t>
            </w:r>
          </w:p>
        </w:tc>
        <w:tc>
          <w:tcPr/>
          <w:p>
            <w:pPr>
              <w:pStyle w:val="Compact"/>
              <w:jc w:val="left"/>
            </w:pPr>
            <w:r>
              <w:t xml:space="preserve">Faire cohabiter communautés juive, musulmane et européenne sous l’égide du Makhzen</w:t>
            </w:r>
          </w:p>
        </w:tc>
      </w:tr>
    </w:tbl>
    <w:p>
      <w:pPr>
        <w:pStyle w:val="BodyText"/>
      </w:pPr>
      <w:r>
        <w:t xml:space="preserve">Le Sultan ferme d’autres ports (Agadir, Larache) pour forcer le passage par Essaouira, où les droits de douane sont abaissés à 2,5% pour attirer le commerce.</w:t>
      </w:r>
      <w:r>
        <w:rPr>
          <w:rStyle w:val="FootnoteReference"/>
        </w:rPr>
        <w:footnoteReference w:id="66"/>
      </w:r>
    </w:p>
    <w:bookmarkEnd w:id="67"/>
    <w:bookmarkStart w:id="69" w:name="la-politique-des-traités-commerciaux"/>
    <w:p>
      <w:pPr>
        <w:pStyle w:val="Heading4"/>
      </w:pPr>
      <w:r>
        <w:t xml:space="preserve">La politique des traités commerciaux</w:t>
      </w:r>
    </w:p>
    <w:p>
      <w:pPr>
        <w:pStyle w:val="FirstParagraph"/>
      </w:pPr>
      <w:r>
        <w:t xml:space="preserve">Sidi Mohammed ben Abdallah systématise le recours aux traités bilatéraux :</w:t>
      </w:r>
    </w:p>
    <w:tbl>
      <w:tblPr>
        <w:tblStyle w:val="Table"/>
        <w:tblW w:type="pct" w:w="5000"/>
        <w:tblLook w:firstRow="1" w:lastRow="0" w:firstColumn="0" w:lastColumn="0" w:noHBand="0" w:noVBand="0" w:val="0020"/>
        <w:jc w:val="start"/>
      </w:tblPr>
      <w:tblGrid>
        <w:gridCol w:w="484"/>
        <w:gridCol w:w="1212"/>
        <w:gridCol w:w="6222"/>
      </w:tblGrid>
      <w:tr>
        <w:trPr>
          <w:tblHeader w:val="true"/>
        </w:trPr>
        <w:tc>
          <w:tcPr/>
          <w:p>
            <w:pPr>
              <w:pStyle w:val="Compact"/>
              <w:jc w:val="left"/>
            </w:pPr>
            <w:r>
              <w:t xml:space="preserve">Année</w:t>
            </w:r>
          </w:p>
        </w:tc>
        <w:tc>
          <w:tcPr/>
          <w:p>
            <w:pPr>
              <w:pStyle w:val="Compact"/>
              <w:jc w:val="left"/>
            </w:pPr>
            <w:r>
              <w:t xml:space="preserve">Partenaire</w:t>
            </w:r>
          </w:p>
        </w:tc>
        <w:tc>
          <w:tcPr/>
          <w:p>
            <w:pPr>
              <w:pStyle w:val="Compact"/>
              <w:jc w:val="left"/>
            </w:pPr>
            <w:r>
              <w:t xml:space="preserve">Contenu principal</w:t>
            </w:r>
          </w:p>
        </w:tc>
      </w:tr>
      <w:tr>
        <w:tc>
          <w:tcPr/>
          <w:p>
            <w:pPr>
              <w:pStyle w:val="Compact"/>
              <w:jc w:val="left"/>
            </w:pPr>
            <w:r>
              <w:t xml:space="preserve">1753</w:t>
            </w:r>
          </w:p>
        </w:tc>
        <w:tc>
          <w:tcPr/>
          <w:p>
            <w:pPr>
              <w:pStyle w:val="Compact"/>
              <w:jc w:val="left"/>
            </w:pPr>
            <w:r>
              <w:t xml:space="preserve">Danemark</w:t>
            </w:r>
          </w:p>
        </w:tc>
        <w:tc>
          <w:tcPr/>
          <w:p>
            <w:pPr>
              <w:pStyle w:val="Compact"/>
              <w:jc w:val="left"/>
            </w:pPr>
            <w:r>
              <w:t xml:space="preserve">Paix et sécurité (20 articles), tribut annuel</w:t>
            </w:r>
          </w:p>
        </w:tc>
      </w:tr>
      <w:tr>
        <w:tc>
          <w:tcPr/>
          <w:p>
            <w:pPr>
              <w:pStyle w:val="Compact"/>
              <w:jc w:val="left"/>
            </w:pPr>
            <w:r>
              <w:t xml:space="preserve">1760</w:t>
            </w:r>
          </w:p>
        </w:tc>
        <w:tc>
          <w:tcPr/>
          <w:p>
            <w:pPr>
              <w:pStyle w:val="Compact"/>
              <w:jc w:val="left"/>
            </w:pPr>
            <w:r>
              <w:t xml:space="preserve">Venise</w:t>
            </w:r>
          </w:p>
        </w:tc>
        <w:tc>
          <w:tcPr/>
          <w:p>
            <w:pPr>
              <w:pStyle w:val="Compact"/>
              <w:jc w:val="left"/>
            </w:pPr>
            <w:r>
              <w:t xml:space="preserve">Commerce et navigation</w:t>
            </w:r>
          </w:p>
        </w:tc>
      </w:tr>
      <w:tr>
        <w:tc>
          <w:tcPr/>
          <w:p>
            <w:pPr>
              <w:pStyle w:val="Compact"/>
              <w:jc w:val="left"/>
            </w:pPr>
            <w:r>
              <w:t xml:space="preserve">1763</w:t>
            </w:r>
          </w:p>
        </w:tc>
        <w:tc>
          <w:tcPr/>
          <w:p>
            <w:pPr>
              <w:pStyle w:val="Compact"/>
              <w:jc w:val="left"/>
            </w:pPr>
            <w:r>
              <w:t xml:space="preserve">Suède</w:t>
            </w:r>
          </w:p>
        </w:tc>
        <w:tc>
          <w:tcPr/>
          <w:p>
            <w:pPr>
              <w:pStyle w:val="Compact"/>
              <w:jc w:val="left"/>
            </w:pPr>
            <w:r>
              <w:t xml:space="preserve">Paix et commerce</w:t>
            </w:r>
          </w:p>
        </w:tc>
      </w:tr>
      <w:tr>
        <w:tc>
          <w:tcPr/>
          <w:p>
            <w:pPr>
              <w:pStyle w:val="Compact"/>
              <w:jc w:val="left"/>
            </w:pPr>
            <w:r>
              <w:t xml:space="preserve">1767</w:t>
            </w:r>
          </w:p>
        </w:tc>
        <w:tc>
          <w:tcPr/>
          <w:p>
            <w:pPr>
              <w:pStyle w:val="Compact"/>
              <w:jc w:val="left"/>
            </w:pPr>
            <w:r>
              <w:t xml:space="preserve">France</w:t>
            </w:r>
          </w:p>
        </w:tc>
        <w:tc>
          <w:tcPr/>
          <w:p>
            <w:pPr>
              <w:pStyle w:val="Compact"/>
              <w:jc w:val="left"/>
            </w:pPr>
            <w:r>
              <w:t xml:space="preserve">Paix perpétuelle, droits consulaires, clause de la nation la plus favorisée</w:t>
            </w:r>
          </w:p>
        </w:tc>
      </w:tr>
      <w:tr>
        <w:tc>
          <w:tcPr/>
          <w:p>
            <w:pPr>
              <w:pStyle w:val="Compact"/>
              <w:jc w:val="left"/>
            </w:pPr>
            <w:r>
              <w:t xml:space="preserve">1767</w:t>
            </w:r>
          </w:p>
        </w:tc>
        <w:tc>
          <w:tcPr/>
          <w:p>
            <w:pPr>
              <w:pStyle w:val="Compact"/>
              <w:jc w:val="left"/>
            </w:pPr>
            <w:r>
              <w:t xml:space="preserve">Espagne</w:t>
            </w:r>
          </w:p>
        </w:tc>
        <w:tc>
          <w:tcPr/>
          <w:p>
            <w:pPr>
              <w:pStyle w:val="Compact"/>
              <w:jc w:val="left"/>
            </w:pPr>
            <w:r>
              <w:t xml:space="preserve">Paix et délimitation des présides</w:t>
            </w:r>
          </w:p>
        </w:tc>
      </w:tr>
      <w:tr>
        <w:tc>
          <w:tcPr/>
          <w:p>
            <w:pPr>
              <w:pStyle w:val="Compact"/>
              <w:jc w:val="left"/>
            </w:pPr>
            <w:r>
              <w:t xml:space="preserve">1778</w:t>
            </w:r>
          </w:p>
        </w:tc>
        <w:tc>
          <w:tcPr/>
          <w:p>
            <w:pPr>
              <w:pStyle w:val="Compact"/>
              <w:jc w:val="left"/>
            </w:pPr>
            <w:r>
              <w:t xml:space="preserve">Provinces-Unies</w:t>
            </w:r>
          </w:p>
        </w:tc>
        <w:tc>
          <w:tcPr/>
          <w:p>
            <w:pPr>
              <w:pStyle w:val="Compact"/>
              <w:jc w:val="left"/>
            </w:pPr>
            <w:r>
              <w:t xml:space="preserve">Commerce et établissement de consuls</w:t>
            </w:r>
          </w:p>
        </w:tc>
      </w:tr>
      <w:tr>
        <w:tc>
          <w:tcPr/>
          <w:p>
            <w:pPr>
              <w:pStyle w:val="Compact"/>
              <w:jc w:val="left"/>
            </w:pPr>
            <w:r>
              <w:t xml:space="preserve">1786</w:t>
            </w:r>
          </w:p>
        </w:tc>
        <w:tc>
          <w:tcPr/>
          <w:p>
            <w:pPr>
              <w:pStyle w:val="Compact"/>
              <w:jc w:val="left"/>
            </w:pPr>
            <w:r>
              <w:t xml:space="preserve">États-Unis</w:t>
            </w:r>
          </w:p>
        </w:tc>
        <w:tc>
          <w:tcPr/>
          <w:p>
            <w:pPr>
              <w:pStyle w:val="Compact"/>
              <w:jc w:val="left"/>
            </w:pPr>
            <w:r>
              <w:t xml:space="preserve">Paix et amitié perpétuelles</w:t>
            </w:r>
          </w:p>
        </w:tc>
      </w:tr>
    </w:tbl>
    <w:p>
      <w:pPr>
        <w:pStyle w:val="BodyText"/>
      </w:pPr>
      <w:r>
        <w:t xml:space="preserve">Ces traités</w:t>
      </w:r>
      <w:r>
        <w:t xml:space="preserve"> </w:t>
      </w:r>
      <w:r>
        <w:rPr>
          <w:bCs/>
          <w:b/>
        </w:rPr>
        <w:t xml:space="preserve">formalisent juridiquement l’espace maritime</w:t>
      </w:r>
      <w:r>
        <w:t xml:space="preserve"> </w:t>
      </w:r>
      <w:r>
        <w:t xml:space="preserve">: droits de douane, sécurité des biens et personnes, représentations consulaires permanentes.</w:t>
      </w:r>
      <w:r>
        <w:rPr>
          <w:rStyle w:val="FootnoteReference"/>
        </w:rPr>
        <w:footnoteReference w:id="68"/>
      </w:r>
    </w:p>
    <w:bookmarkEnd w:id="69"/>
    <w:bookmarkStart w:id="71" w:name="X829d9eac1ca21688ce630125b1923339275af76"/>
    <w:p>
      <w:pPr>
        <w:pStyle w:val="Heading4"/>
      </w:pPr>
      <w:r>
        <w:t xml:space="preserve">Les traités avec les puissances « non coloniales »</w:t>
      </w:r>
    </w:p>
    <w:p>
      <w:pPr>
        <w:pStyle w:val="FirstParagraph"/>
      </w:pPr>
      <w:r>
        <w:rPr>
          <w:bCs/>
          <w:b/>
        </w:rPr>
        <w:t xml:space="preserve">Stratégie de diversification :</w:t>
      </w:r>
      <w:r>
        <w:t xml:space="preserve"> </w:t>
      </w:r>
      <w:r>
        <w:t xml:space="preserve">Le Sultan utilise habilement la rivalité entre les puissances pour éviter toute hégémonie. En traitant avec des nations sans visées coloniales directes (Danemark, Suède, Provinces-Unies, États-Unis), il pose les jalons d’une</w:t>
      </w:r>
      <w:r>
        <w:t xml:space="preserve"> </w:t>
      </w:r>
      <w:r>
        <w:rPr>
          <w:bCs/>
          <w:b/>
        </w:rPr>
        <w:t xml:space="preserve">diplomatie d’équilibre</w:t>
      </w:r>
      <w:r>
        <w:t xml:space="preserve">, préfigurant le non-alignement.</w:t>
      </w:r>
      <w:r>
        <w:rPr>
          <w:rStyle w:val="FootnoteReference"/>
        </w:rPr>
        <w:footnoteReference w:id="70"/>
      </w:r>
    </w:p>
    <w:p>
      <w:pPr>
        <w:pStyle w:val="BlockText"/>
      </w:pPr>
      <w:r>
        <w:t xml:space="preserve">Le traité avec les États-Unis (1786) illustre cette logique : en reconnaissant une puissance émergente hostile à la Grande-Bretagne, le Maroc affirme son autonomie décisionnelle face aux puissances hégémoniques européennes.</w:t>
      </w:r>
    </w:p>
    <w:bookmarkEnd w:id="71"/>
    <w:bookmarkStart w:id="73" w:name="X67760c26c180ae6262ad0a37831d6f3b023060c"/>
    <w:p>
      <w:pPr>
        <w:pStyle w:val="Heading4"/>
      </w:pPr>
      <w:r>
        <w:t xml:space="preserve">La reconnaissance des États-Unis (1777-1786) : un acte de souveraineté majeure</w:t>
      </w:r>
    </w:p>
    <w:tbl>
      <w:tblPr>
        <w:tblStyle w:val="Table"/>
        <w:tblW w:type="pct" w:w="5000"/>
        <w:tblLook w:firstRow="1" w:lastRow="0" w:firstColumn="0" w:lastColumn="0" w:noHBand="0" w:noVBand="0" w:val="0020"/>
        <w:jc w:val="start"/>
      </w:tblPr>
      <w:tblGrid>
        <w:gridCol w:w="2217"/>
        <w:gridCol w:w="1140"/>
        <w:gridCol w:w="4561"/>
      </w:tblGrid>
      <w:tr>
        <w:trPr>
          <w:tblHeader w:val="true"/>
        </w:trPr>
        <w:tc>
          <w:tcPr/>
          <w:p>
            <w:pPr>
              <w:pStyle w:val="Compact"/>
              <w:jc w:val="left"/>
            </w:pPr>
            <w:r>
              <w:t xml:space="preserve">Étape</w:t>
            </w:r>
          </w:p>
        </w:tc>
        <w:tc>
          <w:tcPr/>
          <w:p>
            <w:pPr>
              <w:pStyle w:val="Compact"/>
              <w:jc w:val="left"/>
            </w:pPr>
            <w:r>
              <w:t xml:space="preserve">Date</w:t>
            </w:r>
          </w:p>
        </w:tc>
        <w:tc>
          <w:tcPr/>
          <w:p>
            <w:pPr>
              <w:pStyle w:val="Compact"/>
              <w:jc w:val="left"/>
            </w:pPr>
            <w:r>
              <w:t xml:space="preserve">Signification</w:t>
            </w:r>
          </w:p>
        </w:tc>
      </w:tr>
      <w:tr>
        <w:tc>
          <w:tcPr/>
          <w:p>
            <w:pPr>
              <w:pStyle w:val="Compact"/>
              <w:jc w:val="left"/>
            </w:pPr>
            <w:r>
              <w:rPr>
                <w:bCs/>
                <w:b/>
              </w:rPr>
              <w:t xml:space="preserve">Déclaration unilatérale</w:t>
            </w:r>
          </w:p>
        </w:tc>
        <w:tc>
          <w:tcPr/>
          <w:p>
            <w:pPr>
              <w:pStyle w:val="Compact"/>
              <w:jc w:val="left"/>
            </w:pPr>
            <w:r>
              <w:t xml:space="preserve">20 décembre 1777</w:t>
            </w:r>
          </w:p>
        </w:tc>
        <w:tc>
          <w:tcPr/>
          <w:p>
            <w:pPr>
              <w:pStyle w:val="Compact"/>
              <w:jc w:val="left"/>
            </w:pPr>
            <w:r>
              <w:t xml:space="preserve">Ouverture des ports aux navires américains = reconnaissance</w:t>
            </w:r>
            <w:r>
              <w:rPr>
                <w:iCs/>
                <w:i/>
              </w:rPr>
              <w:t xml:space="preserve">de facto</w:t>
            </w:r>
          </w:p>
        </w:tc>
      </w:tr>
      <w:tr>
        <w:tc>
          <w:tcPr/>
          <w:p>
            <w:pPr>
              <w:pStyle w:val="Compact"/>
              <w:jc w:val="left"/>
            </w:pPr>
            <w:r>
              <w:rPr>
                <w:bCs/>
                <w:b/>
              </w:rPr>
              <w:t xml:space="preserve">Traité de Marrakech</w:t>
            </w:r>
          </w:p>
        </w:tc>
        <w:tc>
          <w:tcPr/>
          <w:p>
            <w:pPr>
              <w:pStyle w:val="Compact"/>
              <w:jc w:val="left"/>
            </w:pPr>
            <w:r>
              <w:t xml:space="preserve">1786</w:t>
            </w:r>
          </w:p>
        </w:tc>
        <w:tc>
          <w:tcPr/>
          <w:p>
            <w:pPr>
              <w:pStyle w:val="Compact"/>
              <w:jc w:val="left"/>
            </w:pPr>
            <w:r>
              <w:t xml:space="preserve">Paix et amitié perpétuelles = reconnaissance</w:t>
            </w:r>
            <w:r>
              <w:rPr>
                <w:iCs/>
                <w:i/>
              </w:rPr>
              <w:t xml:space="preserve">de jure</w:t>
            </w:r>
          </w:p>
        </w:tc>
      </w:tr>
      <w:tr>
        <w:tc>
          <w:tcPr/>
          <w:p>
            <w:pPr>
              <w:pStyle w:val="Compact"/>
              <w:jc w:val="left"/>
            </w:pPr>
            <w:r>
              <w:rPr>
                <w:bCs/>
                <w:b/>
              </w:rPr>
              <w:t xml:space="preserve">Caractère perpétuel</w:t>
            </w:r>
          </w:p>
        </w:tc>
        <w:tc>
          <w:tcPr/>
          <w:p>
            <w:pPr>
              <w:pStyle w:val="Compact"/>
              <w:jc w:val="left"/>
            </w:pPr>
            <w:r>
              <w:t xml:space="preserve">1786 - aujourd’hui</w:t>
            </w:r>
          </w:p>
        </w:tc>
        <w:tc>
          <w:tcPr/>
          <w:p>
            <w:pPr>
              <w:pStyle w:val="Compact"/>
              <w:jc w:val="left"/>
            </w:pPr>
            <w:r>
              <w:t xml:space="preserve">Plus long traité ininterrompu de l’histoire américaine</w:t>
            </w:r>
          </w:p>
        </w:tc>
      </w:tr>
    </w:tbl>
    <w:p>
      <w:pPr>
        <w:pStyle w:val="BodyText"/>
      </w:pPr>
      <w:r>
        <w:rPr>
          <w:bCs/>
          <w:b/>
        </w:rPr>
        <w:t xml:space="preserve">Portée juridique :</w:t>
      </w:r>
      <w:r>
        <w:t xml:space="preserve"> </w:t>
      </w:r>
      <w:r>
        <w:t xml:space="preserve">Ce traité consacre une stricte</w:t>
      </w:r>
      <w:r>
        <w:t xml:space="preserve"> </w:t>
      </w:r>
      <w:r>
        <w:rPr>
          <w:bCs/>
          <w:b/>
        </w:rPr>
        <w:t xml:space="preserve">égalité souveraine</w:t>
      </w:r>
      <w:r>
        <w:t xml:space="preserve"> </w:t>
      </w:r>
      <w:r>
        <w:t xml:space="preserve">entre l’Empire Chérifien et la jeune République, incluant des mécanismes économiques modernes (clause de la nation la plus favorisée).</w:t>
      </w:r>
      <w:r>
        <w:rPr>
          <w:rStyle w:val="FootnoteReference"/>
        </w:rPr>
        <w:footnoteReference w:id="72"/>
      </w:r>
    </w:p>
    <w:p>
      <w:r>
        <w:pict>
          <v:rect style="width:0;height:1.5pt" o:hralign="center" o:hrstd="t" o:hr="t"/>
        </w:pict>
      </w:r>
    </w:p>
    <w:p>
      <w:pPr>
        <w:pStyle w:val="FirstParagraph"/>
      </w:pPr>
      <w:r>
        <w:t xml:space="preserve">[FIGURE_4_PLAN_ESSAOUIRA]</w:t>
      </w:r>
    </w:p>
    <w:p>
      <w:pPr>
        <w:pStyle w:val="BlockText"/>
      </w:pPr>
      <w:r>
        <w:rPr>
          <w:bCs/>
          <w:b/>
        </w:rPr>
        <w:t xml:space="preserve">Figure 4 :</w:t>
      </w:r>
      <w:r>
        <w:t xml:space="preserve"> </w:t>
      </w:r>
      <w:r>
        <w:t xml:space="preserve">Plan d’Essaouira (Mogador) au XVIIIe siècle – Laboratoire de diplomatie multiculturelle</w:t>
      </w:r>
    </w:p>
    <w:p>
      <w:pPr>
        <w:pStyle w:val="BlockText"/>
      </w:pPr>
      <w:r>
        <w:rPr>
          <w:bCs/>
          <w:b/>
        </w:rPr>
        <w:t xml:space="preserve">Plans architecturaux disponibles :</w:t>
      </w:r>
      <w:r>
        <w:t xml:space="preserve"> </w:t>
      </w:r>
      <w:r>
        <w:t xml:space="preserve">-</w:t>
      </w:r>
      <w:r>
        <w:t xml:space="preserve"> </w:t>
      </w:r>
      <w:r>
        <w:rPr>
          <w:iCs/>
          <w:i/>
        </w:rPr>
        <w:t xml:space="preserve">Plans originaux de l’ingénieur Théodore Cornut (1765)</w:t>
      </w:r>
      <w:r>
        <w:t xml:space="preserve"> </w:t>
      </w:r>
      <w:r>
        <w:t xml:space="preserve">— Fondateur de la ville pour Sidi Mohammed ben Abdallah —</w:t>
      </w:r>
      <w:r>
        <w:t xml:space="preserve"> </w:t>
      </w:r>
      <w:r>
        <w:rPr>
          <w:bCs/>
          <w:b/>
        </w:rPr>
        <w:t xml:space="preserve">Source :</w:t>
      </w:r>
      <w:r>
        <w:t xml:space="preserve"> </w:t>
      </w:r>
      <w:r>
        <w:t xml:space="preserve">Direction des Archives Royales (Rabat),</w:t>
      </w:r>
      <w:r>
        <w:t xml:space="preserve"> </w:t>
      </w:r>
      <w:r>
        <w:rPr>
          <w:bCs/>
          <w:b/>
        </w:rPr>
        <w:t xml:space="preserve">Fonds Dossiers Urbanisme XVIIIe siècle</w:t>
      </w:r>
      <w:r>
        <w:t xml:space="preserve">. Plans montrant : forteresse, medina, quartier consulaire, arsenal, magasins royaux.</w:t>
      </w:r>
      <w:r>
        <w:t xml:space="preserve"> </w:t>
      </w:r>
      <w:r>
        <w:t xml:space="preserve">-</w:t>
      </w:r>
      <w:r>
        <w:t xml:space="preserve"> </w:t>
      </w:r>
      <w:r>
        <w:rPr>
          <w:iCs/>
          <w:i/>
        </w:rPr>
        <w:t xml:space="preserve">Plan de la Qaçba (Casbah) d’Essaouira</w:t>
      </w:r>
      <w:r>
        <w:t xml:space="preserve"> </w:t>
      </w:r>
      <w:r>
        <w:t xml:space="preserve">— Reconstitution par G. Salmon —</w:t>
      </w:r>
      <w:r>
        <w:t xml:space="preserve"> </w:t>
      </w:r>
      <w:r>
        <w:rPr>
          <w:bCs/>
          <w:b/>
        </w:rPr>
        <w:t xml:space="preserve">In :</w:t>
      </w:r>
      <w:r>
        <w:t xml:space="preserve"> </w:t>
      </w:r>
      <w:r>
        <w:rPr>
          <w:iCs/>
          <w:i/>
        </w:rPr>
        <w:t xml:space="preserve">Archives Marocaines</w:t>
      </w:r>
      <w:r>
        <w:t xml:space="preserve">, Vol. 1, p. 287-290. Détails des structures défensives et administratives.</w:t>
      </w:r>
      <w:r>
        <w:t xml:space="preserve"> </w:t>
      </w:r>
      <w:r>
        <w:t xml:space="preserve">-</w:t>
      </w:r>
      <w:r>
        <w:t xml:space="preserve"> </w:t>
      </w:r>
      <w:r>
        <w:rPr>
          <w:iCs/>
          <w:i/>
        </w:rPr>
        <w:t xml:space="preserve">Photographies anciennes : vue générale du port (fin XIXe s.)</w:t>
      </w:r>
      <w:r>
        <w:t xml:space="preserve"> </w:t>
      </w:r>
      <w:r>
        <w:t xml:space="preserve">—</w:t>
      </w:r>
      <w:r>
        <w:t xml:space="preserve"> </w:t>
      </w:r>
      <w:r>
        <w:rPr>
          <w:bCs/>
          <w:b/>
        </w:rPr>
        <w:t xml:space="preserve">Source :</w:t>
      </w:r>
      <w:r>
        <w:t xml:space="preserve"> </w:t>
      </w:r>
      <w:r>
        <w:t xml:space="preserve">Archives Royales ou collections photographiques du MAE (Paris).</w:t>
      </w:r>
      <w:r>
        <w:t xml:space="preserve"> </w:t>
      </w:r>
      <w:r>
        <w:t xml:space="preserve">-</w:t>
      </w:r>
      <w:r>
        <w:t xml:space="preserve"> </w:t>
      </w:r>
      <w:r>
        <w:rPr>
          <w:iCs/>
          <w:i/>
        </w:rPr>
        <w:t xml:space="preserve">Photographies : Musiciens juifs et communauté juive d’Essaouira (fin XIXe s.)</w:t>
      </w:r>
      <w:r>
        <w:t xml:space="preserve"> </w:t>
      </w:r>
      <w:r>
        <w:t xml:space="preserve">—</w:t>
      </w:r>
      <w:r>
        <w:t xml:space="preserve"> </w:t>
      </w:r>
      <w:r>
        <w:rPr>
          <w:bCs/>
          <w:b/>
        </w:rPr>
        <w:t xml:space="preserve">In :</w:t>
      </w:r>
      <w:r>
        <w:t xml:space="preserve"> </w:t>
      </w:r>
      <w:r>
        <w:t xml:space="preserve">KENBIB,</w:t>
      </w:r>
      <w:r>
        <w:t xml:space="preserve"> </w:t>
      </w:r>
      <w:r>
        <w:rPr>
          <w:iCs/>
          <w:i/>
        </w:rPr>
        <w:t xml:space="preserve">Juifs et Musulmans au Maroc</w:t>
      </w:r>
      <w:r>
        <w:t xml:space="preserve"> </w:t>
      </w:r>
      <w:r>
        <w:t xml:space="preserve">(1989). Témoignage de la cohabitation intercommunautaire.</w:t>
      </w:r>
      <w:r>
        <w:t xml:space="preserve"> </w:t>
      </w:r>
      <w:r>
        <w:t xml:space="preserve">-</w:t>
      </w:r>
      <w:r>
        <w:t xml:space="preserve"> </w:t>
      </w:r>
      <w:r>
        <w:rPr>
          <w:iCs/>
          <w:i/>
        </w:rPr>
        <w:t xml:space="preserve">Vue portuaire de la rade d’Essaouira avec navires européens</w:t>
      </w:r>
      <w:r>
        <w:t xml:space="preserve"> </w:t>
      </w:r>
      <w:r>
        <w:t xml:space="preserve">— Gravure ou photographie du XIXe s. —</w:t>
      </w:r>
      <w:r>
        <w:t xml:space="preserve"> </w:t>
      </w:r>
      <w:r>
        <w:rPr>
          <w:bCs/>
          <w:b/>
        </w:rPr>
        <w:t xml:space="preserve">Recherche :</w:t>
      </w:r>
      <w:r>
        <w:t xml:space="preserve"> </w:t>
      </w:r>
      <w:r>
        <w:t xml:space="preserve">BnF (« Essaouira port »), Archives MAE.</w:t>
      </w:r>
    </w:p>
    <w:p>
      <w:pPr>
        <w:pStyle w:val="BlockText"/>
      </w:pPr>
      <w:r>
        <w:rPr>
          <w:bCs/>
          <w:b/>
        </w:rPr>
        <w:t xml:space="preserve">Éléments à rechercher spécifiquement :</w:t>
      </w:r>
      <w:r>
        <w:t xml:space="preserve"> </w:t>
      </w:r>
      <w:r>
        <w:t xml:space="preserve">- Plans d’urbanisme : fort, medina, quartier consulaire (français, britannique, hollandais)</w:t>
      </w:r>
      <w:r>
        <w:t xml:space="preserve"> </w:t>
      </w:r>
      <w:r>
        <w:t xml:space="preserve">- Registres douaniers : listes de navires, droits de commerce</w:t>
      </w:r>
      <w:r>
        <w:t xml:space="preserve"> </w:t>
      </w:r>
      <w:r>
        <w:t xml:space="preserve">- Correspondances : lettres du Sultan à ingénieurs, descriptions architecturales</w:t>
      </w:r>
    </w:p>
    <w:p>
      <w:pPr>
        <w:pStyle w:val="BlockText"/>
      </w:pPr>
      <w:r>
        <w:rPr>
          <w:bCs/>
          <w:b/>
        </w:rPr>
        <w:t xml:space="preserve">Fonds d’archives :</w:t>
      </w:r>
      <w:r>
        <w:t xml:space="preserve"> </w:t>
      </w:r>
      <w:r>
        <w:t xml:space="preserve">-</w:t>
      </w:r>
      <w:r>
        <w:t xml:space="preserve"> </w:t>
      </w:r>
      <w:r>
        <w:rPr>
          <w:bCs/>
          <w:b/>
        </w:rPr>
        <w:t xml:space="preserve">Direction des Archives Royales (Rabat) :</w:t>
      </w:r>
      <w:r>
        <w:t xml:space="preserve"> </w:t>
      </w:r>
      <w:r>
        <w:t xml:space="preserve">Dossiers Essaouira/Mogador, XVIIIe-XXe s.</w:t>
      </w:r>
      <w:r>
        <w:t xml:space="preserve"> </w:t>
      </w:r>
      <w:r>
        <w:t xml:space="preserve">-</w:t>
      </w:r>
      <w:r>
        <w:t xml:space="preserve"> </w:t>
      </w:r>
      <w:r>
        <w:rPr>
          <w:bCs/>
          <w:b/>
        </w:rPr>
        <w:t xml:space="preserve">Archives MAE (Paris) :</w:t>
      </w:r>
      <w:r>
        <w:t xml:space="preserve"> </w:t>
      </w:r>
      <w:r>
        <w:t xml:space="preserve">Dossiers « Mogador » et « Commerce marocain »</w:t>
      </w:r>
      <w:r>
        <w:t xml:space="preserve"> </w:t>
      </w:r>
      <w:r>
        <w:t xml:space="preserve">-</w:t>
      </w:r>
      <w:r>
        <w:t xml:space="preserve"> </w:t>
      </w:r>
      <w:r>
        <w:rPr>
          <w:bCs/>
          <w:b/>
        </w:rPr>
        <w:t xml:space="preserve">Archives Municipales (Essaouira) :</w:t>
      </w:r>
      <w:r>
        <w:t xml:space="preserve"> </w:t>
      </w:r>
      <w:r>
        <w:t xml:space="preserve">Registres portuaires, documents locaux</w:t>
      </w:r>
    </w:p>
    <w:p>
      <w:pPr>
        <w:pStyle w:val="BlockText"/>
      </w:pPr>
      <w:r>
        <w:rPr>
          <w:bCs/>
          <w:b/>
        </w:rPr>
        <w:t xml:space="preserve">Ressources numériques :</w:t>
      </w:r>
      <w:r>
        <w:t xml:space="preserve"> </w:t>
      </w:r>
      <w:r>
        <w:t xml:space="preserve">- Essaouira Mogador Foundation : Documentation photographique numérisée</w:t>
      </w:r>
      <w:r>
        <w:t xml:space="preserve"> </w:t>
      </w:r>
      <w:r>
        <w:t xml:space="preserve">- Google Books : Reproductions partielles de KENBIB</w:t>
      </w:r>
    </w:p>
    <w:p>
      <w:r>
        <w:pict>
          <v:rect style="width:0;height:1.5pt" o:hralign="center" o:hrstd="t" o:hr="t"/>
        </w:pict>
      </w:r>
    </w:p>
    <w:bookmarkEnd w:id="73"/>
    <w:bookmarkEnd w:id="74"/>
    <w:bookmarkStart w:id="75" w:name="transition-vers-la-partie-ii"/>
    <w:p>
      <w:pPr>
        <w:pStyle w:val="Heading3"/>
      </w:pPr>
      <w:r>
        <w:t xml:space="preserve">Transition vers la Partie II</w:t>
      </w:r>
    </w:p>
    <w:p>
      <w:pPr>
        <w:pStyle w:val="FirstParagraph"/>
      </w:pPr>
      <w:r>
        <w:t xml:space="preserve">À l’aube du XIXe siècle, la diplomatie alaouite a atteint un</w:t>
      </w:r>
      <w:r>
        <w:t xml:space="preserve"> </w:t>
      </w:r>
      <w:r>
        <w:rPr>
          <w:bCs/>
          <w:b/>
        </w:rPr>
        <w:t xml:space="preserve">apogée contractuel</w:t>
      </w:r>
      <w:r>
        <w:t xml:space="preserve">. Le Maroc est inséré dans le droit des gens européen, reconnu comme partenaire commercial et État souverain par une douzaine de puissances. Cependant, le rapport de force va brutalement basculer : la révolution industrielle confère à l’Europe une puissance militaire et économique écrasante. La diplomatie marocaine va devoir muter, passant de la projection à la défense, du traité commercial au traité inégal.</w:t>
      </w:r>
    </w:p>
    <w:p>
      <w:r>
        <w:pict>
          <v:rect style="width:0;height:1.5pt" o:hralign="center" o:hrstd="t" o:hr="t"/>
        </w:pict>
      </w:r>
    </w:p>
    <w:bookmarkEnd w:id="75"/>
    <w:bookmarkEnd w:id="76"/>
    <w:bookmarkEnd w:id="77"/>
    <w:bookmarkStart w:id="126" w:name="X035b6f7617a9c1349de1b670631c7b8a456e266"/>
    <w:p>
      <w:pPr>
        <w:pStyle w:val="Heading1"/>
      </w:pPr>
      <w:r>
        <w:t xml:space="preserve">PARTIE II : LA DIPLOMATIE DE RÉSISTANCE FACE À L’ENCERCLEMENT COLONIAL (1844-1912)</w:t>
      </w:r>
    </w:p>
    <w:p>
      <w:pPr>
        <w:pStyle w:val="FirstParagraph"/>
      </w:pPr>
      <w:r>
        <w:t xml:space="preserve">La seconde phase de la diplomatie alaouite se caractérise par un</w:t>
      </w:r>
      <w:r>
        <w:t xml:space="preserve"> </w:t>
      </w:r>
      <w:r>
        <w:rPr>
          <w:bCs/>
          <w:b/>
        </w:rPr>
        <w:t xml:space="preserve">renversement tragique</w:t>
      </w:r>
      <w:r>
        <w:t xml:space="preserve"> </w:t>
      </w:r>
      <w:r>
        <w:t xml:space="preserve">: l’État qui imposait des tributs aux puissances scandinaves se trouve progressivement encerclé, contraint de signer des accords qui érodent sa souveraineté. Face à cette situation, le Makhzen développe une</w:t>
      </w:r>
      <w:r>
        <w:t xml:space="preserve"> </w:t>
      </w:r>
      <w:r>
        <w:rPr>
          <w:bCs/>
          <w:b/>
        </w:rPr>
        <w:t xml:space="preserve">stratégie de résistance juridique</w:t>
      </w:r>
      <w:r>
        <w:t xml:space="preserve">, tentant d’utiliser le droit international comme bouclier contre l’annexion pure et simple.</w:t>
      </w:r>
    </w:p>
    <w:p>
      <w:r>
        <w:pict>
          <v:rect style="width:0;height:1.5pt" o:hralign="center" o:hrstd="t" o:hr="t"/>
        </w:pict>
      </w:r>
    </w:p>
    <w:bookmarkStart w:id="95" w:name="X2866fecf33447986ac24ac2fb59e5e16f7c9101"/>
    <w:p>
      <w:pPr>
        <w:pStyle w:val="Heading2"/>
      </w:pPr>
      <w:r>
        <w:t xml:space="preserve">A. Le Choc des Impérialismes et la Stratégie Défensive</w:t>
      </w:r>
    </w:p>
    <w:bookmarkStart w:id="83" w:name="Xb152b021db6b59c5d864289032055b0401fd5ff"/>
    <w:p>
      <w:pPr>
        <w:pStyle w:val="Heading3"/>
      </w:pPr>
      <w:r>
        <w:t xml:space="preserve">1. D’Isly à Tétouan (1844-1860) : premiers traités inégaux</w:t>
      </w:r>
    </w:p>
    <w:bookmarkStart w:id="80" w:name="X14681b118d1882b630c87aadedd9d87e674b15b"/>
    <w:p>
      <w:pPr>
        <w:pStyle w:val="Heading4"/>
      </w:pPr>
      <w:r>
        <w:t xml:space="preserve">La bataille d’Isly (14 août 1844) : le choc de la modernité militaire</w:t>
      </w:r>
    </w:p>
    <w:p>
      <w:pPr>
        <w:pStyle w:val="FirstParagraph"/>
      </w:pPr>
      <w:r>
        <w:t xml:space="preserve">La défaite de l’armée marocaine face aux troupes du maréchal Bugeaud à Isly marque la</w:t>
      </w:r>
      <w:r>
        <w:t xml:space="preserve"> </w:t>
      </w:r>
      <w:r>
        <w:rPr>
          <w:bCs/>
          <w:b/>
        </w:rPr>
        <w:t xml:space="preserve">fin de l’illusion d’invincibilité</w:t>
      </w:r>
      <w:r>
        <w:t xml:space="preserve">. Le Sultan Moulay Abderrahmane avait soutenu l’émir Abd el-Kader dans sa résistance à la conquête française de l’Algérie, provoquant une réaction militaire dévastatrice.</w:t>
      </w:r>
      <w:r>
        <w:rPr>
          <w:rStyle w:val="FootnoteReference"/>
        </w:rPr>
        <w:footnoteReference w:id="78"/>
      </w:r>
    </w:p>
    <w:p>
      <w:pPr>
        <w:pStyle w:val="BodyText"/>
      </w:pPr>
      <w:r>
        <w:rPr>
          <w:bCs/>
          <w:b/>
        </w:rPr>
        <w:t xml:space="preserve">Conséquences diplomatiques :</w:t>
      </w:r>
    </w:p>
    <w:tbl>
      <w:tblPr>
        <w:tblStyle w:val="Table"/>
        <w:tblW w:type="pct" w:w="5000"/>
        <w:tblLook w:firstRow="1" w:lastRow="0" w:firstColumn="0" w:lastColumn="0" w:noHBand="0" w:noVBand="0" w:val="0020"/>
        <w:jc w:val="start"/>
      </w:tblPr>
      <w:tblGrid>
        <w:gridCol w:w="2589"/>
        <w:gridCol w:w="1294"/>
        <w:gridCol w:w="4036"/>
      </w:tblGrid>
      <w:tr>
        <w:trPr>
          <w:tblHeader w:val="true"/>
        </w:trPr>
        <w:tc>
          <w:tcPr/>
          <w:p>
            <w:pPr>
              <w:pStyle w:val="Compact"/>
              <w:jc w:val="left"/>
            </w:pPr>
            <w:r>
              <w:t xml:space="preserve">Traité</w:t>
            </w:r>
          </w:p>
        </w:tc>
        <w:tc>
          <w:tcPr/>
          <w:p>
            <w:pPr>
              <w:pStyle w:val="Compact"/>
              <w:jc w:val="left"/>
            </w:pPr>
            <w:r>
              <w:t xml:space="preserve">Date</w:t>
            </w:r>
          </w:p>
        </w:tc>
        <w:tc>
          <w:tcPr/>
          <w:p>
            <w:pPr>
              <w:pStyle w:val="Compact"/>
              <w:jc w:val="left"/>
            </w:pPr>
            <w:r>
              <w:t xml:space="preserve">Dispositions principales</w:t>
            </w:r>
          </w:p>
        </w:tc>
      </w:tr>
      <w:tr>
        <w:tc>
          <w:tcPr/>
          <w:p>
            <w:pPr>
              <w:pStyle w:val="Compact"/>
              <w:jc w:val="left"/>
            </w:pPr>
            <w:r>
              <w:rPr>
                <w:bCs/>
                <w:b/>
              </w:rPr>
              <w:t xml:space="preserve">Traité de Tanger</w:t>
            </w:r>
          </w:p>
        </w:tc>
        <w:tc>
          <w:tcPr/>
          <w:p>
            <w:pPr>
              <w:pStyle w:val="Compact"/>
              <w:jc w:val="left"/>
            </w:pPr>
            <w:r>
              <w:t xml:space="preserve">10 septembre 1844</w:t>
            </w:r>
          </w:p>
        </w:tc>
        <w:tc>
          <w:tcPr/>
          <w:p>
            <w:pPr>
              <w:pStyle w:val="Compact"/>
              <w:jc w:val="left"/>
            </w:pPr>
            <w:r>
              <w:t xml:space="preserve">Engagement du Sultan à ne plus soutenir Abd el-Kader</w:t>
            </w:r>
          </w:p>
        </w:tc>
      </w:tr>
      <w:tr>
        <w:tc>
          <w:tcPr/>
          <w:p>
            <w:pPr>
              <w:pStyle w:val="Compact"/>
              <w:jc w:val="left"/>
            </w:pPr>
            <w:r>
              <w:rPr>
                <w:bCs/>
                <w:b/>
              </w:rPr>
              <w:t xml:space="preserve">Traité de Lalla Maghnia</w:t>
            </w:r>
          </w:p>
        </w:tc>
        <w:tc>
          <w:tcPr/>
          <w:p>
            <w:pPr>
              <w:pStyle w:val="Compact"/>
              <w:jc w:val="left"/>
            </w:pPr>
            <w:r>
              <w:t xml:space="preserve">18 mars 1845</w:t>
            </w:r>
          </w:p>
        </w:tc>
        <w:tc>
          <w:tcPr/>
          <w:p>
            <w:pPr>
              <w:pStyle w:val="Compact"/>
              <w:jc w:val="left"/>
            </w:pPr>
            <w:r>
              <w:t xml:space="preserve">Délimitation de la frontière algéro-marocaine</w:t>
            </w:r>
          </w:p>
        </w:tc>
      </w:tr>
    </w:tbl>
    <w:p>
      <w:pPr>
        <w:pStyle w:val="BodyText"/>
      </w:pPr>
      <w:r>
        <w:t xml:space="preserve">Le traité de Lalla Maghnia impose une</w:t>
      </w:r>
      <w:r>
        <w:t xml:space="preserve"> </w:t>
      </w:r>
      <w:r>
        <w:rPr>
          <w:bCs/>
          <w:b/>
        </w:rPr>
        <w:t xml:space="preserve">frontière linéaire</w:t>
      </w:r>
      <w:r>
        <w:t xml:space="preserve"> </w:t>
      </w:r>
      <w:r>
        <w:t xml:space="preserve">étrangère à la conception marocaine des confins, préparant les contentieux territoriaux futurs.</w:t>
      </w:r>
      <w:r>
        <w:rPr>
          <w:rStyle w:val="FootnoteReference"/>
        </w:rPr>
        <w:footnoteReference w:id="79"/>
      </w:r>
    </w:p>
    <w:p>
      <w:r>
        <w:pict>
          <v:rect style="width:0;height:1.5pt" o:hralign="center" o:hrstd="t" o:hr="t"/>
        </w:pict>
      </w:r>
    </w:p>
    <w:p>
      <w:pPr>
        <w:pStyle w:val="FirstParagraph"/>
      </w:pPr>
      <w:r>
        <w:t xml:space="preserve">[FIGURE_10_BATAILLE_ISLY_TRAITES]</w:t>
      </w:r>
    </w:p>
    <w:p>
      <w:pPr>
        <w:pStyle w:val="BlockText"/>
      </w:pPr>
      <w:r>
        <w:rPr>
          <w:bCs/>
          <w:b/>
        </w:rPr>
        <w:t xml:space="preserve">Figure 10 :</w:t>
      </w:r>
      <w:r>
        <w:t xml:space="preserve"> </w:t>
      </w:r>
      <w:r>
        <w:t xml:space="preserve">La bataille d’Isly (1844) et ses conséquences diplomatiques</w:t>
      </w:r>
    </w:p>
    <w:p>
      <w:pPr>
        <w:pStyle w:val="BlockText"/>
      </w:pPr>
      <w:r>
        <w:rPr>
          <w:bCs/>
          <w:b/>
        </w:rPr>
        <w:t xml:space="preserve">Iconographie et documents de bataille :</w:t>
      </w:r>
      <w:r>
        <w:t xml:space="preserve"> </w:t>
      </w:r>
      <w:r>
        <w:t xml:space="preserve">-</w:t>
      </w:r>
      <w:r>
        <w:t xml:space="preserve"> </w:t>
      </w:r>
      <w:r>
        <w:rPr>
          <w:iCs/>
          <w:i/>
        </w:rPr>
        <w:t xml:space="preserve">Carte de la bataille d’Isly (14 août 1844)</w:t>
      </w:r>
      <w:r>
        <w:t xml:space="preserve"> </w:t>
      </w:r>
      <w:r>
        <w:t xml:space="preserve">— Positions des troupes marocaines et françaises —</w:t>
      </w:r>
      <w:r>
        <w:t xml:space="preserve"> </w:t>
      </w:r>
      <w:r>
        <w:rPr>
          <w:bCs/>
          <w:b/>
        </w:rPr>
        <w:t xml:space="preserve">Source :</w:t>
      </w:r>
      <w:r>
        <w:t xml:space="preserve"> </w:t>
      </w:r>
      <w:r>
        <w:t xml:space="preserve">BRIGNON,</w:t>
      </w:r>
      <w:r>
        <w:t xml:space="preserve"> </w:t>
      </w:r>
      <w:r>
        <w:rPr>
          <w:iCs/>
          <w:i/>
        </w:rPr>
        <w:t xml:space="preserve">Histoire du Maroc</w:t>
      </w:r>
      <w:r>
        <w:t xml:space="preserve"> </w:t>
      </w:r>
      <w:r>
        <w:t xml:space="preserve">; Lugan,</w:t>
      </w:r>
      <w:r>
        <w:t xml:space="preserve"> </w:t>
      </w:r>
      <w:r>
        <w:rPr>
          <w:iCs/>
          <w:i/>
        </w:rPr>
        <w:t xml:space="preserve">Histoire de l’Afrique du Nord</w:t>
      </w:r>
      <w:r>
        <w:t xml:space="preserve">, p. 301-302.</w:t>
      </w:r>
      <w:r>
        <w:t xml:space="preserve"> </w:t>
      </w:r>
      <w:r>
        <w:t xml:space="preserve">-</w:t>
      </w:r>
      <w:r>
        <w:t xml:space="preserve"> </w:t>
      </w:r>
      <w:r>
        <w:rPr>
          <w:iCs/>
          <w:i/>
        </w:rPr>
        <w:t xml:space="preserve">Gravure de la bataille d’Isly</w:t>
      </w:r>
      <w:r>
        <w:t xml:space="preserve"> </w:t>
      </w:r>
      <w:r>
        <w:t xml:space="preserve">— Vue générale de l’engagement —</w:t>
      </w:r>
      <w:r>
        <w:t xml:space="preserve"> </w:t>
      </w:r>
      <w:r>
        <w:rPr>
          <w:bCs/>
          <w:b/>
        </w:rPr>
        <w:t xml:space="preserve">Source :</w:t>
      </w:r>
      <w:r>
        <w:t xml:space="preserve"> </w:t>
      </w:r>
      <w:r>
        <w:rPr>
          <w:iCs/>
          <w:i/>
        </w:rPr>
        <w:t xml:space="preserve">Illustration</w:t>
      </w:r>
      <w:r>
        <w:t xml:space="preserve"> </w:t>
      </w:r>
      <w:r>
        <w:t xml:space="preserve">(revue française du XIXe s.) ; BnF Gallica.</w:t>
      </w:r>
      <w:r>
        <w:t xml:space="preserve"> </w:t>
      </w:r>
      <w:r>
        <w:t xml:space="preserve">-</w:t>
      </w:r>
      <w:r>
        <w:t xml:space="preserve"> </w:t>
      </w:r>
      <w:r>
        <w:rPr>
          <w:iCs/>
          <w:i/>
        </w:rPr>
        <w:t xml:space="preserve">Cartes des positions défensives marocaines (Oued Isly)</w:t>
      </w:r>
      <w:r>
        <w:t xml:space="preserve"> </w:t>
      </w:r>
      <w:r>
        <w:t xml:space="preserve">— Plans tactiques —</w:t>
      </w:r>
      <w:r>
        <w:t xml:space="preserve"> </w:t>
      </w:r>
      <w:r>
        <w:rPr>
          <w:bCs/>
          <w:b/>
        </w:rPr>
        <w:t xml:space="preserve">Source :</w:t>
      </w:r>
      <w:r>
        <w:t xml:space="preserve"> </w:t>
      </w:r>
      <w:r>
        <w:t xml:space="preserve">Archives du Maroc ou</w:t>
      </w:r>
      <w:r>
        <w:t xml:space="preserve"> </w:t>
      </w:r>
      <w:r>
        <w:rPr>
          <w:iCs/>
          <w:i/>
        </w:rPr>
        <w:t xml:space="preserve">Archives Marocaines</w:t>
      </w:r>
      <w:r>
        <w:t xml:space="preserve">.</w:t>
      </w:r>
      <w:r>
        <w:t xml:space="preserve"> </w:t>
      </w:r>
      <w:r>
        <w:t xml:space="preserve">-</w:t>
      </w:r>
      <w:r>
        <w:t xml:space="preserve"> </w:t>
      </w:r>
      <w:r>
        <w:rPr>
          <w:iCs/>
          <w:i/>
        </w:rPr>
        <w:t xml:space="preserve">Portrait du Maréchal Bugeaud</w:t>
      </w:r>
      <w:r>
        <w:t xml:space="preserve"> </w:t>
      </w:r>
      <w:r>
        <w:t xml:space="preserve">— Commandant français —</w:t>
      </w:r>
      <w:r>
        <w:t xml:space="preserve"> </w:t>
      </w:r>
      <w:r>
        <w:rPr>
          <w:bCs/>
          <w:b/>
        </w:rPr>
        <w:t xml:space="preserve">Source :</w:t>
      </w:r>
      <w:r>
        <w:t xml:space="preserve"> </w:t>
      </w:r>
      <w:r>
        <w:t xml:space="preserve">BnF,</w:t>
      </w:r>
      <w:r>
        <w:t xml:space="preserve"> </w:t>
      </w:r>
      <w:r>
        <w:rPr>
          <w:iCs/>
          <w:i/>
        </w:rPr>
        <w:t xml:space="preserve">Galerie des portraits</w:t>
      </w:r>
      <w:r>
        <w:t xml:space="preserve">.</w:t>
      </w:r>
    </w:p>
    <w:p>
      <w:pPr>
        <w:pStyle w:val="BlockText"/>
      </w:pPr>
      <w:r>
        <w:rPr>
          <w:bCs/>
          <w:b/>
        </w:rPr>
        <w:t xml:space="preserve">Traités issus de la défaite :</w:t>
      </w:r>
      <w:r>
        <w:t xml:space="preserve"> </w:t>
      </w:r>
      <w:r>
        <w:t xml:space="preserve">-</w:t>
      </w:r>
      <w:r>
        <w:t xml:space="preserve"> </w:t>
      </w:r>
      <w:r>
        <w:rPr>
          <w:iCs/>
          <w:i/>
        </w:rPr>
        <w:t xml:space="preserve">Traité de Tanger (10 septembre 1844)</w:t>
      </w:r>
      <w:r>
        <w:t xml:space="preserve"> </w:t>
      </w:r>
      <w:r>
        <w:t xml:space="preserve">— Fac-similé complet —</w:t>
      </w:r>
      <w:r>
        <w:t xml:space="preserve"> </w:t>
      </w:r>
      <w:r>
        <w:rPr>
          <w:bCs/>
          <w:b/>
        </w:rPr>
        <w:t xml:space="preserve">Source :</w:t>
      </w:r>
      <w:r>
        <w:t xml:space="preserve"> </w:t>
      </w:r>
      <w:r>
        <w:t xml:space="preserve">TAZI, T.9 ; Archives MAE (Paris).</w:t>
      </w:r>
      <w:r>
        <w:t xml:space="preserve"> </w:t>
      </w:r>
      <w:r>
        <w:t xml:space="preserve">-</w:t>
      </w:r>
      <w:r>
        <w:t xml:space="preserve"> </w:t>
      </w:r>
      <w:r>
        <w:rPr>
          <w:iCs/>
          <w:i/>
        </w:rPr>
        <w:t xml:space="preserve">Traité de Lalla Maghnia (18 mars 1845)</w:t>
      </w:r>
      <w:r>
        <w:t xml:space="preserve"> </w:t>
      </w:r>
      <w:r>
        <w:t xml:space="preserve">— Texte avec cartes de délimitation —</w:t>
      </w:r>
      <w:r>
        <w:t xml:space="preserve"> </w:t>
      </w:r>
      <w:r>
        <w:rPr>
          <w:bCs/>
          <w:b/>
        </w:rPr>
        <w:t xml:space="preserve">Source :</w:t>
      </w:r>
      <w:r>
        <w:t xml:space="preserve"> </w:t>
      </w:r>
      <w:r>
        <w:t xml:space="preserve">Bernard Lugan,</w:t>
      </w:r>
      <w:r>
        <w:t xml:space="preserve"> </w:t>
      </w:r>
      <w:r>
        <w:rPr>
          <w:iCs/>
          <w:i/>
        </w:rPr>
        <w:t xml:space="preserve">Histoire de l’Afrique du Nord</w:t>
      </w:r>
      <w:r>
        <w:t xml:space="preserve">, p. 348 ; TAZI, T.9.</w:t>
      </w:r>
      <w:r>
        <w:t xml:space="preserve"> </w:t>
      </w:r>
      <w:r>
        <w:t xml:space="preserve">-</w:t>
      </w:r>
      <w:r>
        <w:t xml:space="preserve"> </w:t>
      </w:r>
      <w:r>
        <w:rPr>
          <w:iCs/>
          <w:i/>
        </w:rPr>
        <w:t xml:space="preserve">Correspondances diplomatiques post-Isly (1844-1846)</w:t>
      </w:r>
      <w:r>
        <w:t xml:space="preserve"> </w:t>
      </w:r>
      <w:r>
        <w:t xml:space="preserve">— Rapports de négocia</w:t>
      </w:r>
      <w:r>
        <w:softHyphen/>
      </w:r>
      <w:r>
        <w:t xml:space="preserve">tion —</w:t>
      </w:r>
      <w:r>
        <w:t xml:space="preserve"> </w:t>
      </w:r>
      <w:r>
        <w:rPr>
          <w:bCs/>
          <w:b/>
        </w:rPr>
        <w:t xml:space="preserve">Source :</w:t>
      </w:r>
      <w:r>
        <w:t xml:space="preserve"> </w:t>
      </w:r>
      <w:r>
        <w:t xml:space="preserve">Archives MAE (Paris) ; Archives Royales (Rabat).</w:t>
      </w:r>
    </w:p>
    <w:p>
      <w:pPr>
        <w:pStyle w:val="BlockText"/>
      </w:pPr>
      <w:r>
        <w:rPr>
          <w:bCs/>
          <w:b/>
        </w:rPr>
        <w:t xml:space="preserve">Fonds historiques :</w:t>
      </w:r>
      <w:r>
        <w:t xml:space="preserve"> </w:t>
      </w:r>
      <w:r>
        <w:t xml:space="preserve">-</w:t>
      </w:r>
      <w:r>
        <w:t xml:space="preserve"> </w:t>
      </w:r>
      <w:r>
        <w:rPr>
          <w:bCs/>
          <w:b/>
        </w:rPr>
        <w:t xml:space="preserve">Archives MAE (Paris) :</w:t>
      </w:r>
      <w:r>
        <w:t xml:space="preserve"> </w:t>
      </w:r>
      <w:r>
        <w:t xml:space="preserve">Dossiers « Maroc - Traités 1844-1860 »</w:t>
      </w:r>
      <w:r>
        <w:t xml:space="preserve"> </w:t>
      </w:r>
      <w:r>
        <w:t xml:space="preserve">-</w:t>
      </w:r>
      <w:r>
        <w:t xml:space="preserve"> </w:t>
      </w:r>
      <w:r>
        <w:rPr>
          <w:bCs/>
          <w:b/>
        </w:rPr>
        <w:t xml:space="preserve">Archives Royales (Rabat) :</w:t>
      </w:r>
      <w:r>
        <w:t xml:space="preserve"> </w:t>
      </w:r>
      <w:r>
        <w:t xml:space="preserve">Correspondances du Sultan Mohammed IV</w:t>
      </w:r>
      <w:r>
        <w:t xml:space="preserve"> </w:t>
      </w:r>
      <w:r>
        <w:t xml:space="preserve">-</w:t>
      </w:r>
      <w:r>
        <w:t xml:space="preserve"> </w:t>
      </w:r>
      <w:r>
        <w:rPr>
          <w:bCs/>
          <w:b/>
        </w:rPr>
        <w:t xml:space="preserve">TAZI, T.9 :</w:t>
      </w:r>
      <w:r>
        <w:t xml:space="preserve"> </w:t>
      </w:r>
      <w:r>
        <w:t xml:space="preserve">Documentation complète avec fac-similés</w:t>
      </w:r>
    </w:p>
    <w:p>
      <w:r>
        <w:pict>
          <v:rect style="width:0;height:1.5pt" o:hralign="center" o:hrstd="t" o:hr="t"/>
        </w:pict>
      </w:r>
    </w:p>
    <w:bookmarkEnd w:id="80"/>
    <w:bookmarkStart w:id="82" w:name="X89488980b5a01afeace494fcbc9f0bd114c64e0"/>
    <w:p>
      <w:pPr>
        <w:pStyle w:val="Heading4"/>
      </w:pPr>
      <w:r>
        <w:t xml:space="preserve">La guerre hispano-marocaine (1859-1860) : l’humiliation de Tétouan</w:t>
      </w:r>
    </w:p>
    <w:p>
      <w:pPr>
        <w:pStyle w:val="FirstParagraph"/>
      </w:pPr>
      <w:r>
        <w:t xml:space="preserve">Un incident frontalier à Ceuta sert de</w:t>
      </w:r>
      <w:r>
        <w:t xml:space="preserve"> </w:t>
      </w:r>
      <w:r>
        <w:rPr>
          <w:iCs/>
          <w:i/>
        </w:rPr>
        <w:t xml:space="preserve">casus belli</w:t>
      </w:r>
      <w:r>
        <w:t xml:space="preserve"> </w:t>
      </w:r>
      <w:r>
        <w:t xml:space="preserve">à l’Espagne, qui mobilise une armée de 40 000 hommes. L’occupation de Tétouan (février 1860) force le Sultan Mohammed IV à accepter des conditions humiliantes.</w:t>
      </w:r>
    </w:p>
    <w:p>
      <w:pPr>
        <w:pStyle w:val="BodyText"/>
      </w:pPr>
      <w:r>
        <w:rPr>
          <w:bCs/>
          <w:b/>
        </w:rPr>
        <w:t xml:space="preserve">Traité de Wad-Ras (26 avril 1860) :</w:t>
      </w:r>
    </w:p>
    <w:tbl>
      <w:tblPr>
        <w:tblStyle w:val="Table"/>
        <w:tblW w:type="pct" w:w="5000"/>
        <w:tblLook w:firstRow="1" w:lastRow="0" w:firstColumn="0" w:lastColumn="0" w:noHBand="0" w:noVBand="0" w:val="0020"/>
        <w:jc w:val="start"/>
      </w:tblPr>
      <w:tblGrid>
        <w:gridCol w:w="2489"/>
        <w:gridCol w:w="5430"/>
      </w:tblGrid>
      <w:tr>
        <w:trPr>
          <w:tblHeader w:val="true"/>
        </w:trPr>
        <w:tc>
          <w:tcPr/>
          <w:p>
            <w:pPr>
              <w:pStyle w:val="Compact"/>
              <w:jc w:val="left"/>
            </w:pPr>
            <w:r>
              <w:t xml:space="preserve">Clause</w:t>
            </w:r>
          </w:p>
        </w:tc>
        <w:tc>
          <w:tcPr/>
          <w:p>
            <w:pPr>
              <w:pStyle w:val="Compact"/>
              <w:jc w:val="left"/>
            </w:pPr>
            <w:r>
              <w:t xml:space="preserve">Impact</w:t>
            </w:r>
          </w:p>
        </w:tc>
      </w:tr>
      <w:tr>
        <w:tc>
          <w:tcPr/>
          <w:p>
            <w:pPr>
              <w:pStyle w:val="Compact"/>
              <w:jc w:val="left"/>
            </w:pPr>
            <w:r>
              <w:t xml:space="preserve">Indemnité de 20 millions de douros</w:t>
            </w:r>
          </w:p>
        </w:tc>
        <w:tc>
          <w:tcPr/>
          <w:p>
            <w:pPr>
              <w:pStyle w:val="Compact"/>
              <w:jc w:val="left"/>
            </w:pPr>
            <w:r>
              <w:t xml:space="preserve">Dette colossale qui endette l’État pour des décennies</w:t>
            </w:r>
          </w:p>
        </w:tc>
      </w:tr>
      <w:tr>
        <w:tc>
          <w:tcPr/>
          <w:p>
            <w:pPr>
              <w:pStyle w:val="Compact"/>
              <w:jc w:val="left"/>
            </w:pPr>
            <w:r>
              <w:t xml:space="preserve">Extension des limites de Ceuta et Melilla</w:t>
            </w:r>
          </w:p>
        </w:tc>
        <w:tc>
          <w:tcPr/>
          <w:p>
            <w:pPr>
              <w:pStyle w:val="Compact"/>
              <w:jc w:val="left"/>
            </w:pPr>
            <w:r>
              <w:t xml:space="preserve">Perte territoriale</w:t>
            </w:r>
          </w:p>
        </w:tc>
      </w:tr>
      <w:tr>
        <w:tc>
          <w:tcPr/>
          <w:p>
            <w:pPr>
              <w:pStyle w:val="Compact"/>
              <w:jc w:val="left"/>
            </w:pPr>
            <w:r>
              <w:t xml:space="preserve">Cession de Santa Cruz de Mar Pequeña (Ifni)</w:t>
            </w:r>
          </w:p>
        </w:tc>
        <w:tc>
          <w:tcPr/>
          <w:p>
            <w:pPr>
              <w:pStyle w:val="Compact"/>
              <w:jc w:val="left"/>
            </w:pPr>
            <w:r>
              <w:t xml:space="preserve">Perte territoriale promise (emplacement inconnu en 1860, occupation effective en 1934 seulement)</w:t>
            </w:r>
          </w:p>
        </w:tc>
      </w:tr>
      <w:tr>
        <w:tc>
          <w:tcPr/>
          <w:p>
            <w:pPr>
              <w:pStyle w:val="Compact"/>
              <w:jc w:val="left"/>
            </w:pPr>
            <w:r>
              <w:t xml:space="preserve">Mise sous tutelle des douanes</w:t>
            </w:r>
          </w:p>
        </w:tc>
        <w:tc>
          <w:tcPr/>
          <w:p>
            <w:pPr>
              <w:pStyle w:val="Compact"/>
              <w:jc w:val="left"/>
            </w:pPr>
            <w:r>
              <w:t xml:space="preserve">La recette douanière de plusieurs ports est affectée au remboursement de la dette</w:t>
            </w:r>
          </w:p>
        </w:tc>
      </w:tr>
    </w:tbl>
    <w:p>
      <w:pPr>
        <w:pStyle w:val="BodyText"/>
      </w:pPr>
      <w:r>
        <w:t xml:space="preserve">Ce traité inaugure l’ère des</w:t>
      </w:r>
      <w:r>
        <w:t xml:space="preserve"> </w:t>
      </w:r>
      <w:r>
        <w:rPr>
          <w:bCs/>
          <w:b/>
        </w:rPr>
        <w:t xml:space="preserve">« traités inégaux »</w:t>
      </w:r>
      <w:r>
        <w:t xml:space="preserve"> </w:t>
      </w:r>
      <w:r>
        <w:t xml:space="preserve">: accords formellement bilatéraux mais imposés par la force, où le</w:t>
      </w:r>
      <w:r>
        <w:t xml:space="preserve"> </w:t>
      </w:r>
      <w:r>
        <w:rPr>
          <w:iCs/>
          <w:i/>
        </w:rPr>
        <w:t xml:space="preserve">negotium</w:t>
      </w:r>
      <w:r>
        <w:t xml:space="preserve"> </w:t>
      </w:r>
      <w:r>
        <w:t xml:space="preserve">est dicté par le vainqueur.</w:t>
      </w:r>
      <w:r>
        <w:rPr>
          <w:rStyle w:val="FootnoteReference"/>
        </w:rPr>
        <w:footnoteReference w:id="81"/>
      </w:r>
    </w:p>
    <w:p>
      <w:r>
        <w:pict>
          <v:rect style="width:0;height:1.5pt" o:hralign="center" o:hrstd="t" o:hr="t"/>
        </w:pict>
      </w:r>
    </w:p>
    <w:bookmarkEnd w:id="82"/>
    <w:bookmarkEnd w:id="83"/>
    <w:bookmarkStart w:id="88" w:name="Xf7c8c2dfb3e1deea585b474a0510bedabe6d669"/>
    <w:p>
      <w:pPr>
        <w:pStyle w:val="Heading3"/>
      </w:pPr>
      <w:r>
        <w:t xml:space="preserve">2. La Convention de Madrid (1880) : internationalisation et « neutralisation par la rivalité »</w:t>
      </w:r>
    </w:p>
    <w:bookmarkStart w:id="85" w:name="X75808d5b4c9b3084554ace8bb755d50a7b3a645"/>
    <w:p>
      <w:pPr>
        <w:pStyle w:val="Heading4"/>
      </w:pPr>
      <w:r>
        <w:t xml:space="preserve">Le « système des protections » : gangrène de la souveraineté</w:t>
      </w:r>
    </w:p>
    <w:p>
      <w:pPr>
        <w:pStyle w:val="FirstParagraph"/>
      </w:pPr>
      <w:r>
        <w:t xml:space="preserve">Le XIXe siècle voit l’extension cancéreuse du</w:t>
      </w:r>
      <w:r>
        <w:t xml:space="preserve"> </w:t>
      </w:r>
      <w:r>
        <w:rPr>
          <w:bCs/>
          <w:b/>
        </w:rPr>
        <w:t xml:space="preserve">système des protections consulaires</w:t>
      </w:r>
      <w:r>
        <w:t xml:space="preserve">. Ce qui était initialement un outil de facilitation du commerce (protection des censaux, intermédiaires locaux des négociants européens) devient un mécanisme de</w:t>
      </w:r>
      <w:r>
        <w:t xml:space="preserve"> </w:t>
      </w:r>
      <w:r>
        <w:rPr>
          <w:bCs/>
          <w:b/>
        </w:rPr>
        <w:t xml:space="preserve">soustraction des sujets marocains à l’autorité du Sultan</w:t>
      </w:r>
      <w:r>
        <w:t xml:space="preserve"> </w:t>
      </w:r>
      <w:r>
        <w:t xml:space="preserve">:</w:t>
      </w:r>
      <w:r>
        <w:rPr>
          <w:rStyle w:val="FootnoteReference"/>
        </w:rPr>
        <w:footnoteReference w:id="84"/>
      </w:r>
    </w:p>
    <w:p>
      <w:pPr>
        <w:numPr>
          <w:ilvl w:val="0"/>
          <w:numId w:val="1005"/>
        </w:numPr>
        <w:pStyle w:val="Compact"/>
      </w:pPr>
      <w:r>
        <w:t xml:space="preserve">Les « protégés » échappent à l’impôt marocain</w:t>
      </w:r>
    </w:p>
    <w:p>
      <w:pPr>
        <w:numPr>
          <w:ilvl w:val="0"/>
          <w:numId w:val="1005"/>
        </w:numPr>
        <w:pStyle w:val="Compact"/>
      </w:pPr>
      <w:r>
        <w:t xml:space="preserve">Ils relèvent de la juridiction consulaire (capitulations)</w:t>
      </w:r>
    </w:p>
    <w:p>
      <w:pPr>
        <w:numPr>
          <w:ilvl w:val="0"/>
          <w:numId w:val="1005"/>
        </w:numPr>
        <w:pStyle w:val="Compact"/>
      </w:pPr>
      <w:r>
        <w:t xml:space="preserve">Les abus se multiplient : milliers de Marocains achètent des « patentes » de protection</w:t>
      </w:r>
    </w:p>
    <w:bookmarkEnd w:id="85"/>
    <w:bookmarkStart w:id="87" w:name="la-conférence-de-madrid-1880"/>
    <w:p>
      <w:pPr>
        <w:pStyle w:val="Heading4"/>
      </w:pPr>
      <w:r>
        <w:t xml:space="preserve">La Conférence de Madrid (1880)</w:t>
      </w:r>
    </w:p>
    <w:p>
      <w:pPr>
        <w:pStyle w:val="FirstParagraph"/>
      </w:pPr>
      <w:r>
        <w:t xml:space="preserve">Face à cette érosion, le Sultan Hassan Ier (r. 1873-1894) prend l’initiative diplomatique en convoquant une conférence internationale pour</w:t>
      </w:r>
      <w:r>
        <w:t xml:space="preserve"> </w:t>
      </w:r>
      <w:r>
        <w:rPr>
          <w:bCs/>
          <w:b/>
        </w:rPr>
        <w:t xml:space="preserve">réguler le système des protections</w:t>
      </w:r>
      <w:r>
        <w:t xml:space="preserve">.</w:t>
      </w:r>
    </w:p>
    <w:p>
      <w:pPr>
        <w:pStyle w:val="BodyText"/>
      </w:pPr>
      <w:r>
        <w:rPr>
          <w:bCs/>
          <w:b/>
        </w:rPr>
        <w:t xml:space="preserve">Résultat paradoxal :</w:t>
      </w:r>
      <w:r>
        <w:t xml:space="preserve"> </w:t>
      </w:r>
      <w:r>
        <w:t xml:space="preserve">La Convention de Madrid (3 juillet 1880), signée par 14 puissances, devait limiter les abus. Dans les faits :</w:t>
      </w:r>
    </w:p>
    <w:tbl>
      <w:tblPr>
        <w:tblStyle w:val="Table"/>
        <w:tblW w:type="pct" w:w="5000"/>
        <w:tblLook w:firstRow="1" w:lastRow="0" w:firstColumn="0" w:lastColumn="0" w:noHBand="0" w:noVBand="0" w:val="0020"/>
        <w:jc w:val="start"/>
      </w:tblPr>
      <w:tblGrid>
        <w:gridCol w:w="2307"/>
        <w:gridCol w:w="5612"/>
      </w:tblGrid>
      <w:tr>
        <w:trPr>
          <w:tblHeader w:val="true"/>
        </w:trPr>
        <w:tc>
          <w:tcPr/>
          <w:p>
            <w:pPr>
              <w:pStyle w:val="Compact"/>
              <w:jc w:val="left"/>
            </w:pPr>
            <w:r>
              <w:t xml:space="preserve">Objectif marocain</w:t>
            </w:r>
          </w:p>
        </w:tc>
        <w:tc>
          <w:tcPr/>
          <w:p>
            <w:pPr>
              <w:pStyle w:val="Compact"/>
              <w:jc w:val="left"/>
            </w:pPr>
            <w:r>
              <w:t xml:space="preserve">Résultat effectif</w:t>
            </w:r>
          </w:p>
        </w:tc>
      </w:tr>
      <w:tr>
        <w:tc>
          <w:tcPr/>
          <w:p>
            <w:pPr>
              <w:pStyle w:val="Compact"/>
              <w:jc w:val="left"/>
            </w:pPr>
            <w:r>
              <w:t xml:space="preserve">Limiter le nombre de protégés</w:t>
            </w:r>
          </w:p>
        </w:tc>
        <w:tc>
          <w:tcPr/>
          <w:p>
            <w:pPr>
              <w:pStyle w:val="Compact"/>
              <w:jc w:val="left"/>
            </w:pPr>
            <w:r>
              <w:t xml:space="preserve">Légalisation du système, avec des quotas théoriques rarement respectés</w:t>
            </w:r>
          </w:p>
        </w:tc>
      </w:tr>
      <w:tr>
        <w:tc>
          <w:tcPr/>
          <w:p>
            <w:pPr>
              <w:pStyle w:val="Compact"/>
              <w:jc w:val="left"/>
            </w:pPr>
            <w:r>
              <w:t xml:space="preserve">Réaffirmer la souveraineté</w:t>
            </w:r>
          </w:p>
        </w:tc>
        <w:tc>
          <w:tcPr/>
          <w:p>
            <w:pPr>
              <w:pStyle w:val="Compact"/>
              <w:jc w:val="left"/>
            </w:pPr>
            <w:r>
              <w:t xml:space="preserve">Internationalisation de la gestion interne → tutelle collective</w:t>
            </w:r>
          </w:p>
        </w:tc>
      </w:tr>
      <w:tr>
        <w:tc>
          <w:tcPr/>
          <w:p>
            <w:pPr>
              <w:pStyle w:val="Compact"/>
              <w:jc w:val="left"/>
            </w:pPr>
            <w:r>
              <w:t xml:space="preserve">Éviter l’hégémonie d’une puissance</w:t>
            </w:r>
          </w:p>
        </w:tc>
        <w:tc>
          <w:tcPr/>
          <w:p>
            <w:pPr>
              <w:pStyle w:val="Compact"/>
              <w:jc w:val="left"/>
            </w:pPr>
            <w:r>
              <w:t xml:space="preserve">« Neutralisation par la rivalité » : le Maroc devient l’objet d’un équilibre européen</w:t>
            </w:r>
          </w:p>
        </w:tc>
      </w:tr>
    </w:tbl>
    <w:p>
      <w:pPr>
        <w:pStyle w:val="BodyText"/>
      </w:pPr>
      <w:r>
        <w:rPr>
          <w:bCs/>
          <w:b/>
        </w:rPr>
        <w:t xml:space="preserve">Le concept de</w:t>
      </w:r>
      <w:r>
        <w:rPr>
          <w:bCs/>
          <w:b/>
        </w:rPr>
        <w:t xml:space="preserve"> </w:t>
      </w:r>
      <w:r>
        <w:rPr>
          <w:iCs/>
          <w:i/>
          <w:bCs/>
          <w:b/>
        </w:rPr>
        <w:t xml:space="preserve">Tadmin</w:t>
      </w:r>
      <w:r>
        <w:t xml:space="preserve"> </w:t>
      </w:r>
      <w:r>
        <w:t xml:space="preserve">: Cette stratégie consistant à</w:t>
      </w:r>
      <w:r>
        <w:t xml:space="preserve"> </w:t>
      </w:r>
      <w:r>
        <w:rPr>
          <w:bCs/>
          <w:b/>
        </w:rPr>
        <w:t xml:space="preserve">internationaliser</w:t>
      </w:r>
      <w:r>
        <w:t xml:space="preserve"> </w:t>
      </w:r>
      <w:r>
        <w:t xml:space="preserve">les problèmes pour éviter la domination d’une seule puissance («</w:t>
      </w:r>
      <w:r>
        <w:t xml:space="preserve"> </w:t>
      </w:r>
      <w:r>
        <w:rPr>
          <w:iCs/>
          <w:i/>
        </w:rPr>
        <w:t xml:space="preserve">Tadmin</w:t>
      </w:r>
      <w:r>
        <w:t xml:space="preserve"> </w:t>
      </w:r>
      <w:r>
        <w:t xml:space="preserve">» = garantie multilatérale) sera la constante de la diplomatie marocaine jusqu’en 1912.</w:t>
      </w:r>
      <w:r>
        <w:rPr>
          <w:rStyle w:val="FootnoteReference"/>
        </w:rPr>
        <w:footnoteReference w:id="86"/>
      </w:r>
    </w:p>
    <w:p>
      <w:r>
        <w:pict>
          <v:rect style="width:0;height:1.5pt" o:hralign="center" o:hrstd="t" o:hr="t"/>
        </w:pict>
      </w:r>
    </w:p>
    <w:p>
      <w:pPr>
        <w:pStyle w:val="FirstParagraph"/>
      </w:pPr>
      <w:r>
        <w:t xml:space="preserve">[FIGURE_5_PROTEGES_CONSULAIRES]</w:t>
      </w:r>
    </w:p>
    <w:p>
      <w:pPr>
        <w:pStyle w:val="BlockText"/>
      </w:pPr>
      <w:r>
        <w:rPr>
          <w:bCs/>
          <w:b/>
        </w:rPr>
        <w:t xml:space="preserve">Figure 5 :</w:t>
      </w:r>
      <w:r>
        <w:t xml:space="preserve"> </w:t>
      </w:r>
      <w:r>
        <w:t xml:space="preserve">Le système des protections consulaires (1856-1912) – Évidement juridique de la souveraineté</w:t>
      </w:r>
    </w:p>
    <w:p>
      <w:pPr>
        <w:pStyle w:val="BlockText"/>
      </w:pPr>
      <w:r>
        <w:rPr>
          <w:bCs/>
          <w:b/>
        </w:rPr>
        <w:t xml:space="preserve">Documents visuels et textuels localisables :</w:t>
      </w:r>
    </w:p>
    <w:p>
      <w:pPr>
        <w:pStyle w:val="BlockText"/>
      </w:pPr>
      <w:r>
        <w:rPr>
          <w:bCs/>
          <w:b/>
        </w:rPr>
        <w:t xml:space="preserve">Dahirs et documents officiels :</w:t>
      </w:r>
      <w:r>
        <w:t xml:space="preserve"> </w:t>
      </w:r>
      <w:r>
        <w:t xml:space="preserve">-</w:t>
      </w:r>
      <w:r>
        <w:t xml:space="preserve"> </w:t>
      </w:r>
      <w:r>
        <w:rPr>
          <w:iCs/>
          <w:i/>
        </w:rPr>
        <w:t xml:space="preserve">Dahir de « Respect et Sauvegarde » (Tawqir wa Ihtiram)</w:t>
      </w:r>
      <w:r>
        <w:t xml:space="preserve"> </w:t>
      </w:r>
      <w:r>
        <w:t xml:space="preserve">— Décret royal accordant protection à un rabbin de Meknès —</w:t>
      </w:r>
      <w:r>
        <w:t xml:space="preserve"> </w:t>
      </w:r>
      <w:r>
        <w:rPr>
          <w:bCs/>
          <w:b/>
        </w:rPr>
        <w:t xml:space="preserve">Fac-similé In :</w:t>
      </w:r>
      <w:r>
        <w:t xml:space="preserve"> </w:t>
      </w:r>
      <w:r>
        <w:t xml:space="preserve">KENBIB,</w:t>
      </w:r>
      <w:r>
        <w:t xml:space="preserve"> </w:t>
      </w:r>
      <w:r>
        <w:rPr>
          <w:iCs/>
          <w:i/>
        </w:rPr>
        <w:t xml:space="preserve">Juifs et Musulmans au Maroc</w:t>
      </w:r>
      <w:r>
        <w:t xml:space="preserve"> </w:t>
      </w:r>
      <w:r>
        <w:t xml:space="preserve">(1989). Montre le sceau royal, calligraphie arabe, formule officielle.</w:t>
      </w:r>
      <w:r>
        <w:t xml:space="preserve"> </w:t>
      </w:r>
      <w:r>
        <w:t xml:space="preserve">-</w:t>
      </w:r>
      <w:r>
        <w:t xml:space="preserve"> </w:t>
      </w:r>
      <w:r>
        <w:rPr>
          <w:iCs/>
          <w:i/>
        </w:rPr>
        <w:t xml:space="preserve">Dahirs de protection pour marchands européens et levantins</w:t>
      </w:r>
      <w:r>
        <w:t xml:space="preserve"> </w:t>
      </w:r>
      <w:r>
        <w:t xml:space="preserve">— Copies manuscrites —</w:t>
      </w:r>
      <w:r>
        <w:t xml:space="preserve"> </w:t>
      </w:r>
      <w:r>
        <w:rPr>
          <w:bCs/>
          <w:b/>
        </w:rPr>
        <w:t xml:space="preserve">Source :</w:t>
      </w:r>
      <w:r>
        <w:t xml:space="preserve"> </w:t>
      </w:r>
      <w:r>
        <w:t xml:space="preserve">Archives Royales (Rabat) ou Archives MAE (Paris), dossiers « Protégés ».</w:t>
      </w:r>
      <w:r>
        <w:t xml:space="preserve"> </w:t>
      </w:r>
      <w:r>
        <w:t xml:space="preserve">-</w:t>
      </w:r>
      <w:r>
        <w:t xml:space="preserve"> </w:t>
      </w:r>
      <w:r>
        <w:rPr>
          <w:iCs/>
          <w:i/>
        </w:rPr>
        <w:t xml:space="preserve">Copie du Firman du Sultan autorisant l’emprunt national de 1904</w:t>
      </w:r>
      <w:r>
        <w:t xml:space="preserve"> </w:t>
      </w:r>
      <w:r>
        <w:t xml:space="preserve">— Document avec cachet/empreinte de Moulay Abdelaziz —</w:t>
      </w:r>
      <w:r>
        <w:t xml:space="preserve"> </w:t>
      </w:r>
      <w:r>
        <w:rPr>
          <w:bCs/>
          <w:b/>
        </w:rPr>
        <w:t xml:space="preserve">Fac-similé In :</w:t>
      </w:r>
      <w:r>
        <w:t xml:space="preserve"> </w:t>
      </w:r>
      <w:r>
        <w:rPr>
          <w:iCs/>
          <w:i/>
        </w:rPr>
        <w:t xml:space="preserve">Documents Diplomatiques - Affaires du Maroc 1901-1905</w:t>
      </w:r>
      <w:r>
        <w:t xml:space="preserve">.</w:t>
      </w:r>
      <w:r>
        <w:t xml:space="preserve"> </w:t>
      </w:r>
      <w:r>
        <w:t xml:space="preserve">-</w:t>
      </w:r>
      <w:r>
        <w:t xml:space="preserve"> </w:t>
      </w:r>
      <w:r>
        <w:rPr>
          <w:iCs/>
          <w:i/>
        </w:rPr>
        <w:t xml:space="preserve">Listes officielles des protégés par nation</w:t>
      </w:r>
      <w:r>
        <w:t xml:space="preserve"> </w:t>
      </w:r>
      <w:r>
        <w:t xml:space="preserve">— Registres consulaires —</w:t>
      </w:r>
      <w:r>
        <w:t xml:space="preserve"> </w:t>
      </w:r>
      <w:r>
        <w:rPr>
          <w:bCs/>
          <w:b/>
        </w:rPr>
        <w:t xml:space="preserve">Source :</w:t>
      </w:r>
      <w:r>
        <w:t xml:space="preserve"> </w:t>
      </w:r>
      <w:r>
        <w:t xml:space="preserve">Public Record Office (Londres), F.O. 99/174, ou Archives MAE (Paris).</w:t>
      </w:r>
    </w:p>
    <w:p>
      <w:pPr>
        <w:pStyle w:val="BlockText"/>
      </w:pPr>
      <w:r>
        <w:rPr>
          <w:bCs/>
          <w:b/>
        </w:rPr>
        <w:t xml:space="preserve">Correspondances et rapports diplomatiques :</w:t>
      </w:r>
      <w:r>
        <w:t xml:space="preserve"> </w:t>
      </w:r>
      <w:r>
        <w:t xml:space="preserve">-</w:t>
      </w:r>
      <w:r>
        <w:t xml:space="preserve"> </w:t>
      </w:r>
      <w:r>
        <w:rPr>
          <w:iCs/>
          <w:i/>
        </w:rPr>
        <w:t xml:space="preserve">Dépêches des consuls sur les abus du système des protections</w:t>
      </w:r>
      <w:r>
        <w:t xml:space="preserve"> </w:t>
      </w:r>
      <w:r>
        <w:t xml:space="preserve">— Rapports détaillant les fraudes —</w:t>
      </w:r>
      <w:r>
        <w:t xml:space="preserve"> </w:t>
      </w:r>
      <w:r>
        <w:rPr>
          <w:bCs/>
          <w:b/>
        </w:rPr>
        <w:t xml:space="preserve">Source :</w:t>
      </w:r>
      <w:r>
        <w:t xml:space="preserve"> </w:t>
      </w:r>
      <w:r>
        <w:t xml:space="preserve">Public Record Office (Londres), F.O. 99 (Morocco General) et F.O. 174 (Morocco - Tangier), 1850-1912.</w:t>
      </w:r>
      <w:r>
        <w:t xml:space="preserve"> </w:t>
      </w:r>
      <w:r>
        <w:t xml:space="preserve">-</w:t>
      </w:r>
      <w:r>
        <w:t xml:space="preserve"> </w:t>
      </w:r>
      <w:r>
        <w:rPr>
          <w:iCs/>
          <w:i/>
        </w:rPr>
        <w:t xml:space="preserve">Correspondance du consul britannique John Drummond Hay</w:t>
      </w:r>
      <w:r>
        <w:t xml:space="preserve"> </w:t>
      </w:r>
      <w:r>
        <w:t xml:space="preserve">(1845-1886) — 40+ lettres décrivant les mécanismes d’obtention des protections —</w:t>
      </w:r>
      <w:r>
        <w:t xml:space="preserve"> </w:t>
      </w:r>
      <w:r>
        <w:rPr>
          <w:bCs/>
          <w:b/>
        </w:rPr>
        <w:t xml:space="preserve">Consultable par :</w:t>
      </w:r>
      <w:r>
        <w:t xml:space="preserve"> </w:t>
      </w:r>
      <w:r>
        <w:t xml:space="preserve">Public Record Office, séries F.O. 99/Hay Collection.</w:t>
      </w:r>
      <w:r>
        <w:t xml:space="preserve"> </w:t>
      </w:r>
      <w:r>
        <w:t xml:space="preserve">-</w:t>
      </w:r>
      <w:r>
        <w:t xml:space="preserve"> </w:t>
      </w:r>
      <w:r>
        <w:rPr>
          <w:iCs/>
          <w:i/>
        </w:rPr>
        <w:t xml:space="preserve">Notes des diplomates français sur la Convention de Madrid (1880)</w:t>
      </w:r>
      <w:r>
        <w:t xml:space="preserve"> </w:t>
      </w:r>
      <w:r>
        <w:t xml:space="preserve">—</w:t>
      </w:r>
      <w:r>
        <w:t xml:space="preserve"> </w:t>
      </w:r>
      <w:r>
        <w:rPr>
          <w:bCs/>
          <w:b/>
        </w:rPr>
        <w:t xml:space="preserve">Source :</w:t>
      </w:r>
      <w:r>
        <w:t xml:space="preserve"> </w:t>
      </w:r>
      <w:r>
        <w:t xml:space="preserve">Archives du MAE (Paris), Fonds Correspondance politique et consulaire, vol. 1850-1900.</w:t>
      </w:r>
    </w:p>
    <w:p>
      <w:pPr>
        <w:pStyle w:val="BlockText"/>
      </w:pPr>
      <w:r>
        <w:rPr>
          <w:bCs/>
          <w:b/>
        </w:rPr>
        <w:t xml:space="preserve">Listes de protégés :</w:t>
      </w:r>
      <w:r>
        <w:t xml:space="preserve"> </w:t>
      </w:r>
      <w:r>
        <w:t xml:space="preserve">-</w:t>
      </w:r>
      <w:r>
        <w:t xml:space="preserve"> </w:t>
      </w:r>
      <w:r>
        <w:rPr>
          <w:iCs/>
          <w:i/>
        </w:rPr>
        <w:t xml:space="preserve">« État nominatif des protégés du Maroc »</w:t>
      </w:r>
      <w:r>
        <w:t xml:space="preserve"> </w:t>
      </w:r>
      <w:r>
        <w:t xml:space="preserve">(divers états) — Registres consulaires français —</w:t>
      </w:r>
      <w:r>
        <w:t xml:space="preserve"> </w:t>
      </w:r>
      <w:r>
        <w:rPr>
          <w:bCs/>
          <w:b/>
        </w:rPr>
        <w:t xml:space="preserve">Source :</w:t>
      </w:r>
      <w:r>
        <w:t xml:space="preserve"> </w:t>
      </w:r>
      <w:r>
        <w:t xml:space="preserve">Archives MAE, dossiers « Protections ».</w:t>
      </w:r>
    </w:p>
    <w:p>
      <w:pPr>
        <w:pStyle w:val="BlockText"/>
      </w:pPr>
      <w:r>
        <w:rPr>
          <w:bCs/>
          <w:b/>
        </w:rPr>
        <w:t xml:space="preserve">Fonds d’archives complets :</w:t>
      </w:r>
      <w:r>
        <w:t xml:space="preserve"> </w:t>
      </w:r>
      <w:r>
        <w:t xml:space="preserve">-</w:t>
      </w:r>
      <w:r>
        <w:t xml:space="preserve"> </w:t>
      </w:r>
      <w:r>
        <w:rPr>
          <w:bCs/>
          <w:b/>
        </w:rPr>
        <w:t xml:space="preserve">Public Record Office (Londres) :</w:t>
      </w:r>
      <w:r>
        <w:t xml:space="preserve"> </w:t>
      </w:r>
      <w:r>
        <w:t xml:space="preserve">F.O. 99/1-500 (Morocco General, 1830-1920s) ; F.O. 174/1-300 (Morocco - Tangier Legation, 1850-1912) ; Hay Collection</w:t>
      </w:r>
      <w:r>
        <w:t xml:space="preserve"> </w:t>
      </w:r>
      <w:r>
        <w:t xml:space="preserve">-</w:t>
      </w:r>
      <w:r>
        <w:t xml:space="preserve"> </w:t>
      </w:r>
      <w:r>
        <w:rPr>
          <w:bCs/>
          <w:b/>
        </w:rPr>
        <w:t xml:space="preserve">Archives du MAE (Paris) :</w:t>
      </w:r>
      <w:r>
        <w:t xml:space="preserve"> </w:t>
      </w:r>
      <w:r>
        <w:t xml:space="preserve">Correspondance politique et consulaire Maroc vol. 1-20 (1830-1912) ; Mémoires et Documents (Protections)</w:t>
      </w:r>
      <w:r>
        <w:t xml:space="preserve"> </w:t>
      </w:r>
      <w:r>
        <w:t xml:space="preserve">-</w:t>
      </w:r>
      <w:r>
        <w:t xml:space="preserve"> </w:t>
      </w:r>
      <w:r>
        <w:rPr>
          <w:bCs/>
          <w:b/>
        </w:rPr>
        <w:t xml:space="preserve">Direction des Archives Royales (Rabat) :</w:t>
      </w:r>
      <w:r>
        <w:t xml:space="preserve"> </w:t>
      </w:r>
      <w:r>
        <w:t xml:space="preserve">Dahirs, correspondance sultans-consuls</w:t>
      </w:r>
    </w:p>
    <w:p>
      <w:pPr>
        <w:pStyle w:val="BlockText"/>
      </w:pPr>
      <w:r>
        <w:rPr>
          <w:bCs/>
          <w:b/>
        </w:rPr>
        <w:t xml:space="preserve">Ressources numériques :</w:t>
      </w:r>
      <w:r>
        <w:t xml:space="preserve"> </w:t>
      </w:r>
      <w:r>
        <w:t xml:space="preserve">- British History Online (bho.org.uk) : Passages de correspondances British FO</w:t>
      </w:r>
      <w:r>
        <w:t xml:space="preserve"> </w:t>
      </w:r>
      <w:r>
        <w:t xml:space="preserve">- Archives MAE (France) : archives.diplomatie.gouv.fr</w:t>
      </w:r>
      <w:r>
        <w:t xml:space="preserve"> </w:t>
      </w:r>
      <w:r>
        <w:t xml:space="preserve">- Archive.org :</w:t>
      </w:r>
      <w:r>
        <w:t xml:space="preserve"> </w:t>
      </w:r>
      <w:r>
        <w:rPr>
          <w:iCs/>
          <w:i/>
        </w:rPr>
        <w:t xml:space="preserve">Documents Diplomatiques - Affaires du Maroc</w:t>
      </w:r>
      <w:r>
        <w:t xml:space="preserve"> </w:t>
      </w:r>
      <w:r>
        <w:t xml:space="preserve">(1901-1905) numérisés</w:t>
      </w:r>
    </w:p>
    <w:p>
      <w:r>
        <w:pict>
          <v:rect style="width:0;height:1.5pt" o:hralign="center" o:hrstd="t" o:hr="t"/>
        </w:pict>
      </w:r>
    </w:p>
    <w:bookmarkEnd w:id="87"/>
    <w:bookmarkEnd w:id="88"/>
    <w:bookmarkStart w:id="94" w:name="Xc2f9a7244da4b8461a3f484adc3930983c562fc"/>
    <w:p>
      <w:pPr>
        <w:pStyle w:val="Heading3"/>
      </w:pPr>
      <w:r>
        <w:t xml:space="preserve">3. Le système des protections consulaires : évidement de la souveraineté</w:t>
      </w:r>
    </w:p>
    <w:bookmarkStart w:id="91" w:name="X681e85788f6900c7c7038b95f40a4bb91a371c7"/>
    <w:p>
      <w:pPr>
        <w:pStyle w:val="Heading4"/>
      </w:pPr>
      <w:r>
        <w:t xml:space="preserve">Le traité anglo-marocain de 1856 : tournant libéral forcé et « Empire Informel »</w:t>
      </w:r>
    </w:p>
    <w:p>
      <w:pPr>
        <w:pStyle w:val="FirstParagraph"/>
      </w:pPr>
      <w:r>
        <w:t xml:space="preserve">L’historiographie récente, notamment les travaux de Khalid Ben-Srhir sur l’ambassade de John Drummond Hay (1845-1886), permet de dépasser l’analyse descriptive du traité de 1856 pour révéler la</w:t>
      </w:r>
      <w:r>
        <w:t xml:space="preserve"> </w:t>
      </w:r>
      <w:r>
        <w:rPr>
          <w:bCs/>
          <w:b/>
        </w:rPr>
        <w:t xml:space="preserve">mécanique systémique de l’Empire Informel britannique</w:t>
      </w:r>
      <w:r>
        <w:t xml:space="preserve"> </w:t>
      </w:r>
      <w:r>
        <w:t xml:space="preserve">au Maroc.</w:t>
      </w:r>
      <w:r>
        <w:rPr>
          <w:rStyle w:val="FootnoteReference"/>
        </w:rPr>
        <w:footnoteReference w:id="89"/>
      </w:r>
    </w:p>
    <w:p>
      <w:pPr>
        <w:pStyle w:val="BodyText"/>
      </w:pPr>
      <w:r>
        <w:t xml:space="preserve">Ce traité marque la</w:t>
      </w:r>
      <w:r>
        <w:t xml:space="preserve"> </w:t>
      </w:r>
      <w:r>
        <w:rPr>
          <w:bCs/>
          <w:b/>
        </w:rPr>
        <w:t xml:space="preserve">fin de la maîtrise marocaine</w:t>
      </w:r>
      <w:r>
        <w:t xml:space="preserve"> </w:t>
      </w:r>
      <w:r>
        <w:t xml:space="preserve">sur sa politique commerciale :</w:t>
      </w:r>
    </w:p>
    <w:tbl>
      <w:tblPr>
        <w:tblStyle w:val="Table"/>
        <w:tblW w:type="pct" w:w="5000"/>
        <w:tblLook w:firstRow="1" w:lastRow="0" w:firstColumn="0" w:lastColumn="0" w:noHBand="0" w:noVBand="0" w:val="0020"/>
        <w:jc w:val="start"/>
      </w:tblPr>
      <w:tblGrid>
        <w:gridCol w:w="2828"/>
        <w:gridCol w:w="5091"/>
      </w:tblGrid>
      <w:tr>
        <w:trPr>
          <w:tblHeader w:val="true"/>
        </w:trPr>
        <w:tc>
          <w:tcPr/>
          <w:p>
            <w:pPr>
              <w:pStyle w:val="Compact"/>
              <w:jc w:val="left"/>
            </w:pPr>
            <w:r>
              <w:t xml:space="preserve">Clause</w:t>
            </w:r>
          </w:p>
        </w:tc>
        <w:tc>
          <w:tcPr/>
          <w:p>
            <w:pPr>
              <w:pStyle w:val="Compact"/>
              <w:jc w:val="left"/>
            </w:pPr>
            <w:r>
              <w:t xml:space="preserve">Conséquence</w:t>
            </w:r>
          </w:p>
        </w:tc>
      </w:tr>
      <w:tr>
        <w:tc>
          <w:tcPr/>
          <w:p>
            <w:pPr>
              <w:pStyle w:val="Compact"/>
              <w:jc w:val="left"/>
            </w:pPr>
            <w:r>
              <w:t xml:space="preserve">Abolition des monopoles royaux (</w:t>
            </w:r>
            <w:r>
              <w:rPr>
                <w:iCs/>
                <w:i/>
              </w:rPr>
              <w:t xml:space="preserve">Kuntradat</w:t>
            </w:r>
            <w:r>
              <w:t xml:space="preserve">)</w:t>
            </w:r>
          </w:p>
        </w:tc>
        <w:tc>
          <w:tcPr/>
          <w:p>
            <w:pPr>
              <w:pStyle w:val="Compact"/>
              <w:jc w:val="left"/>
            </w:pPr>
            <w:r>
              <w:t xml:space="preserve">Le Sultan perd le contrôle du commerce stratégique (armes, céréales)</w:t>
            </w:r>
          </w:p>
        </w:tc>
      </w:tr>
      <w:tr>
        <w:tc>
          <w:tcPr/>
          <w:p>
            <w:pPr>
              <w:pStyle w:val="Compact"/>
              <w:jc w:val="left"/>
            </w:pPr>
            <w:r>
              <w:t xml:space="preserve">Droits de douane fixés à 10%</w:t>
            </w:r>
          </w:p>
        </w:tc>
        <w:tc>
          <w:tcPr/>
          <w:p>
            <w:pPr>
              <w:pStyle w:val="Compact"/>
              <w:jc w:val="left"/>
            </w:pPr>
            <w:r>
              <w:t xml:space="preserve">Rigidification fiscale, perte du levier douanier</w:t>
            </w:r>
          </w:p>
        </w:tc>
      </w:tr>
      <w:tr>
        <w:tc>
          <w:tcPr/>
          <w:p>
            <w:pPr>
              <w:pStyle w:val="Compact"/>
              <w:jc w:val="left"/>
            </w:pPr>
            <w:r>
              <w:t xml:space="preserve">Extension des droits consulaires</w:t>
            </w:r>
          </w:p>
        </w:tc>
        <w:tc>
          <w:tcPr/>
          <w:p>
            <w:pPr>
              <w:pStyle w:val="Compact"/>
              <w:jc w:val="left"/>
            </w:pPr>
            <w:r>
              <w:t xml:space="preserve">Les consuls deviennent des « potentats locaux »</w:t>
            </w:r>
          </w:p>
        </w:tc>
      </w:tr>
      <w:tr>
        <w:tc>
          <w:tcPr/>
          <w:p>
            <w:pPr>
              <w:pStyle w:val="Compact"/>
              <w:jc w:val="left"/>
            </w:pPr>
            <w:r>
              <w:t xml:space="preserve">Protection des « associés agricoles »</w:t>
            </w:r>
          </w:p>
        </w:tc>
        <w:tc>
          <w:tcPr/>
          <w:p>
            <w:pPr>
              <w:pStyle w:val="Compact"/>
              <w:jc w:val="left"/>
            </w:pPr>
            <w:r>
              <w:t xml:space="preserve">Extension massive de l’extraterritorialité</w:t>
            </w:r>
          </w:p>
        </w:tc>
      </w:tr>
    </w:tbl>
    <w:p>
      <w:pPr>
        <w:pStyle w:val="BodyText"/>
      </w:pPr>
      <w:r>
        <w:rPr>
          <w:bCs/>
          <w:b/>
        </w:rPr>
        <w:t xml:space="preserve">Résultat :</w:t>
      </w:r>
      <w:r>
        <w:t xml:space="preserve"> </w:t>
      </w:r>
      <w:r>
        <w:t xml:space="preserve">Des milliers de sujets marocains échappent à l’impôt et à la justice du Sultan, ruinant l’autorité de l’État.</w:t>
      </w:r>
      <w:r>
        <w:rPr>
          <w:rStyle w:val="FootnoteReference"/>
        </w:rPr>
        <w:footnoteReference w:id="90"/>
      </w:r>
    </w:p>
    <w:bookmarkEnd w:id="91"/>
    <w:bookmarkStart w:id="92" w:name="X01ddf0b8197b62592e5d63f7661b2033d797a36"/>
    <w:p>
      <w:pPr>
        <w:pStyle w:val="Heading4"/>
      </w:pPr>
      <w:r>
        <w:t xml:space="preserve">La thèse de Ben-Srhir : une « OPA hostile » sur la souveraineté économique</w:t>
      </w:r>
    </w:p>
    <w:p>
      <w:pPr>
        <w:pStyle w:val="FirstParagraph"/>
      </w:pPr>
      <w:r>
        <w:t xml:space="preserve">Ben-Srhir démontre que c’est la Grande-Bretagne, plus que toute autre puissance, qui a «</w:t>
      </w:r>
      <w:r>
        <w:t xml:space="preserve"> </w:t>
      </w:r>
      <w:r>
        <w:rPr>
          <w:bCs/>
          <w:b/>
        </w:rPr>
        <w:t xml:space="preserve">pavé la voie à la perte d’indépendance du Maroc</w:t>
      </w:r>
      <w:r>
        <w:t xml:space="preserve"> </w:t>
      </w:r>
      <w:r>
        <w:t xml:space="preserve">» – non par la conquête militaire, mais par l’ouverture commerciale incontrôlable et les réformes coûteuses qui ont drainé le trésor bien avant 1912.</w:t>
      </w:r>
    </w:p>
    <w:p>
      <w:pPr>
        <w:pStyle w:val="BodyText"/>
      </w:pPr>
      <w:r>
        <w:rPr>
          <w:bCs/>
          <w:b/>
        </w:rPr>
        <w:t xml:space="preserve">Le mécanisme de l’Empire Informel :</w:t>
      </w:r>
    </w:p>
    <w:p>
      <w:pPr>
        <w:numPr>
          <w:ilvl w:val="0"/>
          <w:numId w:val="1006"/>
        </w:numPr>
      </w:pPr>
      <w:r>
        <w:rPr>
          <w:bCs/>
          <w:b/>
        </w:rPr>
        <w:t xml:space="preserve">Attaque contre les monopoles</w:t>
      </w:r>
      <w:r>
        <w:t xml:space="preserve"> </w:t>
      </w:r>
      <w:r>
        <w:t xml:space="preserve">: Drummond Hay mène un « assaut sur le</w:t>
      </w:r>
      <w:r>
        <w:t xml:space="preserve"> </w:t>
      </w:r>
      <w:r>
        <w:rPr>
          <w:iCs/>
          <w:i/>
        </w:rPr>
        <w:t xml:space="preserve">kuntradat</w:t>
      </w:r>
      <w:r>
        <w:t xml:space="preserve"> </w:t>
      </w:r>
      <w:r>
        <w:t xml:space="preserve">», qualifiant le système commercial marocain d’« archaïque ». Il utilise un argument spécieux auprès du Sultan : les monopoles nuiraient aux revenus du Trésor en privant les commerçants de travail.</w:t>
      </w:r>
    </w:p>
    <w:p>
      <w:pPr>
        <w:numPr>
          <w:ilvl w:val="0"/>
          <w:numId w:val="1006"/>
        </w:numPr>
      </w:pPr>
      <w:r>
        <w:rPr>
          <w:bCs/>
          <w:b/>
        </w:rPr>
        <w:t xml:space="preserve">Imposition par la contrainte</w:t>
      </w:r>
      <w:r>
        <w:t xml:space="preserve"> </w:t>
      </w:r>
      <w:r>
        <w:t xml:space="preserve">: Le traité n’a pas été accepté volontairement mais «</w:t>
      </w:r>
      <w:r>
        <w:t xml:space="preserve"> </w:t>
      </w:r>
      <w:r>
        <w:rPr>
          <w:iCs/>
          <w:i/>
        </w:rPr>
        <w:t xml:space="preserve">under Duress</w:t>
      </w:r>
      <w:r>
        <w:t xml:space="preserve"> </w:t>
      </w:r>
      <w:r>
        <w:t xml:space="preserve">» (sous contrainte). Drummond Hay menace explicitement : si le nouveau traité n’est pas ratifié selon ses termes, l’Angleterre exigera davantage par la force.</w:t>
      </w:r>
    </w:p>
    <w:p>
      <w:pPr>
        <w:numPr>
          <w:ilvl w:val="0"/>
          <w:numId w:val="1006"/>
        </w:numPr>
      </w:pPr>
      <w:r>
        <w:rPr>
          <w:bCs/>
          <w:b/>
        </w:rPr>
        <w:t xml:space="preserve">Invasion économique</w:t>
      </w:r>
      <w:r>
        <w:t xml:space="preserve"> </w:t>
      </w:r>
      <w:r>
        <w:t xml:space="preserve">: Les textiles en coton de Manchester représentent plus des</w:t>
      </w:r>
      <w:r>
        <w:t xml:space="preserve"> </w:t>
      </w:r>
      <w:r>
        <w:rPr>
          <w:bCs/>
          <w:b/>
        </w:rPr>
        <w:t xml:space="preserve">deux tiers des importations britanniques</w:t>
      </w:r>
      <w:r>
        <w:t xml:space="preserve"> </w:t>
      </w:r>
      <w:r>
        <w:t xml:space="preserve">vers le Maroc dans la seconde moitié du XIXe siècle. Cette pénétration détruit l’artisanat local et crée une dépendance structurelle aux produits manufacturés européens.</w:t>
      </w:r>
    </w:p>
    <w:p>
      <w:pPr>
        <w:numPr>
          <w:ilvl w:val="0"/>
          <w:numId w:val="1006"/>
        </w:numPr>
      </w:pPr>
      <w:r>
        <w:rPr>
          <w:bCs/>
          <w:b/>
        </w:rPr>
        <w:t xml:space="preserve">Instrumentalisation des protégés</w:t>
      </w:r>
      <w:r>
        <w:t xml:space="preserve"> </w:t>
      </w:r>
      <w:r>
        <w:t xml:space="preserve">: La protection consulaire n’était pas un acte humanitaire mais un outil de pénétration. Ben-Srhir qualifie l’abus croissant de cette protection de «</w:t>
      </w:r>
      <w:r>
        <w:t xml:space="preserve"> </w:t>
      </w:r>
      <w:r>
        <w:rPr>
          <w:bCs/>
          <w:b/>
        </w:rPr>
        <w:t xml:space="preserve">méthode la plus importante par laquelle la souveraineté marocaine a été minée au XIXe siècle</w:t>
      </w:r>
      <w:r>
        <w:t xml:space="preserve"> </w:t>
      </w:r>
      <w:r>
        <w:t xml:space="preserve">». Les élites juives protégées, soustraites au statut de</w:t>
      </w:r>
      <w:r>
        <w:t xml:space="preserve"> </w:t>
      </w:r>
      <w:r>
        <w:rPr>
          <w:iCs/>
          <w:i/>
        </w:rPr>
        <w:t xml:space="preserve">dhimmi</w:t>
      </w:r>
      <w:r>
        <w:t xml:space="preserve">, deviennent des « têtes de pont » de l’économie britannique.</w:t>
      </w:r>
    </w:p>
    <w:p>
      <w:pPr>
        <w:pStyle w:val="BlockText"/>
      </w:pPr>
      <w:r>
        <w:rPr>
          <w:bCs/>
          <w:b/>
        </w:rPr>
        <w:t xml:space="preserve">L’argument-choc :</w:t>
      </w:r>
      <w:r>
        <w:t xml:space="preserve"> </w:t>
      </w:r>
      <w:r>
        <w:t xml:space="preserve">« La souveraineté n’a pas été perdue militairement en 1912 ; elle a été</w:t>
      </w:r>
      <w:r>
        <w:t xml:space="preserve"> </w:t>
      </w:r>
      <w:r>
        <w:rPr>
          <w:bCs/>
          <w:b/>
        </w:rPr>
        <w:t xml:space="preserve">dissoute économiquement en 1856</w:t>
      </w:r>
      <w:r>
        <w:t xml:space="preserve">. » Le Traité de Fès ne fait que formaliser juridiquement une dépossession déjà accomplie par le libre-échange.</w:t>
      </w:r>
    </w:p>
    <w:bookmarkEnd w:id="92"/>
    <w:bookmarkStart w:id="93" w:name="le-cercle-vicieux-de-lendettement"/>
    <w:p>
      <w:pPr>
        <w:pStyle w:val="Heading4"/>
      </w:pPr>
      <w:r>
        <w:t xml:space="preserve">Le cercle vicieux de l’endettement</w:t>
      </w:r>
    </w:p>
    <w:p>
      <w:pPr>
        <w:pStyle w:val="FirstParagraph"/>
      </w:pPr>
      <w:r>
        <w:t xml:space="preserve">L’érosion fiscale combinée aux indemnités de guerre crée un</w:t>
      </w:r>
      <w:r>
        <w:t xml:space="preserve"> </w:t>
      </w:r>
      <w:r>
        <w:rPr>
          <w:bCs/>
          <w:b/>
        </w:rPr>
        <w:t xml:space="preserve">cercle vicieux</w:t>
      </w:r>
      <w:r>
        <w:t xml:space="preserve"> </w:t>
      </w:r>
      <w:r>
        <w:t xml:space="preserve">:</w:t>
      </w:r>
    </w:p>
    <w:p>
      <w:pPr>
        <w:pStyle w:val="SourceCode"/>
      </w:pPr>
      <w:r>
        <w:rPr>
          <w:rStyle w:val="VerbatimChar"/>
        </w:rPr>
        <w:t xml:space="preserve">Défaite militaire → Indemnité → Endettement → Emprunts européens </w:t>
      </w:r>
      <w:r>
        <w:br/>
      </w:r>
      <w:r>
        <w:rPr>
          <w:rStyle w:val="VerbatimChar"/>
        </w:rPr>
        <w:t xml:space="preserve">→ Mise sous tutelle des douanes → Perte de revenus → Affaiblissement militaire </w:t>
      </w:r>
      <w:r>
        <w:br/>
      </w:r>
      <w:r>
        <w:rPr>
          <w:rStyle w:val="VerbatimChar"/>
        </w:rPr>
        <w:t xml:space="preserve">→ Nouvelle défaite...</w:t>
      </w:r>
    </w:p>
    <w:p>
      <w:r>
        <w:pict>
          <v:rect style="width:0;height:1.5pt" o:hralign="center" o:hrstd="t" o:hr="t"/>
        </w:pict>
      </w:r>
    </w:p>
    <w:p>
      <w:r>
        <w:pict>
          <v:rect style="width:0;height:1.5pt" o:hralign="center" o:hrstd="t" o:hr="t"/>
        </w:pict>
      </w:r>
    </w:p>
    <w:p>
      <w:pPr>
        <w:pStyle w:val="FirstParagraph"/>
      </w:pPr>
      <w:r>
        <w:t xml:space="preserve">[FIGURE_12_ACTEURS_DIPLOMATIE_CRISE]</w:t>
      </w:r>
    </w:p>
    <w:p>
      <w:pPr>
        <w:pStyle w:val="BlockText"/>
      </w:pPr>
      <w:r>
        <w:rPr>
          <w:bCs/>
          <w:b/>
        </w:rPr>
        <w:t xml:space="preserve">Figure 12 :</w:t>
      </w:r>
      <w:r>
        <w:t xml:space="preserve"> </w:t>
      </w:r>
      <w:r>
        <w:t xml:space="preserve">Les acteurs de la diplomatie marocaine en crise (1900-1906)</w:t>
      </w:r>
    </w:p>
    <w:p>
      <w:pPr>
        <w:pStyle w:val="BlockText"/>
      </w:pPr>
      <w:r>
        <w:rPr>
          <w:bCs/>
          <w:b/>
        </w:rPr>
        <w:t xml:space="preserve">Portraits des sultans et ministres :</w:t>
      </w:r>
      <w:r>
        <w:t xml:space="preserve"> </w:t>
      </w:r>
      <w:r>
        <w:t xml:space="preserve">-</w:t>
      </w:r>
      <w:r>
        <w:t xml:space="preserve"> </w:t>
      </w:r>
      <w:r>
        <w:rPr>
          <w:iCs/>
          <w:i/>
        </w:rPr>
        <w:t xml:space="preserve">Portrait du Sultan Hassan Ier (1873-1894)</w:t>
      </w:r>
      <w:r>
        <w:t xml:space="preserve"> </w:t>
      </w:r>
      <w:r>
        <w:t xml:space="preserve">— Dessin —</w:t>
      </w:r>
      <w:r>
        <w:t xml:space="preserve"> </w:t>
      </w:r>
      <w:r>
        <w:rPr>
          <w:bCs/>
          <w:b/>
        </w:rPr>
        <w:t xml:space="preserve">Source :</w:t>
      </w:r>
      <w:r>
        <w:t xml:space="preserve"> </w:t>
      </w:r>
      <w:r>
        <w:t xml:space="preserve">TAZI, T.9. Réformateur, initiateur de la Convention de Madrid (1880).</w:t>
      </w:r>
      <w:r>
        <w:t xml:space="preserve"> </w:t>
      </w:r>
      <w:r>
        <w:t xml:space="preserve">-</w:t>
      </w:r>
      <w:r>
        <w:t xml:space="preserve"> </w:t>
      </w:r>
      <w:r>
        <w:rPr>
          <w:iCs/>
          <w:i/>
        </w:rPr>
        <w:t xml:space="preserve">Portrait du Sultan Moulay Abdelaziz (1894-1908)</w:t>
      </w:r>
      <w:r>
        <w:t xml:space="preserve"> </w:t>
      </w:r>
      <w:r>
        <w:t xml:space="preserve">— Portrait officiel —</w:t>
      </w:r>
      <w:r>
        <w:t xml:space="preserve"> </w:t>
      </w:r>
      <w:r>
        <w:rPr>
          <w:bCs/>
          <w:b/>
        </w:rPr>
        <w:t xml:space="preserve">Source :</w:t>
      </w:r>
      <w:r>
        <w:t xml:space="preserve"> </w:t>
      </w:r>
      <w:r>
        <w:t xml:space="preserve">TAZI, T.9 ; Archives Royales (Rabat). Confronté à la crise de 1900-1906.</w:t>
      </w:r>
      <w:r>
        <w:t xml:space="preserve"> </w:t>
      </w:r>
      <w:r>
        <w:t xml:space="preserve">-</w:t>
      </w:r>
      <w:r>
        <w:t xml:space="preserve"> </w:t>
      </w:r>
      <w:r>
        <w:rPr>
          <w:iCs/>
          <w:i/>
        </w:rPr>
        <w:t xml:space="preserve">Portrait du ministre Ben Jelloun</w:t>
      </w:r>
      <w:r>
        <w:t xml:space="preserve"> </w:t>
      </w:r>
      <w:r>
        <w:t xml:space="preserve">— Conseiller du Sultan —</w:t>
      </w:r>
      <w:r>
        <w:t xml:space="preserve"> </w:t>
      </w:r>
      <w:r>
        <w:rPr>
          <w:bCs/>
          <w:b/>
        </w:rPr>
        <w:t xml:space="preserve">Source :</w:t>
      </w:r>
      <w:r>
        <w:t xml:space="preserve"> </w:t>
      </w:r>
      <w:r>
        <w:t xml:space="preserve">TAZI, T.9 ; Archives MAE (Paris).</w:t>
      </w:r>
      <w:r>
        <w:t xml:space="preserve"> </w:t>
      </w:r>
      <w:r>
        <w:t xml:space="preserve">-</w:t>
      </w:r>
      <w:r>
        <w:t xml:space="preserve"> </w:t>
      </w:r>
      <w:r>
        <w:rPr>
          <w:iCs/>
          <w:i/>
        </w:rPr>
        <w:t xml:space="preserve">Portrait du Grand Vizir Mohammed ibn al-Aouad</w:t>
      </w:r>
      <w:r>
        <w:t xml:space="preserve"> </w:t>
      </w:r>
      <w:r>
        <w:t xml:space="preserve">— Réformateur —</w:t>
      </w:r>
      <w:r>
        <w:t xml:space="preserve"> </w:t>
      </w:r>
      <w:r>
        <w:rPr>
          <w:bCs/>
          <w:b/>
        </w:rPr>
        <w:t xml:space="preserve">Source :</w:t>
      </w:r>
      <w:r>
        <w:t xml:space="preserve"> </w:t>
      </w:r>
      <w:r>
        <w:t xml:space="preserve">Archives Royales.</w:t>
      </w:r>
    </w:p>
    <w:p>
      <w:pPr>
        <w:pStyle w:val="BlockText"/>
      </w:pPr>
      <w:r>
        <w:rPr>
          <w:bCs/>
          <w:b/>
        </w:rPr>
        <w:t xml:space="preserve">Diplomates marocains :</w:t>
      </w:r>
      <w:r>
        <w:t xml:space="preserve"> </w:t>
      </w:r>
      <w:r>
        <w:t xml:space="preserve">-</w:t>
      </w:r>
      <w:r>
        <w:t xml:space="preserve"> </w:t>
      </w:r>
      <w:r>
        <w:rPr>
          <w:iCs/>
          <w:i/>
        </w:rPr>
        <w:t xml:space="preserve">Caïd Ash’ash</w:t>
      </w:r>
      <w:r>
        <w:t xml:space="preserve"> </w:t>
      </w:r>
      <w:r>
        <w:t xml:space="preserve">— Envoyé diplomatique —</w:t>
      </w:r>
      <w:r>
        <w:t xml:space="preserve"> </w:t>
      </w:r>
      <w:r>
        <w:rPr>
          <w:bCs/>
          <w:b/>
        </w:rPr>
        <w:t xml:space="preserve">Source :</w:t>
      </w:r>
      <w:r>
        <w:t xml:space="preserve"> </w:t>
      </w:r>
      <w:r>
        <w:t xml:space="preserve">TAZI, T.9 ; portrait + correspondances.</w:t>
      </w:r>
      <w:r>
        <w:t xml:space="preserve"> </w:t>
      </w:r>
      <w:r>
        <w:t xml:space="preserve">-</w:t>
      </w:r>
      <w:r>
        <w:t xml:space="preserve"> </w:t>
      </w:r>
      <w:r>
        <w:rPr>
          <w:iCs/>
          <w:i/>
        </w:rPr>
        <w:t xml:space="preserve">Ben Driss</w:t>
      </w:r>
      <w:r>
        <w:t xml:space="preserve"> </w:t>
      </w:r>
      <w:r>
        <w:t xml:space="preserve">— Diplomate —</w:t>
      </w:r>
      <w:r>
        <w:t xml:space="preserve"> </w:t>
      </w:r>
      <w:r>
        <w:rPr>
          <w:bCs/>
          <w:b/>
        </w:rPr>
        <w:t xml:space="preserve">Source :</w:t>
      </w:r>
      <w:r>
        <w:t xml:space="preserve"> </w:t>
      </w:r>
      <w:r>
        <w:t xml:space="preserve">TAZI, T.9.</w:t>
      </w:r>
      <w:r>
        <w:t xml:space="preserve"> </w:t>
      </w:r>
      <w:r>
        <w:t xml:space="preserve">-</w:t>
      </w:r>
      <w:r>
        <w:t xml:space="preserve"> </w:t>
      </w:r>
      <w:r>
        <w:rPr>
          <w:iCs/>
          <w:i/>
        </w:rPr>
        <w:t xml:space="preserve">Ambassadeur Abdallah Zarroug</w:t>
      </w:r>
      <w:r>
        <w:t xml:space="preserve"> </w:t>
      </w:r>
      <w:r>
        <w:t xml:space="preserve">— Représentant auprès des puissances —</w:t>
      </w:r>
      <w:r>
        <w:t xml:space="preserve"> </w:t>
      </w:r>
      <w:r>
        <w:rPr>
          <w:bCs/>
          <w:b/>
        </w:rPr>
        <w:t xml:space="preserve">Source :</w:t>
      </w:r>
      <w:r>
        <w:t xml:space="preserve"> </w:t>
      </w:r>
      <w:r>
        <w:t xml:space="preserve">Archives MAE (Paris) ; TAZI, T.9.</w:t>
      </w:r>
    </w:p>
    <w:p>
      <w:pPr>
        <w:pStyle w:val="BlockText"/>
      </w:pPr>
      <w:r>
        <w:rPr>
          <w:bCs/>
          <w:b/>
        </w:rPr>
        <w:t xml:space="preserve">Correspondances diplomatiques :</w:t>
      </w:r>
      <w:r>
        <w:t xml:space="preserve"> </w:t>
      </w:r>
      <w:r>
        <w:t xml:space="preserve">-</w:t>
      </w:r>
      <w:r>
        <w:t xml:space="preserve"> </w:t>
      </w:r>
      <w:r>
        <w:rPr>
          <w:iCs/>
          <w:i/>
        </w:rPr>
        <w:t xml:space="preserve">Lettres du Sultan Moulay Abdelaziz demandant l’internationalisation</w:t>
      </w:r>
      <w:r>
        <w:t xml:space="preserve"> </w:t>
      </w:r>
      <w:r>
        <w:t xml:space="preserve">— 1904-1906 —</w:t>
      </w:r>
      <w:r>
        <w:t xml:space="preserve"> </w:t>
      </w:r>
      <w:r>
        <w:rPr>
          <w:bCs/>
          <w:b/>
        </w:rPr>
        <w:t xml:space="preserve">Source :</w:t>
      </w:r>
      <w:r>
        <w:t xml:space="preserve"> </w:t>
      </w:r>
      <w:r>
        <w:rPr>
          <w:iCs/>
          <w:i/>
        </w:rPr>
        <w:t xml:space="preserve">Documents Diplomatiques - Affaires du Maroc</w:t>
      </w:r>
      <w:r>
        <w:t xml:space="preserve">, p. 300-500.</w:t>
      </w:r>
      <w:r>
        <w:t xml:space="preserve"> </w:t>
      </w:r>
      <w:r>
        <w:t xml:space="preserve">-</w:t>
      </w:r>
      <w:r>
        <w:t xml:space="preserve"> </w:t>
      </w:r>
      <w:r>
        <w:rPr>
          <w:iCs/>
          <w:i/>
        </w:rPr>
        <w:t xml:space="preserve">Dépêches de l’ambassade française décrivant l’impasse</w:t>
      </w:r>
      <w:r>
        <w:t xml:space="preserve"> </w:t>
      </w:r>
      <w:r>
        <w:t xml:space="preserve">— Rapports Rouvier, Régnault —</w:t>
      </w:r>
      <w:r>
        <w:t xml:space="preserve"> </w:t>
      </w:r>
      <w:r>
        <w:rPr>
          <w:bCs/>
          <w:b/>
        </w:rPr>
        <w:t xml:space="preserve">Source :</w:t>
      </w:r>
      <w:r>
        <w:t xml:space="preserve"> </w:t>
      </w:r>
      <w:r>
        <w:t xml:space="preserve">Archives MAE (Paris).</w:t>
      </w:r>
    </w:p>
    <w:p>
      <w:pPr>
        <w:pStyle w:val="BlockText"/>
      </w:pPr>
      <w:r>
        <w:rPr>
          <w:bCs/>
          <w:b/>
        </w:rPr>
        <w:t xml:space="preserve">Fonds d’archives :</w:t>
      </w:r>
      <w:r>
        <w:t xml:space="preserve"> </w:t>
      </w:r>
      <w:r>
        <w:t xml:space="preserve">-</w:t>
      </w:r>
      <w:r>
        <w:t xml:space="preserve"> </w:t>
      </w:r>
      <w:r>
        <w:rPr>
          <w:bCs/>
          <w:b/>
        </w:rPr>
        <w:t xml:space="preserve">Archives MAE (Paris)</w:t>
      </w:r>
      <w:r>
        <w:t xml:space="preserve"> </w:t>
      </w:r>
      <w:r>
        <w:t xml:space="preserve">:</w:t>
      </w:r>
      <w:r>
        <w:t xml:space="preserve"> </w:t>
      </w:r>
      <w:r>
        <w:rPr>
          <w:iCs/>
          <w:i/>
        </w:rPr>
        <w:t xml:space="preserve">Documents Diplomatiques - Affaires du Maroc 1900-1906</w:t>
      </w:r>
      <w:r>
        <w:t xml:space="preserve"> </w:t>
      </w:r>
      <w:r>
        <w:t xml:space="preserve">-</w:t>
      </w:r>
      <w:r>
        <w:t xml:space="preserve"> </w:t>
      </w:r>
      <w:r>
        <w:rPr>
          <w:bCs/>
          <w:b/>
        </w:rPr>
        <w:t xml:space="preserve">Archives Royales (Rabat)</w:t>
      </w:r>
      <w:r>
        <w:t xml:space="preserve"> </w:t>
      </w:r>
      <w:r>
        <w:t xml:space="preserve">: Dossiers Moulay Abdelaziz, correspondances du Makhzen</w:t>
      </w:r>
      <w:r>
        <w:t xml:space="preserve"> </w:t>
      </w:r>
      <w:r>
        <w:t xml:space="preserve">-</w:t>
      </w:r>
      <w:r>
        <w:t xml:space="preserve"> </w:t>
      </w:r>
      <w:r>
        <w:rPr>
          <w:bCs/>
          <w:b/>
        </w:rPr>
        <w:t xml:space="preserve">TAZI, T.9</w:t>
      </w:r>
      <w:r>
        <w:t xml:space="preserve"> </w:t>
      </w:r>
      <w:r>
        <w:t xml:space="preserve">: Portraits et correspondances</w:t>
      </w:r>
    </w:p>
    <w:p>
      <w:r>
        <w:pict>
          <v:rect style="width:0;height:1.5pt" o:hralign="center" o:hrstd="t" o:hr="t"/>
        </w:pict>
      </w:r>
    </w:p>
    <w:bookmarkEnd w:id="93"/>
    <w:bookmarkEnd w:id="94"/>
    <w:bookmarkEnd w:id="95"/>
    <w:bookmarkStart w:id="115" w:name="X01150233b1ef57bb5a33617aca21c67abb5b10e"/>
    <w:p>
      <w:pPr>
        <w:pStyle w:val="Heading2"/>
      </w:pPr>
      <w:r>
        <w:t xml:space="preserve">B. La Résistance Juridique et ses Limites</w:t>
      </w:r>
    </w:p>
    <w:bookmarkStart w:id="104" w:name="Xeecdd21e1220cbffb20ba422a7bfb4ad965b1e2"/>
    <w:p>
      <w:pPr>
        <w:pStyle w:val="Heading3"/>
      </w:pPr>
      <w:r>
        <w:t xml:space="preserve">1. La Conférence d’Algésiras (1906) : victoire à la Pyrrhus</w:t>
      </w:r>
    </w:p>
    <w:bookmarkStart w:id="97" w:name="X1a136218ae5ecb2aeb9869c1a27c3c65717109d"/>
    <w:p>
      <w:pPr>
        <w:pStyle w:val="Heading4"/>
      </w:pPr>
      <w:r>
        <w:t xml:space="preserve">L’Entente Cordiale (1904) : le marché de dupes</w:t>
      </w:r>
    </w:p>
    <w:p>
      <w:pPr>
        <w:pStyle w:val="FirstParagraph"/>
      </w:pPr>
      <w:r>
        <w:t xml:space="preserve">L’année 1904 marque le verrouillage diplomatique de l’emprise française sur le Maroc :</w:t>
      </w:r>
    </w:p>
    <w:tbl>
      <w:tblPr>
        <w:tblStyle w:val="Table"/>
        <w:tblW w:type="pct" w:w="5000"/>
        <w:tblLook w:firstRow="1" w:lastRow="0" w:firstColumn="0" w:lastColumn="0" w:noHBand="0" w:noVBand="0" w:val="0020"/>
        <w:jc w:val="start"/>
      </w:tblPr>
      <w:tblGrid>
        <w:gridCol w:w="2394"/>
        <w:gridCol w:w="859"/>
        <w:gridCol w:w="4666"/>
      </w:tblGrid>
      <w:tr>
        <w:trPr>
          <w:tblHeader w:val="true"/>
        </w:trPr>
        <w:tc>
          <w:tcPr/>
          <w:p>
            <w:pPr>
              <w:pStyle w:val="Compact"/>
              <w:jc w:val="left"/>
            </w:pPr>
            <w:r>
              <w:t xml:space="preserve">Accord</w:t>
            </w:r>
          </w:p>
        </w:tc>
        <w:tc>
          <w:tcPr/>
          <w:p>
            <w:pPr>
              <w:pStyle w:val="Compact"/>
              <w:jc w:val="left"/>
            </w:pPr>
            <w:r>
              <w:t xml:space="preserve">Date</w:t>
            </w:r>
          </w:p>
        </w:tc>
        <w:tc>
          <w:tcPr/>
          <w:p>
            <w:pPr>
              <w:pStyle w:val="Compact"/>
              <w:jc w:val="left"/>
            </w:pPr>
            <w:r>
              <w:t xml:space="preserve">Contenu</w:t>
            </w:r>
          </w:p>
        </w:tc>
      </w:tr>
      <w:tr>
        <w:tc>
          <w:tcPr/>
          <w:p>
            <w:pPr>
              <w:pStyle w:val="Compact"/>
              <w:jc w:val="left"/>
            </w:pPr>
            <w:r>
              <w:rPr>
                <w:bCs/>
                <w:b/>
              </w:rPr>
              <w:t xml:space="preserve">Entente Cordiale</w:t>
            </w:r>
          </w:p>
        </w:tc>
        <w:tc>
          <w:tcPr/>
          <w:p>
            <w:pPr>
              <w:pStyle w:val="Compact"/>
              <w:jc w:val="left"/>
            </w:pPr>
            <w:r>
              <w:t xml:space="preserve">8 avril 1904</w:t>
            </w:r>
          </w:p>
        </w:tc>
        <w:tc>
          <w:tcPr/>
          <w:p>
            <w:pPr>
              <w:pStyle w:val="Compact"/>
              <w:jc w:val="left"/>
            </w:pPr>
            <w:r>
              <w:t xml:space="preserve">France renonce à l’Égypte / Angleterre laisse « mains libres » au Maroc</w:t>
            </w:r>
          </w:p>
        </w:tc>
      </w:tr>
      <w:tr>
        <w:tc>
          <w:tcPr/>
          <w:p>
            <w:pPr>
              <w:pStyle w:val="Compact"/>
              <w:jc w:val="left"/>
            </w:pPr>
            <w:r>
              <w:rPr>
                <w:bCs/>
                <w:b/>
              </w:rPr>
              <w:t xml:space="preserve">Accord secret franco-espagnol</w:t>
            </w:r>
          </w:p>
        </w:tc>
        <w:tc>
          <w:tcPr/>
          <w:p>
            <w:pPr>
              <w:pStyle w:val="Compact"/>
              <w:jc w:val="left"/>
            </w:pPr>
            <w:r>
              <w:t xml:space="preserve">3 octobre 1904</w:t>
            </w:r>
          </w:p>
        </w:tc>
        <w:tc>
          <w:tcPr/>
          <w:p>
            <w:pPr>
              <w:pStyle w:val="Compact"/>
              <w:jc w:val="left"/>
            </w:pPr>
            <w:r>
              <w:t xml:space="preserve">Définition des zones d’influence (Rif pour l’Espagne, reste pour la France)</w:t>
            </w:r>
          </w:p>
        </w:tc>
      </w:tr>
    </w:tbl>
    <w:p>
      <w:pPr>
        <w:pStyle w:val="BodyText"/>
      </w:pPr>
      <w:r>
        <w:t xml:space="preserve">Ces accords organisent le</w:t>
      </w:r>
      <w:r>
        <w:t xml:space="preserve"> </w:t>
      </w:r>
      <w:r>
        <w:rPr>
          <w:bCs/>
          <w:b/>
        </w:rPr>
        <w:t xml:space="preserve">démembrement préventif</w:t>
      </w:r>
      <w:r>
        <w:t xml:space="preserve"> </w:t>
      </w:r>
      <w:r>
        <w:t xml:space="preserve">du Maroc sans le consulter. Leur</w:t>
      </w:r>
      <w:r>
        <w:t xml:space="preserve"> </w:t>
      </w:r>
      <w:r>
        <w:rPr>
          <w:iCs/>
          <w:i/>
        </w:rPr>
        <w:t xml:space="preserve">negotium</w:t>
      </w:r>
      <w:r>
        <w:t xml:space="preserve"> </w:t>
      </w:r>
      <w:r>
        <w:t xml:space="preserve">secret est la négation de la personnalité juridique marocaine.</w:t>
      </w:r>
      <w:r>
        <w:rPr>
          <w:rStyle w:val="FootnoteReference"/>
        </w:rPr>
        <w:footnoteReference w:id="96"/>
      </w:r>
    </w:p>
    <w:bookmarkEnd w:id="97"/>
    <w:bookmarkStart w:id="99" w:name="le-coup-de-tanger-31-mars-1905"/>
    <w:p>
      <w:pPr>
        <w:pStyle w:val="Heading4"/>
      </w:pPr>
      <w:r>
        <w:t xml:space="preserve">Le « Coup de Tanger » (31 mars 1905)</w:t>
      </w:r>
    </w:p>
    <w:p>
      <w:pPr>
        <w:pStyle w:val="FirstParagraph"/>
      </w:pPr>
      <w:r>
        <w:t xml:space="preserve">L’Allemagne, exclue du partage, tente de briser l’encerclement diplomatique. Guillaume II débarque à Tanger et prononce un discours affirmant l’indépendance du Sultan et réclamant une conférence internationale.</w:t>
      </w:r>
      <w:r>
        <w:rPr>
          <w:rStyle w:val="FootnoteReference"/>
        </w:rPr>
        <w:footnoteReference w:id="98"/>
      </w:r>
    </w:p>
    <w:bookmarkEnd w:id="99"/>
    <w:bookmarkStart w:id="101" w:name="Xd0da1bc204e3378ae18c0839f5b4074e00e4abc"/>
    <w:p>
      <w:pPr>
        <w:pStyle w:val="Heading4"/>
      </w:pPr>
      <w:r>
        <w:t xml:space="preserve">La stratégie marocaine : l’internationalisation (</w:t>
      </w:r>
      <w:r>
        <w:rPr>
          <w:iCs/>
          <w:i/>
        </w:rPr>
        <w:t xml:space="preserve">Tadmin</w:t>
      </w:r>
      <w:r>
        <w:t xml:space="preserve">)</w:t>
      </w:r>
    </w:p>
    <w:p>
      <w:pPr>
        <w:pStyle w:val="FirstParagraph"/>
      </w:pPr>
      <w:r>
        <w:t xml:space="preserve">Le Sultan Moulay Abdelaziz, s’appuyant sur une assemblée de notables (</w:t>
      </w:r>
      <w:r>
        <w:rPr>
          <w:iCs/>
          <w:i/>
        </w:rPr>
        <w:t xml:space="preserve">Majlis al-A’yan</w:t>
      </w:r>
      <w:r>
        <w:t xml:space="preserve">), adopte la stratégie de l’internationalisation. Il refuse les réformes en tête-à-tête avec la France et exige une conférence internationale des puissances signataires de la Convention de Madrid :</w:t>
      </w:r>
    </w:p>
    <w:p>
      <w:pPr>
        <w:pStyle w:val="BlockText"/>
      </w:pPr>
      <w:r>
        <w:t xml:space="preserve">«</w:t>
      </w:r>
      <w:r>
        <w:t xml:space="preserve"> </w:t>
      </w:r>
      <w:r>
        <w:rPr>
          <w:iCs/>
          <w:i/>
        </w:rPr>
        <w:t xml:space="preserve">Le gouvernement marocain ne peut consentir à aucune réforme si ce n’est après la réunion d’une conférence internationale.</w:t>
      </w:r>
      <w:r>
        <w:t xml:space="preserve"> </w:t>
      </w:r>
      <w:r>
        <w:t xml:space="preserve">»</w:t>
      </w:r>
      <w:r>
        <w:rPr>
          <w:rStyle w:val="FootnoteReference"/>
        </w:rPr>
        <w:footnoteReference w:id="100"/>
      </w:r>
    </w:p>
    <w:bookmarkEnd w:id="101"/>
    <w:bookmarkStart w:id="103" w:name="Xfa79b9634fe9668bfb5d8c69832ac1cb583492a"/>
    <w:p>
      <w:pPr>
        <w:pStyle w:val="Heading4"/>
      </w:pPr>
      <w:r>
        <w:t xml:space="preserve">L’Acte d’Algésiras (7 avril 1906) : victoire formelle, défaite réelle</w:t>
      </w:r>
    </w:p>
    <w:tbl>
      <w:tblPr>
        <w:tblStyle w:val="Table"/>
        <w:tblW w:type="pct" w:w="5000"/>
        <w:tblLook w:firstRow="1" w:lastRow="0" w:firstColumn="0" w:lastColumn="0" w:noHBand="0" w:noVBand="0" w:val="0020"/>
        <w:jc w:val="start"/>
      </w:tblPr>
      <w:tblGrid>
        <w:gridCol w:w="2961"/>
        <w:gridCol w:w="4958"/>
      </w:tblGrid>
      <w:tr>
        <w:trPr>
          <w:tblHeader w:val="true"/>
        </w:trPr>
        <w:tc>
          <w:tcPr/>
          <w:p>
            <w:pPr>
              <w:pStyle w:val="Compact"/>
              <w:jc w:val="left"/>
            </w:pPr>
            <w:r>
              <w:t xml:space="preserve">Principes affirmés</w:t>
            </w:r>
          </w:p>
        </w:tc>
        <w:tc>
          <w:tcPr/>
          <w:p>
            <w:pPr>
              <w:pStyle w:val="Compact"/>
              <w:jc w:val="left"/>
            </w:pPr>
            <w:r>
              <w:t xml:space="preserve">Réalités imposées</w:t>
            </w:r>
          </w:p>
        </w:tc>
      </w:tr>
      <w:tr>
        <w:tc>
          <w:tcPr/>
          <w:p>
            <w:pPr>
              <w:pStyle w:val="Compact"/>
              <w:jc w:val="left"/>
            </w:pPr>
            <w:r>
              <w:t xml:space="preserve">« Souveraineté et indépendance du Sultan »</w:t>
            </w:r>
          </w:p>
        </w:tc>
        <w:tc>
          <w:tcPr/>
          <w:p>
            <w:pPr>
              <w:pStyle w:val="Compact"/>
              <w:jc w:val="left"/>
            </w:pPr>
            <w:r>
              <w:t xml:space="preserve">Police des ports confiée à des instructeurs français et espagnols</w:t>
            </w:r>
          </w:p>
        </w:tc>
      </w:tr>
      <w:tr>
        <w:tc>
          <w:tcPr/>
          <w:p>
            <w:pPr>
              <w:pStyle w:val="Compact"/>
              <w:jc w:val="left"/>
            </w:pPr>
            <w:r>
              <w:t xml:space="preserve">« Intégrité territoriale »</w:t>
            </w:r>
          </w:p>
        </w:tc>
        <w:tc>
          <w:tcPr/>
          <w:p>
            <w:pPr>
              <w:pStyle w:val="Compact"/>
              <w:jc w:val="left"/>
            </w:pPr>
            <w:r>
              <w:t xml:space="preserve">Création de la Banque d’État du Maroc à capitaux majoritairement français</w:t>
            </w:r>
          </w:p>
        </w:tc>
      </w:tr>
      <w:tr>
        <w:tc>
          <w:tcPr/>
          <w:p>
            <w:pPr>
              <w:pStyle w:val="Compact"/>
              <w:jc w:val="left"/>
            </w:pPr>
            <w:r>
              <w:t xml:space="preserve">« Porte ouverte économique »</w:t>
            </w:r>
          </w:p>
        </w:tc>
        <w:tc>
          <w:tcPr/>
          <w:p>
            <w:pPr>
              <w:pStyle w:val="Compact"/>
              <w:jc w:val="left"/>
            </w:pPr>
            <w:r>
              <w:t xml:space="preserve">Prépondérance française légalisée sous couvert d’internationalisation</w:t>
            </w:r>
          </w:p>
        </w:tc>
      </w:tr>
    </w:tbl>
    <w:p>
      <w:pPr>
        <w:pStyle w:val="BodyText"/>
      </w:pPr>
      <w:r>
        <w:rPr>
          <w:bCs/>
          <w:b/>
        </w:rPr>
        <w:t xml:space="preserve">Analyse juridique :</w:t>
      </w:r>
      <w:r>
        <w:t xml:space="preserve"> </w:t>
      </w:r>
      <w:r>
        <w:t xml:space="preserve">L’internationalisation a échoué à sauver l’indépendance réelle ; elle a</w:t>
      </w:r>
      <w:r>
        <w:t xml:space="preserve"> </w:t>
      </w:r>
      <w:r>
        <w:rPr>
          <w:bCs/>
          <w:b/>
        </w:rPr>
        <w:t xml:space="preserve">légalisé la pénétration</w:t>
      </w:r>
      <w:r>
        <w:t xml:space="preserve"> </w:t>
      </w:r>
      <w:r>
        <w:t xml:space="preserve">sous un voile multilatéral. C’est une victoire à la Pyrrhus : le droit international est utilisé pour habiller l’ingérence.</w:t>
      </w:r>
      <w:r>
        <w:rPr>
          <w:rStyle w:val="FootnoteReference"/>
        </w:rPr>
        <w:footnoteReference w:id="102"/>
      </w:r>
    </w:p>
    <w:p>
      <w:r>
        <w:pict>
          <v:rect style="width:0;height:1.5pt" o:hralign="center" o:hrstd="t" o:hr="t"/>
        </w:pict>
      </w:r>
    </w:p>
    <w:p>
      <w:pPr>
        <w:pStyle w:val="FirstParagraph"/>
      </w:pPr>
      <w:r>
        <w:t xml:space="preserve">[FIGURE_6_ALLIANCES_ALGESIRAS]</w:t>
      </w:r>
    </w:p>
    <w:p>
      <w:pPr>
        <w:pStyle w:val="BlockText"/>
      </w:pPr>
      <w:r>
        <w:rPr>
          <w:bCs/>
          <w:b/>
        </w:rPr>
        <w:t xml:space="preserve">Figure 6 :</w:t>
      </w:r>
      <w:r>
        <w:t xml:space="preserve"> </w:t>
      </w:r>
      <w:r>
        <w:t xml:space="preserve">Les acteurs de la crise marocaine (1900-1912) – Sultans, diplomates et intervenants étrangers</w:t>
      </w:r>
    </w:p>
    <w:p>
      <w:pPr>
        <w:pStyle w:val="BlockText"/>
      </w:pPr>
      <w:r>
        <w:rPr>
          <w:bCs/>
          <w:b/>
        </w:rPr>
        <w:t xml:space="preserve">Portraits de sultans et diplomates :</w:t>
      </w:r>
      <w:r>
        <w:t xml:space="preserve"> </w:t>
      </w:r>
      <w:r>
        <w:t xml:space="preserve">-</w:t>
      </w:r>
      <w:r>
        <w:t xml:space="preserve"> </w:t>
      </w:r>
      <w:r>
        <w:rPr>
          <w:iCs/>
          <w:i/>
        </w:rPr>
        <w:t xml:space="preserve">Portrait de Hassan Ier (1873-1894)</w:t>
      </w:r>
      <w:r>
        <w:t xml:space="preserve"> </w:t>
      </w:r>
      <w:r>
        <w:t xml:space="preserve">— Dessin —</w:t>
      </w:r>
      <w:r>
        <w:t xml:space="preserve"> </w:t>
      </w:r>
      <w:r>
        <w:rPr>
          <w:bCs/>
          <w:b/>
        </w:rPr>
        <w:t xml:space="preserve">Source :</w:t>
      </w:r>
      <w:r>
        <w:t xml:space="preserve"> </w:t>
      </w:r>
      <w:r>
        <w:t xml:space="preserve">TAZI,</w:t>
      </w:r>
      <w:r>
        <w:t xml:space="preserve"> </w:t>
      </w:r>
      <w:r>
        <w:rPr>
          <w:iCs/>
          <w:i/>
        </w:rPr>
        <w:t xml:space="preserve">Histoire diplomatique du Maroc</w:t>
      </w:r>
      <w:r>
        <w:t xml:space="preserve">, T.9. Initiateur de la Convention de Madrid (1880).</w:t>
      </w:r>
      <w:r>
        <w:t xml:space="preserve"> </w:t>
      </w:r>
      <w:r>
        <w:t xml:space="preserve">-</w:t>
      </w:r>
      <w:r>
        <w:t xml:space="preserve"> </w:t>
      </w:r>
      <w:r>
        <w:rPr>
          <w:iCs/>
          <w:i/>
        </w:rPr>
        <w:t xml:space="preserve">Portrait de Moulay Abdelaziz (1894-1908)</w:t>
      </w:r>
      <w:r>
        <w:t xml:space="preserve"> </w:t>
      </w:r>
      <w:r>
        <w:t xml:space="preserve">— Portrait —</w:t>
      </w:r>
      <w:r>
        <w:t xml:space="preserve"> </w:t>
      </w:r>
      <w:r>
        <w:rPr>
          <w:bCs/>
          <w:b/>
        </w:rPr>
        <w:t xml:space="preserve">Source :</w:t>
      </w:r>
      <w:r>
        <w:t xml:space="preserve"> </w:t>
      </w:r>
      <w:r>
        <w:t xml:space="preserve">TAZI, T.9. Signature de l’Acte d’Algésiras (1906).</w:t>
      </w:r>
      <w:r>
        <w:t xml:space="preserve"> </w:t>
      </w:r>
      <w:r>
        <w:t xml:space="preserve">-</w:t>
      </w:r>
      <w:r>
        <w:t xml:space="preserve"> </w:t>
      </w:r>
      <w:r>
        <w:rPr>
          <w:iCs/>
          <w:i/>
        </w:rPr>
        <w:t xml:space="preserve">Portrait de Moulay Hafid (1908-1912)</w:t>
      </w:r>
      <w:r>
        <w:t xml:space="preserve"> </w:t>
      </w:r>
      <w:r>
        <w:t xml:space="preserve">— Dessin —</w:t>
      </w:r>
      <w:r>
        <w:t xml:space="preserve"> </w:t>
      </w:r>
      <w:r>
        <w:rPr>
          <w:bCs/>
          <w:b/>
        </w:rPr>
        <w:t xml:space="preserve">Source :</w:t>
      </w:r>
      <w:r>
        <w:t xml:space="preserve"> </w:t>
      </w:r>
      <w:r>
        <w:t xml:space="preserve">TAZI, T.9. Signataire du Traité de Fès (1912).</w:t>
      </w:r>
      <w:r>
        <w:t xml:space="preserve"> </w:t>
      </w:r>
      <w:r>
        <w:t xml:space="preserve">-</w:t>
      </w:r>
      <w:r>
        <w:t xml:space="preserve"> </w:t>
      </w:r>
      <w:r>
        <w:rPr>
          <w:iCs/>
          <w:i/>
        </w:rPr>
        <w:t xml:space="preserve">Dessins des ambassadeurs marocains : Caïd Ash’ash, Ben Driss, Zebdi</w:t>
      </w:r>
      <w:r>
        <w:t xml:space="preserve"> </w:t>
      </w:r>
      <w:r>
        <w:t xml:space="preserve">(XIXe-début XXe s.) — Croquis officiels —</w:t>
      </w:r>
      <w:r>
        <w:t xml:space="preserve"> </w:t>
      </w:r>
      <w:r>
        <w:rPr>
          <w:bCs/>
          <w:b/>
        </w:rPr>
        <w:t xml:space="preserve">Source :</w:t>
      </w:r>
      <w:r>
        <w:t xml:space="preserve"> </w:t>
      </w:r>
      <w:r>
        <w:t xml:space="preserve">TAZI, T.9. Représentants diplomatiques auprès des puissances européennes.</w:t>
      </w:r>
    </w:p>
    <w:p>
      <w:pPr>
        <w:pStyle w:val="BlockText"/>
      </w:pPr>
      <w:r>
        <w:rPr>
          <w:bCs/>
          <w:b/>
        </w:rPr>
        <w:t xml:space="preserve">Documents diplomatiques critiques :</w:t>
      </w:r>
      <w:r>
        <w:t xml:space="preserve"> </w:t>
      </w:r>
      <w:r>
        <w:t xml:space="preserve">-</w:t>
      </w:r>
      <w:r>
        <w:t xml:space="preserve"> </w:t>
      </w:r>
      <w:r>
        <w:rPr>
          <w:iCs/>
          <w:i/>
        </w:rPr>
        <w:t xml:space="preserve">Acte d’Algésiras (7 avril 1906)</w:t>
      </w:r>
      <w:r>
        <w:t xml:space="preserve"> </w:t>
      </w:r>
      <w:r>
        <w:t xml:space="preserve">— Texte signé avec portraits des délégués —</w:t>
      </w:r>
      <w:r>
        <w:t xml:space="preserve"> </w:t>
      </w:r>
      <w:r>
        <w:rPr>
          <w:bCs/>
          <w:b/>
        </w:rPr>
        <w:t xml:space="preserve">Source :</w:t>
      </w:r>
      <w:r>
        <w:t xml:space="preserve"> </w:t>
      </w:r>
      <w:r>
        <w:t xml:space="preserve">TAZI, T.9 Annexes ou</w:t>
      </w:r>
      <w:r>
        <w:t xml:space="preserve"> </w:t>
      </w:r>
      <w:r>
        <w:rPr>
          <w:iCs/>
          <w:i/>
        </w:rPr>
        <w:t xml:space="preserve">Documents Diplomatiques - Affaires du Maroc</w:t>
      </w:r>
      <w:r>
        <w:t xml:space="preserve">.</w:t>
      </w:r>
      <w:r>
        <w:t xml:space="preserve"> </w:t>
      </w:r>
      <w:r>
        <w:t xml:space="preserve">-</w:t>
      </w:r>
      <w:r>
        <w:t xml:space="preserve"> </w:t>
      </w:r>
      <w:r>
        <w:rPr>
          <w:iCs/>
          <w:i/>
        </w:rPr>
        <w:t xml:space="preserve">Accord Franco-Espagnol secret (3 octobre 1904)</w:t>
      </w:r>
      <w:r>
        <w:t xml:space="preserve"> </w:t>
      </w:r>
      <w:r>
        <w:t xml:space="preserve">— Texte + cartes de démembrement —</w:t>
      </w:r>
      <w:r>
        <w:t xml:space="preserve"> </w:t>
      </w:r>
      <w:r>
        <w:rPr>
          <w:bCs/>
          <w:b/>
        </w:rPr>
        <w:t xml:space="preserve">Source :</w:t>
      </w:r>
      <w:r>
        <w:t xml:space="preserve"> </w:t>
      </w:r>
      <w:r>
        <w:rPr>
          <w:iCs/>
          <w:i/>
        </w:rPr>
        <w:t xml:space="preserve">Documents Diplomatiques</w:t>
      </w:r>
      <w:r>
        <w:t xml:space="preserve">, p. 374-383.</w:t>
      </w:r>
      <w:r>
        <w:t xml:space="preserve"> </w:t>
      </w:r>
      <w:r>
        <w:t xml:space="preserve">-</w:t>
      </w:r>
      <w:r>
        <w:t xml:space="preserve"> </w:t>
      </w:r>
      <w:r>
        <w:rPr>
          <w:iCs/>
          <w:i/>
        </w:rPr>
        <w:t xml:space="preserve">Traité de Fès (30 mars 1912)</w:t>
      </w:r>
      <w:r>
        <w:t xml:space="preserve"> </w:t>
      </w:r>
      <w:r>
        <w:t xml:space="preserve">— Texte complet avec signatures —</w:t>
      </w:r>
      <w:r>
        <w:t xml:space="preserve"> </w:t>
      </w:r>
      <w:r>
        <w:rPr>
          <w:bCs/>
          <w:b/>
        </w:rPr>
        <w:t xml:space="preserve">Source :</w:t>
      </w:r>
      <w:r>
        <w:t xml:space="preserve"> </w:t>
      </w:r>
      <w:r>
        <w:t xml:space="preserve">TAZI, T.9 ou</w:t>
      </w:r>
      <w:r>
        <w:t xml:space="preserve"> </w:t>
      </w:r>
      <w:r>
        <w:rPr>
          <w:iCs/>
          <w:i/>
        </w:rPr>
        <w:t xml:space="preserve">Documents Diplomatiques</w:t>
      </w:r>
      <w:r>
        <w:t xml:space="preserve">, p. 498-510.</w:t>
      </w:r>
    </w:p>
    <w:p>
      <w:pPr>
        <w:pStyle w:val="BlockText"/>
      </w:pPr>
      <w:r>
        <w:rPr>
          <w:bCs/>
          <w:b/>
        </w:rPr>
        <w:t xml:space="preserve">Codes et communications cryptées :</w:t>
      </w:r>
      <w:r>
        <w:t xml:space="preserve"> </w:t>
      </w:r>
      <w:r>
        <w:t xml:space="preserve">-</w:t>
      </w:r>
      <w:r>
        <w:t xml:space="preserve"> </w:t>
      </w:r>
      <w:r>
        <w:rPr>
          <w:iCs/>
          <w:i/>
        </w:rPr>
        <w:t xml:space="preserve">Code de chiffrage « الضابط » (Dabit)</w:t>
      </w:r>
      <w:r>
        <w:t xml:space="preserve"> </w:t>
      </w:r>
      <w:r>
        <w:t xml:space="preserve">— Système de cryptographie diplomatique marocaine, début XXe s. —</w:t>
      </w:r>
      <w:r>
        <w:t xml:space="preserve"> </w:t>
      </w:r>
      <w:r>
        <w:rPr>
          <w:bCs/>
          <w:b/>
        </w:rPr>
        <w:t xml:space="preserve">Source :</w:t>
      </w:r>
      <w:r>
        <w:t xml:space="preserve"> </w:t>
      </w:r>
      <w:r>
        <w:t xml:space="preserve">TAZI,</w:t>
      </w:r>
      <w:r>
        <w:t xml:space="preserve"> </w:t>
      </w:r>
      <w:r>
        <w:rPr>
          <w:iCs/>
          <w:i/>
        </w:rPr>
        <w:t xml:space="preserve">Histoire diplomatique du Maroc</w:t>
      </w:r>
      <w:r>
        <w:t xml:space="preserve">, T.6. Montre la sophistication administrative du Makhzen.</w:t>
      </w:r>
    </w:p>
    <w:p>
      <w:pPr>
        <w:pStyle w:val="BlockText"/>
      </w:pPr>
      <w:r>
        <w:rPr>
          <w:bCs/>
          <w:b/>
        </w:rPr>
        <w:t xml:space="preserve">Photographies et gravures de la période critique :</w:t>
      </w:r>
      <w:r>
        <w:t xml:space="preserve"> </w:t>
      </w:r>
      <w:r>
        <w:t xml:space="preserve">-</w:t>
      </w:r>
      <w:r>
        <w:t xml:space="preserve"> </w:t>
      </w:r>
      <w:r>
        <w:rPr>
          <w:iCs/>
          <w:i/>
        </w:rPr>
        <w:t xml:space="preserve">Visite de l’Empereur Guillaume II à Tanger (31 mars 1905)</w:t>
      </w:r>
      <w:r>
        <w:t xml:space="preserve"> </w:t>
      </w:r>
      <w:r>
        <w:t xml:space="preserve">— Série photographique —</w:t>
      </w:r>
      <w:r>
        <w:t xml:space="preserve"> </w:t>
      </w:r>
      <w:r>
        <w:rPr>
          <w:bCs/>
          <w:b/>
        </w:rPr>
        <w:t xml:space="preserve">Source :</w:t>
      </w:r>
      <w:r>
        <w:t xml:space="preserve"> </w:t>
      </w:r>
      <w:r>
        <w:t xml:space="preserve">TAZI, T.9 Annexes. Cortège impérial, réception par Moulay Abdelmalek (oncle du Sultan), embarquement du Kaiser.</w:t>
      </w:r>
      <w:r>
        <w:t xml:space="preserve"> </w:t>
      </w:r>
      <w:r>
        <w:t xml:space="preserve">-</w:t>
      </w:r>
      <w:r>
        <w:t xml:space="preserve"> </w:t>
      </w:r>
      <w:r>
        <w:rPr>
          <w:iCs/>
          <w:i/>
        </w:rPr>
        <w:t xml:space="preserve">Délégués français, allemands, britanniques à Algésiras (1906)</w:t>
      </w:r>
      <w:r>
        <w:t xml:space="preserve"> </w:t>
      </w:r>
      <w:r>
        <w:t xml:space="preserve">— Photographies de groupe —</w:t>
      </w:r>
      <w:r>
        <w:t xml:space="preserve"> </w:t>
      </w:r>
      <w:r>
        <w:rPr>
          <w:bCs/>
          <w:b/>
        </w:rPr>
        <w:t xml:space="preserve">Source :</w:t>
      </w:r>
      <w:r>
        <w:t xml:space="preserve"> </w:t>
      </w:r>
      <w:r>
        <w:t xml:space="preserve">Archives MAE (Paris) ou British History Online.</w:t>
      </w:r>
    </w:p>
    <w:p>
      <w:pPr>
        <w:pStyle w:val="BlockText"/>
      </w:pPr>
      <w:r>
        <w:rPr>
          <w:bCs/>
          <w:b/>
        </w:rPr>
        <w:t xml:space="preserve">Correspondances diplomatiques :</w:t>
      </w:r>
      <w:r>
        <w:t xml:space="preserve"> </w:t>
      </w:r>
      <w:r>
        <w:t xml:space="preserve">-</w:t>
      </w:r>
      <w:r>
        <w:t xml:space="preserve"> </w:t>
      </w:r>
      <w:r>
        <w:rPr>
          <w:iCs/>
          <w:i/>
        </w:rPr>
        <w:t xml:space="preserve">Lettres du Sultan Moulay Abdelaziz et du ministre Ben Jelloun</w:t>
      </w:r>
      <w:r>
        <w:t xml:space="preserve"> </w:t>
      </w:r>
      <w:r>
        <w:t xml:space="preserve">— Demandes répétées pour internationalisation (</w:t>
      </w:r>
      <w:r>
        <w:rPr>
          <w:iCs/>
          <w:i/>
        </w:rPr>
        <w:t xml:space="preserve">Tadmin</w:t>
      </w:r>
      <w:r>
        <w:t xml:space="preserve">) —</w:t>
      </w:r>
      <w:r>
        <w:t xml:space="preserve"> </w:t>
      </w:r>
      <w:r>
        <w:rPr>
          <w:bCs/>
          <w:b/>
        </w:rPr>
        <w:t xml:space="preserve">Source :</w:t>
      </w:r>
      <w:r>
        <w:t xml:space="preserve"> </w:t>
      </w:r>
      <w:r>
        <w:rPr>
          <w:iCs/>
          <w:i/>
        </w:rPr>
        <w:t xml:space="preserve">Documents Diplomatiques - Affaires du Maroc</w:t>
      </w:r>
      <w:r>
        <w:t xml:space="preserve">, p. 450-500.</w:t>
      </w:r>
    </w:p>
    <w:p>
      <w:pPr>
        <w:pStyle w:val="BlockText"/>
      </w:pPr>
      <w:r>
        <w:rPr>
          <w:bCs/>
          <w:b/>
        </w:rPr>
        <w:t xml:space="preserve">Fonds d’archives majeurs :</w:t>
      </w:r>
      <w:r>
        <w:t xml:space="preserve"> </w:t>
      </w:r>
      <w:r>
        <w:t xml:space="preserve">-</w:t>
      </w:r>
      <w:r>
        <w:t xml:space="preserve"> </w:t>
      </w:r>
      <w:r>
        <w:rPr>
          <w:bCs/>
          <w:b/>
        </w:rPr>
        <w:t xml:space="preserve">Direction des Archives Royales (Rabat) :</w:t>
      </w:r>
      <w:r>
        <w:t xml:space="preserve"> </w:t>
      </w:r>
      <w:r>
        <w:t xml:space="preserve">Fonds Grande-Bretagne, Dossiers chronologiques 1900-1912, Dahirs et documents officiels</w:t>
      </w:r>
      <w:r>
        <w:t xml:space="preserve"> </w:t>
      </w:r>
      <w:r>
        <w:t xml:space="preserve">-</w:t>
      </w:r>
      <w:r>
        <w:t xml:space="preserve"> </w:t>
      </w:r>
      <w:r>
        <w:rPr>
          <w:bCs/>
          <w:b/>
        </w:rPr>
        <w:t xml:space="preserve">Archives MAE (Paris) :</w:t>
      </w:r>
      <w:r>
        <w:t xml:space="preserve"> </w:t>
      </w:r>
      <w:r>
        <w:rPr>
          <w:iCs/>
          <w:i/>
        </w:rPr>
        <w:t xml:space="preserve">Documents Diplomatiques - Affaires du Maroc 1900-1912</w:t>
      </w:r>
      <w:r>
        <w:t xml:space="preserve">, Correspondances ambassadeurs (Régnault, Rouvier)</w:t>
      </w:r>
      <w:r>
        <w:t xml:space="preserve"> </w:t>
      </w:r>
      <w:r>
        <w:t xml:space="preserve">-</w:t>
      </w:r>
      <w:r>
        <w:t xml:space="preserve"> </w:t>
      </w:r>
      <w:r>
        <w:rPr>
          <w:bCs/>
          <w:b/>
        </w:rPr>
        <w:t xml:space="preserve">Public Record Office (Londres) :</w:t>
      </w:r>
      <w:r>
        <w:t xml:space="preserve"> </w:t>
      </w:r>
      <w:r>
        <w:t xml:space="preserve">F.O. 99 (Morocco General), F.O. 371 (Foreign Office General Correspondence post-1906)</w:t>
      </w:r>
      <w:r>
        <w:t xml:space="preserve"> </w:t>
      </w:r>
      <w:r>
        <w:t xml:space="preserve">-</w:t>
      </w:r>
      <w:r>
        <w:t xml:space="preserve"> </w:t>
      </w:r>
      <w:r>
        <w:rPr>
          <w:bCs/>
          <w:b/>
        </w:rPr>
        <w:t xml:space="preserve">Auswärtiges Amt (Berlin) :</w:t>
      </w:r>
      <w:r>
        <w:t xml:space="preserve"> </w:t>
      </w:r>
      <w:r>
        <w:t xml:space="preserve">Correspondances allemandes (coup de Tanger 1905)</w:t>
      </w:r>
    </w:p>
    <w:p>
      <w:pPr>
        <w:pStyle w:val="BlockText"/>
      </w:pPr>
      <w:r>
        <w:rPr>
          <w:bCs/>
          <w:b/>
        </w:rPr>
        <w:t xml:space="preserve">Ressources numériques :</w:t>
      </w:r>
      <w:r>
        <w:t xml:space="preserve"> </w:t>
      </w:r>
      <w:r>
        <w:t xml:space="preserve">- Archives MAE :</w:t>
      </w:r>
      <w:r>
        <w:t xml:space="preserve"> </w:t>
      </w:r>
      <w:r>
        <w:rPr>
          <w:iCs/>
          <w:i/>
        </w:rPr>
        <w:t xml:space="preserve">Documents Diplomatiques</w:t>
      </w:r>
      <w:r>
        <w:t xml:space="preserve"> </w:t>
      </w:r>
      <w:r>
        <w:t xml:space="preserve">sur archives.diplomatie.gouv.fr</w:t>
      </w:r>
      <w:r>
        <w:t xml:space="preserve"> </w:t>
      </w:r>
      <w:r>
        <w:t xml:space="preserve">- Gallica (BnF) :</w:t>
      </w:r>
      <w:r>
        <w:t xml:space="preserve"> </w:t>
      </w:r>
      <w:r>
        <w:rPr>
          <w:iCs/>
          <w:i/>
        </w:rPr>
        <w:t xml:space="preserve">Documents Diplomatiques - Affaires du Maroc</w:t>
      </w:r>
      <w:r>
        <w:t xml:space="preserve"> </w:t>
      </w:r>
      <w:r>
        <w:t xml:space="preserve">1904-1912</w:t>
      </w:r>
      <w:r>
        <w:t xml:space="preserve"> </w:t>
      </w:r>
      <w:r>
        <w:t xml:space="preserve">- British History Online : Passages de correspondances FO du Maroc</w:t>
      </w:r>
    </w:p>
    <w:p>
      <w:r>
        <w:pict>
          <v:rect style="width:0;height:1.5pt" o:hralign="center" o:hrstd="t" o:hr="t"/>
        </w:pict>
      </w:r>
    </w:p>
    <w:p>
      <w:pPr>
        <w:pStyle w:val="FirstParagraph"/>
      </w:pPr>
      <w:r>
        <w:t xml:space="preserve">[FIGURE_13_ALGESIRAS_PROTOCOLES]</w:t>
      </w:r>
    </w:p>
    <w:p>
      <w:pPr>
        <w:pStyle w:val="BlockText"/>
      </w:pPr>
      <w:r>
        <w:rPr>
          <w:bCs/>
          <w:b/>
        </w:rPr>
        <w:t xml:space="preserve">Figure 13 :</w:t>
      </w:r>
      <w:r>
        <w:t xml:space="preserve"> </w:t>
      </w:r>
      <w:r>
        <w:t xml:space="preserve">Acte d’Algésiras (1906) : protocoles, délégations et texture juridique</w:t>
      </w:r>
    </w:p>
    <w:p>
      <w:pPr>
        <w:pStyle w:val="BlockText"/>
      </w:pPr>
      <w:r>
        <w:rPr>
          <w:bCs/>
          <w:b/>
        </w:rPr>
        <w:t xml:space="preserve">Document fondamental :</w:t>
      </w:r>
      <w:r>
        <w:t xml:space="preserve"> </w:t>
      </w:r>
      <w:r>
        <w:t xml:space="preserve">-</w:t>
      </w:r>
      <w:r>
        <w:t xml:space="preserve"> </w:t>
      </w:r>
      <w:r>
        <w:rPr>
          <w:iCs/>
          <w:i/>
        </w:rPr>
        <w:t xml:space="preserve">Acte final de la Conférence d’Algésiras (7 avril 1906)</w:t>
      </w:r>
      <w:r>
        <w:t xml:space="preserve"> </w:t>
      </w:r>
      <w:r>
        <w:t xml:space="preserve">— Texte complet —</w:t>
      </w:r>
      <w:r>
        <w:t xml:space="preserve"> </w:t>
      </w:r>
      <w:r>
        <w:rPr>
          <w:bCs/>
          <w:b/>
        </w:rPr>
        <w:t xml:space="preserve">Source :</w:t>
      </w:r>
      <w:r>
        <w:t xml:space="preserve"> </w:t>
      </w:r>
      <w:r>
        <w:t xml:space="preserve">TAZI, T.9 Annexes ou</w:t>
      </w:r>
      <w:r>
        <w:t xml:space="preserve"> </w:t>
      </w:r>
      <w:r>
        <w:rPr>
          <w:iCs/>
          <w:i/>
        </w:rPr>
        <w:t xml:space="preserve">Documents Diplomatiques - Affaires du Maroc</w:t>
      </w:r>
      <w:r>
        <w:t xml:space="preserve">, p. 400-420.</w:t>
      </w:r>
      <w:r>
        <w:t xml:space="preserve"> </w:t>
      </w:r>
      <w:r>
        <w:t xml:space="preserve">-</w:t>
      </w:r>
      <w:r>
        <w:t xml:space="preserve"> </w:t>
      </w:r>
      <w:r>
        <w:rPr>
          <w:iCs/>
          <w:i/>
        </w:rPr>
        <w:t xml:space="preserve">Protocoles de conférence</w:t>
      </w:r>
      <w:r>
        <w:t xml:space="preserve"> </w:t>
      </w:r>
      <w:r>
        <w:t xml:space="preserve">— Procès-verbaux des séances —</w:t>
      </w:r>
      <w:r>
        <w:t xml:space="preserve"> </w:t>
      </w:r>
      <w:r>
        <w:rPr>
          <w:bCs/>
          <w:b/>
        </w:rPr>
        <w:t xml:space="preserve">Source :</w:t>
      </w:r>
      <w:r>
        <w:t xml:space="preserve"> </w:t>
      </w:r>
      <w:r>
        <w:t xml:space="preserve">Archives MAE (Paris) ; Archives Royales (Rabat).</w:t>
      </w:r>
    </w:p>
    <w:p>
      <w:pPr>
        <w:pStyle w:val="BlockText"/>
      </w:pPr>
      <w:r>
        <w:rPr>
          <w:bCs/>
          <w:b/>
        </w:rPr>
        <w:t xml:space="preserve">Portraits des délégués :</w:t>
      </w:r>
      <w:r>
        <w:t xml:space="preserve"> </w:t>
      </w:r>
      <w:r>
        <w:t xml:space="preserve">-</w:t>
      </w:r>
      <w:r>
        <w:t xml:space="preserve"> </w:t>
      </w:r>
      <w:r>
        <w:rPr>
          <w:iCs/>
          <w:i/>
        </w:rPr>
        <w:t xml:space="preserve">Photographies de groupe des délégués à Algésiras (1906)</w:t>
      </w:r>
      <w:r>
        <w:t xml:space="preserve"> </w:t>
      </w:r>
      <w:r>
        <w:t xml:space="preserve">— Série officielle —</w:t>
      </w:r>
      <w:r>
        <w:t xml:space="preserve"> </w:t>
      </w:r>
      <w:r>
        <w:rPr>
          <w:bCs/>
          <w:b/>
        </w:rPr>
        <w:t xml:space="preserve">Source :</w:t>
      </w:r>
      <w:r>
        <w:t xml:space="preserve"> </w:t>
      </w:r>
      <w:r>
        <w:t xml:space="preserve">Archives MAE (Paris) ;</w:t>
      </w:r>
      <w:r>
        <w:t xml:space="preserve"> </w:t>
      </w:r>
      <w:r>
        <w:rPr>
          <w:iCs/>
          <w:i/>
        </w:rPr>
        <w:t xml:space="preserve">Documents Diplomatiques</w:t>
      </w:r>
      <w:r>
        <w:t xml:space="preserve">.</w:t>
      </w:r>
      <w:r>
        <w:t xml:space="preserve"> </w:t>
      </w:r>
      <w:r>
        <w:t xml:space="preserve">-</w:t>
      </w:r>
      <w:r>
        <w:t xml:space="preserve"> </w:t>
      </w:r>
      <w:r>
        <w:rPr>
          <w:iCs/>
          <w:i/>
        </w:rPr>
        <w:t xml:space="preserve">Portraits individuels : délégué français (Rouvier), britannique (Monson), allemand (von Holstein), marocain (Ash’ash)</w:t>
      </w:r>
      <w:r>
        <w:t xml:space="preserve"> </w:t>
      </w:r>
      <w:r>
        <w:t xml:space="preserve">— Gravures/photos —</w:t>
      </w:r>
      <w:r>
        <w:t xml:space="preserve"> </w:t>
      </w:r>
      <w:r>
        <w:rPr>
          <w:bCs/>
          <w:b/>
        </w:rPr>
        <w:t xml:space="preserve">Source :</w:t>
      </w:r>
      <w:r>
        <w:t xml:space="preserve"> </w:t>
      </w:r>
      <w:r>
        <w:t xml:space="preserve">TAZI, T.9 Annexes.</w:t>
      </w:r>
      <w:r>
        <w:t xml:space="preserve"> </w:t>
      </w:r>
      <w:r>
        <w:t xml:space="preserve">-</w:t>
      </w:r>
      <w:r>
        <w:t xml:space="preserve"> </w:t>
      </w:r>
      <w:r>
        <w:rPr>
          <w:iCs/>
          <w:i/>
        </w:rPr>
        <w:t xml:space="preserve">Caricatures et dessins de presse</w:t>
      </w:r>
      <w:r>
        <w:t xml:space="preserve"> </w:t>
      </w:r>
      <w:r>
        <w:t xml:space="preserve">— Critique contemporaine —</w:t>
      </w:r>
      <w:r>
        <w:t xml:space="preserve"> </w:t>
      </w:r>
      <w:r>
        <w:rPr>
          <w:bCs/>
          <w:b/>
        </w:rPr>
        <w:t xml:space="preserve">Source :</w:t>
      </w:r>
      <w:r>
        <w:t xml:space="preserve"> </w:t>
      </w:r>
      <w:r>
        <w:t xml:space="preserve">Archives de journaux français/britanniques (BnF, British Library).</w:t>
      </w:r>
    </w:p>
    <w:p>
      <w:pPr>
        <w:pStyle w:val="BlockText"/>
      </w:pPr>
      <w:r>
        <w:rPr>
          <w:bCs/>
          <w:b/>
        </w:rPr>
        <w:t xml:space="preserve">Correspondances diplomatiques :</w:t>
      </w:r>
      <w:r>
        <w:t xml:space="preserve"> </w:t>
      </w:r>
      <w:r>
        <w:t xml:space="preserve">-</w:t>
      </w:r>
      <w:r>
        <w:t xml:space="preserve"> </w:t>
      </w:r>
      <w:r>
        <w:rPr>
          <w:iCs/>
          <w:i/>
        </w:rPr>
        <w:t xml:space="preserve">Lettres du Sultan Moulay Abdelaziz décrivant les résultats</w:t>
      </w:r>
      <w:r>
        <w:t xml:space="preserve"> </w:t>
      </w:r>
      <w:r>
        <w:t xml:space="preserve">— Déception face aux promesses non tenues —</w:t>
      </w:r>
      <w:r>
        <w:t xml:space="preserve"> </w:t>
      </w:r>
      <w:r>
        <w:rPr>
          <w:bCs/>
          <w:b/>
        </w:rPr>
        <w:t xml:space="preserve">Source :</w:t>
      </w:r>
      <w:r>
        <w:t xml:space="preserve"> </w:t>
      </w:r>
      <w:r>
        <w:t xml:space="preserve">Archives Royales (Rabat) ;</w:t>
      </w:r>
      <w:r>
        <w:t xml:space="preserve"> </w:t>
      </w:r>
      <w:r>
        <w:rPr>
          <w:iCs/>
          <w:i/>
        </w:rPr>
        <w:t xml:space="preserve">Documents Diplomatiques</w:t>
      </w:r>
      <w:r>
        <w:t xml:space="preserve">.</w:t>
      </w:r>
      <w:r>
        <w:t xml:space="preserve"> </w:t>
      </w:r>
      <w:r>
        <w:t xml:space="preserve">-</w:t>
      </w:r>
      <w:r>
        <w:t xml:space="preserve"> </w:t>
      </w:r>
      <w:r>
        <w:rPr>
          <w:iCs/>
          <w:i/>
        </w:rPr>
        <w:t xml:space="preserve">Dépêches des ambassadeurs français/britanniques analysant l’Acte</w:t>
      </w:r>
      <w:r>
        <w:t xml:space="preserve"> </w:t>
      </w:r>
      <w:r>
        <w:t xml:space="preserve">— Appréciation des victoires « formelles » —</w:t>
      </w:r>
      <w:r>
        <w:t xml:space="preserve"> </w:t>
      </w:r>
      <w:r>
        <w:rPr>
          <w:bCs/>
          <w:b/>
        </w:rPr>
        <w:t xml:space="preserve">Source :</w:t>
      </w:r>
      <w:r>
        <w:t xml:space="preserve"> </w:t>
      </w:r>
      <w:r>
        <w:t xml:space="preserve">Archives MAE (Paris) ; Public Record Office (Londres).</w:t>
      </w:r>
    </w:p>
    <w:p>
      <w:pPr>
        <w:pStyle w:val="BlockText"/>
      </w:pPr>
      <w:r>
        <w:rPr>
          <w:bCs/>
          <w:b/>
        </w:rPr>
        <w:t xml:space="preserve">Fonds d’archives :</w:t>
      </w:r>
      <w:r>
        <w:t xml:space="preserve"> </w:t>
      </w:r>
      <w:r>
        <w:t xml:space="preserve">-</w:t>
      </w:r>
      <w:r>
        <w:t xml:space="preserve"> </w:t>
      </w:r>
      <w:r>
        <w:rPr>
          <w:bCs/>
          <w:b/>
        </w:rPr>
        <w:t xml:space="preserve">Archives MAE (Paris)</w:t>
      </w:r>
      <w:r>
        <w:t xml:space="preserve"> </w:t>
      </w:r>
      <w:r>
        <w:t xml:space="preserve">:</w:t>
      </w:r>
      <w:r>
        <w:t xml:space="preserve"> </w:t>
      </w:r>
      <w:r>
        <w:rPr>
          <w:iCs/>
          <w:i/>
        </w:rPr>
        <w:t xml:space="preserve">Documents Diplomatiques - Affaires du Maroc 1906</w:t>
      </w:r>
      <w:r>
        <w:t xml:space="preserve"> </w:t>
      </w:r>
      <w:r>
        <w:t xml:space="preserve">-</w:t>
      </w:r>
      <w:r>
        <w:t xml:space="preserve"> </w:t>
      </w:r>
      <w:r>
        <w:rPr>
          <w:bCs/>
          <w:b/>
        </w:rPr>
        <w:t xml:space="preserve">Archives Royales (Rabat)</w:t>
      </w:r>
      <w:r>
        <w:t xml:space="preserve"> </w:t>
      </w:r>
      <w:r>
        <w:t xml:space="preserve">: Correspondances du Makhzen, réactions de Moulay Abdelaziz</w:t>
      </w:r>
      <w:r>
        <w:t xml:space="preserve"> </w:t>
      </w:r>
      <w:r>
        <w:t xml:space="preserve">-</w:t>
      </w:r>
      <w:r>
        <w:t xml:space="preserve"> </w:t>
      </w:r>
      <w:r>
        <w:rPr>
          <w:bCs/>
          <w:b/>
        </w:rPr>
        <w:t xml:space="preserve">British Library</w:t>
      </w:r>
      <w:r>
        <w:t xml:space="preserve"> </w:t>
      </w:r>
      <w:r>
        <w:t xml:space="preserve">: Dossiers de la Conférence (official papers)</w:t>
      </w:r>
      <w:r>
        <w:t xml:space="preserve"> </w:t>
      </w:r>
      <w:r>
        <w:t xml:space="preserve">-</w:t>
      </w:r>
      <w:r>
        <w:t xml:space="preserve"> </w:t>
      </w:r>
      <w:r>
        <w:rPr>
          <w:bCs/>
          <w:b/>
        </w:rPr>
        <w:t xml:space="preserve">TAZI, T.9 Annexes</w:t>
      </w:r>
      <w:r>
        <w:t xml:space="preserve"> </w:t>
      </w:r>
      <w:r>
        <w:t xml:space="preserve">: Texte intégral + cartographie</w:t>
      </w:r>
    </w:p>
    <w:p>
      <w:r>
        <w:pict>
          <v:rect style="width:0;height:1.5pt" o:hralign="center" o:hrstd="t" o:hr="t"/>
        </w:pict>
      </w:r>
    </w:p>
    <w:bookmarkEnd w:id="103"/>
    <w:bookmarkEnd w:id="104"/>
    <w:bookmarkStart w:id="110" w:name="Xb7f258379ddc071e6136dbae349803377968993"/>
    <w:p>
      <w:pPr>
        <w:pStyle w:val="Heading3"/>
      </w:pPr>
      <w:r>
        <w:t xml:space="preserve">2. Le Traité de Fès (30 mars 1912) : analyse juridique de la « souveraineté amputée »</w:t>
      </w:r>
    </w:p>
    <w:bookmarkStart w:id="105" w:name="la-crise-finale-1907-1912"/>
    <w:p>
      <w:pPr>
        <w:pStyle w:val="Heading4"/>
      </w:pPr>
      <w:r>
        <w:t xml:space="preserve">La crise finale (1907-1912)</w:t>
      </w:r>
    </w:p>
    <w:tbl>
      <w:tblPr>
        <w:tblStyle w:val="Table"/>
        <w:tblW w:type="pct" w:w="5000"/>
        <w:tblLook w:firstRow="1" w:lastRow="0" w:firstColumn="0" w:lastColumn="0" w:noHBand="0" w:noVBand="0" w:val="0020"/>
        <w:jc w:val="start"/>
      </w:tblPr>
      <w:tblGrid>
        <w:gridCol w:w="2098"/>
        <w:gridCol w:w="1015"/>
        <w:gridCol w:w="4806"/>
      </w:tblGrid>
      <w:tr>
        <w:trPr>
          <w:tblHeader w:val="true"/>
        </w:trPr>
        <w:tc>
          <w:tcPr/>
          <w:p>
            <w:pPr>
              <w:pStyle w:val="Compact"/>
              <w:jc w:val="left"/>
            </w:pPr>
            <w:r>
              <w:t xml:space="preserve">Événement</w:t>
            </w:r>
          </w:p>
        </w:tc>
        <w:tc>
          <w:tcPr/>
          <w:p>
            <w:pPr>
              <w:pStyle w:val="Compact"/>
              <w:jc w:val="left"/>
            </w:pPr>
            <w:r>
              <w:t xml:space="preserve">Date</w:t>
            </w:r>
          </w:p>
        </w:tc>
        <w:tc>
          <w:tcPr/>
          <w:p>
            <w:pPr>
              <w:pStyle w:val="Compact"/>
              <w:jc w:val="left"/>
            </w:pPr>
            <w:r>
              <w:t xml:space="preserve">Conséquence</w:t>
            </w:r>
          </w:p>
        </w:tc>
      </w:tr>
      <w:tr>
        <w:tc>
          <w:tcPr/>
          <w:p>
            <w:pPr>
              <w:pStyle w:val="Compact"/>
              <w:jc w:val="left"/>
            </w:pPr>
            <w:r>
              <w:t xml:space="preserve">Bombardement de Casablanca</w:t>
            </w:r>
          </w:p>
        </w:tc>
        <w:tc>
          <w:tcPr/>
          <w:p>
            <w:pPr>
              <w:pStyle w:val="Compact"/>
              <w:jc w:val="left"/>
            </w:pPr>
            <w:r>
              <w:t xml:space="preserve">1907</w:t>
            </w:r>
          </w:p>
        </w:tc>
        <w:tc>
          <w:tcPr/>
          <w:p>
            <w:pPr>
              <w:pStyle w:val="Compact"/>
              <w:jc w:val="left"/>
            </w:pPr>
            <w:r>
              <w:t xml:space="preserve">Occupation militaire française du Chaouia</w:t>
            </w:r>
          </w:p>
        </w:tc>
      </w:tr>
      <w:tr>
        <w:tc>
          <w:tcPr/>
          <w:p>
            <w:pPr>
              <w:pStyle w:val="Compact"/>
              <w:jc w:val="left"/>
            </w:pPr>
            <w:r>
              <w:t xml:space="preserve">Déposition de Moulay Abdelaziz</w:t>
            </w:r>
          </w:p>
        </w:tc>
        <w:tc>
          <w:tcPr/>
          <w:p>
            <w:pPr>
              <w:pStyle w:val="Compact"/>
              <w:jc w:val="left"/>
            </w:pPr>
            <w:r>
              <w:t xml:space="preserve">1908</w:t>
            </w:r>
          </w:p>
        </w:tc>
        <w:tc>
          <w:tcPr/>
          <w:p>
            <w:pPr>
              <w:pStyle w:val="Compact"/>
              <w:jc w:val="left"/>
            </w:pPr>
            <w:r>
              <w:t xml:space="preserve">Moulay Hafid proclamé sur promesse de Jihad</w:t>
            </w:r>
          </w:p>
        </w:tc>
      </w:tr>
      <w:tr>
        <w:tc>
          <w:tcPr/>
          <w:p>
            <w:pPr>
              <w:pStyle w:val="Compact"/>
              <w:jc w:val="left"/>
            </w:pPr>
            <w:r>
              <w:t xml:space="preserve">« Coup de Fès »</w:t>
            </w:r>
          </w:p>
        </w:tc>
        <w:tc>
          <w:tcPr/>
          <w:p>
            <w:pPr>
              <w:pStyle w:val="Compact"/>
              <w:jc w:val="left"/>
            </w:pPr>
            <w:r>
              <w:t xml:space="preserve">mai 1911</w:t>
            </w:r>
          </w:p>
        </w:tc>
        <w:tc>
          <w:tcPr/>
          <w:p>
            <w:pPr>
              <w:pStyle w:val="Compact"/>
              <w:jc w:val="left"/>
            </w:pPr>
            <w:r>
              <w:t xml:space="preserve">Intervention française pour « sauver » le Sultan assiégé</w:t>
            </w:r>
          </w:p>
        </w:tc>
      </w:tr>
      <w:tr>
        <w:tc>
          <w:tcPr/>
          <w:p>
            <w:pPr>
              <w:pStyle w:val="Compact"/>
              <w:jc w:val="left"/>
            </w:pPr>
            <w:r>
              <w:t xml:space="preserve">Crise d’Agadir</w:t>
            </w:r>
          </w:p>
        </w:tc>
        <w:tc>
          <w:tcPr/>
          <w:p>
            <w:pPr>
              <w:pStyle w:val="Compact"/>
              <w:jc w:val="left"/>
            </w:pPr>
            <w:r>
              <w:t xml:space="preserve">juillet 1911</w:t>
            </w:r>
          </w:p>
        </w:tc>
        <w:tc>
          <w:tcPr/>
          <w:p>
            <w:pPr>
              <w:pStyle w:val="Compact"/>
              <w:jc w:val="left"/>
            </w:pPr>
            <w:r>
              <w:t xml:space="preserve">Canonnière allemande</w:t>
            </w:r>
            <w:r>
              <w:rPr>
                <w:iCs/>
                <w:i/>
              </w:rPr>
              <w:t xml:space="preserve">Panther</w:t>
            </w:r>
            <w:r>
              <w:t xml:space="preserve"> </w:t>
            </w:r>
            <w:r>
              <w:t xml:space="preserve">→ négociation franco-allemande</w:t>
            </w:r>
          </w:p>
        </w:tc>
      </w:tr>
      <w:tr>
        <w:tc>
          <w:tcPr/>
          <w:p>
            <w:pPr>
              <w:pStyle w:val="Compact"/>
              <w:jc w:val="left"/>
            </w:pPr>
            <w:r>
              <w:t xml:space="preserve">Accord franco-allemand</w:t>
            </w:r>
          </w:p>
        </w:tc>
        <w:tc>
          <w:tcPr/>
          <w:p>
            <w:pPr>
              <w:pStyle w:val="Compact"/>
              <w:jc w:val="left"/>
            </w:pPr>
            <w:r>
              <w:t xml:space="preserve">4 novembre 1911</w:t>
            </w:r>
          </w:p>
        </w:tc>
        <w:tc>
          <w:tcPr/>
          <w:p>
            <w:pPr>
              <w:pStyle w:val="Compact"/>
              <w:jc w:val="left"/>
            </w:pPr>
            <w:r>
              <w:t xml:space="preserve">Allemagne reconnaît le protectorat en échange de territoires au Congo</w:t>
            </w:r>
          </w:p>
        </w:tc>
      </w:tr>
    </w:tbl>
    <w:bookmarkEnd w:id="105"/>
    <w:bookmarkStart w:id="106" w:name="le-contenu-du-traité"/>
    <w:p>
      <w:pPr>
        <w:pStyle w:val="Heading4"/>
      </w:pPr>
      <w:r>
        <w:t xml:space="preserve">Le contenu du Traité</w:t>
      </w:r>
    </w:p>
    <w:p>
      <w:pPr>
        <w:pStyle w:val="FirstParagraph"/>
      </w:pPr>
      <w:r>
        <w:t xml:space="preserve">Le ministre de France Eugène Regnault fait signer au Sultan Moulay Hafid le traité établissant le Protectorat. Les clauses principales :</w:t>
      </w:r>
    </w:p>
    <w:tbl>
      <w:tblPr>
        <w:tblStyle w:val="Table"/>
        <w:tblW w:type="pct" w:w="5000"/>
        <w:tblLook w:firstRow="1" w:lastRow="0" w:firstColumn="0" w:lastColumn="0" w:noHBand="0" w:noVBand="0" w:val="0020"/>
        <w:jc w:val="start"/>
      </w:tblPr>
      <w:tblGrid>
        <w:gridCol w:w="377"/>
        <w:gridCol w:w="5010"/>
        <w:gridCol w:w="2532"/>
      </w:tblGrid>
      <w:tr>
        <w:trPr>
          <w:tblHeader w:val="true"/>
        </w:trPr>
        <w:tc>
          <w:tcPr/>
          <w:p>
            <w:pPr>
              <w:pStyle w:val="Compact"/>
              <w:jc w:val="left"/>
            </w:pPr>
            <w:r>
              <w:t xml:space="preserve">Article</w:t>
            </w:r>
          </w:p>
        </w:tc>
        <w:tc>
          <w:tcPr/>
          <w:p>
            <w:pPr>
              <w:pStyle w:val="Compact"/>
              <w:jc w:val="left"/>
            </w:pPr>
            <w:r>
              <w:t xml:space="preserve">Disposition</w:t>
            </w:r>
          </w:p>
        </w:tc>
        <w:tc>
          <w:tcPr/>
          <w:p>
            <w:pPr>
              <w:pStyle w:val="Compact"/>
              <w:jc w:val="left"/>
            </w:pPr>
            <w:r>
              <w:t xml:space="preserve">Analyse</w:t>
            </w:r>
          </w:p>
        </w:tc>
      </w:tr>
      <w:tr>
        <w:tc>
          <w:tcPr/>
          <w:p>
            <w:pPr>
              <w:pStyle w:val="Compact"/>
              <w:jc w:val="left"/>
            </w:pPr>
            <w:r>
              <w:t xml:space="preserve">Art. 1</w:t>
            </w:r>
          </w:p>
        </w:tc>
        <w:tc>
          <w:tcPr/>
          <w:p>
            <w:pPr>
              <w:pStyle w:val="Compact"/>
              <w:jc w:val="left"/>
            </w:pPr>
            <w:r>
              <w:t xml:space="preserve">« Nouveau régime » de réformes</w:t>
            </w:r>
          </w:p>
        </w:tc>
        <w:tc>
          <w:tcPr/>
          <w:p>
            <w:pPr>
              <w:pStyle w:val="Compact"/>
              <w:jc w:val="left"/>
            </w:pPr>
            <w:r>
              <w:t xml:space="preserve">Euphémisme pour tutelle administrative</w:t>
            </w:r>
          </w:p>
        </w:tc>
      </w:tr>
      <w:tr>
        <w:tc>
          <w:tcPr/>
          <w:p>
            <w:pPr>
              <w:pStyle w:val="Compact"/>
              <w:jc w:val="left"/>
            </w:pPr>
            <w:r>
              <w:t xml:space="preserve">Art. 2</w:t>
            </w:r>
          </w:p>
        </w:tc>
        <w:tc>
          <w:tcPr/>
          <w:p>
            <w:pPr>
              <w:pStyle w:val="Compact"/>
              <w:jc w:val="left"/>
            </w:pPr>
            <w:r>
              <w:t xml:space="preserve">Résident général français « seul intermédiaire avec l’étranger »</w:t>
            </w:r>
          </w:p>
        </w:tc>
        <w:tc>
          <w:tcPr/>
          <w:p>
            <w:pPr>
              <w:pStyle w:val="Compact"/>
              <w:jc w:val="left"/>
            </w:pPr>
            <w:r>
              <w:t xml:space="preserve">Transfert de la souveraineté diplomatique</w:t>
            </w:r>
          </w:p>
        </w:tc>
      </w:tr>
      <w:tr>
        <w:tc>
          <w:tcPr/>
          <w:p>
            <w:pPr>
              <w:pStyle w:val="Compact"/>
              <w:jc w:val="left"/>
            </w:pPr>
            <w:r>
              <w:t xml:space="preserve">Art. 5</w:t>
            </w:r>
          </w:p>
        </w:tc>
        <w:tc>
          <w:tcPr/>
          <w:p>
            <w:pPr>
              <w:pStyle w:val="Compact"/>
              <w:jc w:val="left"/>
            </w:pPr>
            <w:r>
              <w:t xml:space="preserve">Protection de « la situation religieuse, du respect et du prestige traditionnel du Sultan »</w:t>
            </w:r>
          </w:p>
        </w:tc>
        <w:tc>
          <w:tcPr/>
          <w:p>
            <w:pPr>
              <w:pStyle w:val="Compact"/>
              <w:jc w:val="left"/>
            </w:pPr>
            <w:r>
              <w:t xml:space="preserve">Maintien formel de la légitimité chérifienne</w:t>
            </w:r>
          </w:p>
        </w:tc>
      </w:tr>
      <w:tr>
        <w:tc>
          <w:tcPr/>
          <w:p>
            <w:pPr>
              <w:pStyle w:val="Compact"/>
              <w:jc w:val="left"/>
            </w:pPr>
            <w:r>
              <w:t xml:space="preserve">Art. 8</w:t>
            </w:r>
          </w:p>
        </w:tc>
        <w:tc>
          <w:tcPr/>
          <w:p>
            <w:pPr>
              <w:pStyle w:val="Compact"/>
              <w:jc w:val="left"/>
            </w:pPr>
            <w:r>
              <w:t xml:space="preserve">Pas d’emprunt ni concession sans autorisation française</w:t>
            </w:r>
          </w:p>
        </w:tc>
        <w:tc>
          <w:tcPr/>
          <w:p>
            <w:pPr>
              <w:pStyle w:val="Compact"/>
              <w:jc w:val="left"/>
            </w:pPr>
            <w:r>
              <w:t xml:space="preserve">Souveraineté financière annulée</w:t>
            </w:r>
          </w:p>
        </w:tc>
      </w:tr>
    </w:tbl>
    <w:bookmarkEnd w:id="106"/>
    <w:bookmarkStart w:id="109" w:name="le-concept-de-souveraineté-amputée"/>
    <w:p>
      <w:pPr>
        <w:pStyle w:val="Heading4"/>
      </w:pPr>
      <w:r>
        <w:t xml:space="preserve">Le concept de « souveraineté amputée »</w:t>
      </w:r>
    </w:p>
    <w:p>
      <w:pPr>
        <w:pStyle w:val="FirstParagraph"/>
      </w:pPr>
      <w:r>
        <w:t xml:space="preserve">Le Traité de Fès est un</w:t>
      </w:r>
      <w:r>
        <w:t xml:space="preserve"> </w:t>
      </w:r>
      <w:r>
        <w:rPr>
          <w:bCs/>
          <w:b/>
        </w:rPr>
        <w:t xml:space="preserve">paradoxe juridique</w:t>
      </w:r>
      <w:r>
        <w:t xml:space="preserve"> </w:t>
      </w:r>
      <w:r>
        <w:t xml:space="preserve">:</w:t>
      </w:r>
    </w:p>
    <w:p>
      <w:pPr>
        <w:numPr>
          <w:ilvl w:val="0"/>
          <w:numId w:val="1007"/>
        </w:numPr>
        <w:pStyle w:val="Compact"/>
      </w:pPr>
      <w:r>
        <w:rPr>
          <w:bCs/>
          <w:b/>
        </w:rPr>
        <w:t xml:space="preserve">Ce n’est pas une annexion</w:t>
      </w:r>
      <w:r>
        <w:t xml:space="preserve"> </w:t>
      </w:r>
      <w:r>
        <w:t xml:space="preserve">: Contrairement à l’Algérie (1830), le Maroc n’est pas intégré à la République française. L’État marocain continue d’exister.</w:t>
      </w:r>
    </w:p>
    <w:p>
      <w:pPr>
        <w:numPr>
          <w:ilvl w:val="0"/>
          <w:numId w:val="1007"/>
        </w:numPr>
        <w:pStyle w:val="Compact"/>
      </w:pPr>
      <w:r>
        <w:rPr>
          <w:bCs/>
          <w:b/>
        </w:rPr>
        <w:t xml:space="preserve">Le Sultan reste chef de l’État</w:t>
      </w:r>
      <w:r>
        <w:t xml:space="preserve"> </w:t>
      </w:r>
      <w:r>
        <w:t xml:space="preserve">: Il promulgue les dahirs (décrets), source formelle de la légalité. Lyautey insistera toujours sur le fait que le Maroc est un « État historique et indépendant » et non une colonie.</w:t>
      </w:r>
      <w:r>
        <w:rPr>
          <w:rStyle w:val="FootnoteReference"/>
        </w:rPr>
        <w:footnoteReference w:id="107"/>
      </w:r>
    </w:p>
    <w:p>
      <w:pPr>
        <w:numPr>
          <w:ilvl w:val="0"/>
          <w:numId w:val="1007"/>
        </w:numPr>
        <w:pStyle w:val="Compact"/>
      </w:pPr>
      <w:r>
        <w:rPr>
          <w:bCs/>
          <w:b/>
        </w:rPr>
        <w:t xml:space="preserve">Mais la souveraineté effective est transférée</w:t>
      </w:r>
      <w:r>
        <w:t xml:space="preserve"> </w:t>
      </w:r>
      <w:r>
        <w:t xml:space="preserve">: Les attributs régaliens (diplomatie, défense, finances) passent à la Résidence.</w:t>
      </w:r>
    </w:p>
    <w:p>
      <w:pPr>
        <w:pStyle w:val="FirstParagraph"/>
      </w:pPr>
      <w:r>
        <w:rPr>
          <w:bCs/>
          <w:b/>
        </w:rPr>
        <w:t xml:space="preserve">Confirmation juridique :</w:t>
      </w:r>
      <w:r>
        <w:t xml:space="preserve"> </w:t>
      </w:r>
      <w:r>
        <w:t xml:space="preserve">La CIJ, dans l’affaire des ressortissants des États-Unis au Maroc (1952), confirmera que même sous protectorat, le Maroc est resté un</w:t>
      </w:r>
      <w:r>
        <w:t xml:space="preserve"> </w:t>
      </w:r>
      <w:r>
        <w:rPr>
          <w:bCs/>
          <w:b/>
        </w:rPr>
        <w:t xml:space="preserve">État souverain en droit international</w:t>
      </w:r>
      <w:r>
        <w:t xml:space="preserve">, sa personnalité juridique n’ayant jamais été effacée.</w:t>
      </w:r>
      <w:r>
        <w:rPr>
          <w:rStyle w:val="FootnoteReference"/>
        </w:rPr>
        <w:footnoteReference w:id="108"/>
      </w:r>
    </w:p>
    <w:p>
      <w:r>
        <w:pict>
          <v:rect style="width:0;height:1.5pt" o:hralign="center" o:hrstd="t" o:hr="t"/>
        </w:pict>
      </w:r>
    </w:p>
    <w:p>
      <w:pPr>
        <w:pStyle w:val="FirstParagraph"/>
      </w:pPr>
      <w:r>
        <w:t xml:space="preserve">[FIGURE_14_PROTECTORAT_TRAITE_FES]</w:t>
      </w:r>
    </w:p>
    <w:p>
      <w:pPr>
        <w:pStyle w:val="BlockText"/>
      </w:pPr>
      <w:r>
        <w:rPr>
          <w:bCs/>
          <w:b/>
        </w:rPr>
        <w:t xml:space="preserve">Figure 14 :</w:t>
      </w:r>
      <w:r>
        <w:t xml:space="preserve"> </w:t>
      </w:r>
      <w:r>
        <w:t xml:space="preserve">Le Traité de Fès et sa signature (30 mars 1912) – Document fondateur du Protectorat</w:t>
      </w:r>
    </w:p>
    <w:p>
      <w:pPr>
        <w:pStyle w:val="BlockText"/>
      </w:pPr>
      <w:r>
        <w:rPr>
          <w:bCs/>
          <w:b/>
        </w:rPr>
        <w:t xml:space="preserve">Fac-similés du Traité :</w:t>
      </w:r>
      <w:r>
        <w:t xml:space="preserve"> </w:t>
      </w:r>
      <w:r>
        <w:t xml:space="preserve">-</w:t>
      </w:r>
      <w:r>
        <w:t xml:space="preserve"> </w:t>
      </w:r>
      <w:r>
        <w:rPr>
          <w:iCs/>
          <w:i/>
        </w:rPr>
        <w:t xml:space="preserve">Traité de Fès - Texte intégral avec signatures du Sultan Moulay Hafid</w:t>
      </w:r>
      <w:r>
        <w:t xml:space="preserve"> </w:t>
      </w:r>
      <w:r>
        <w:t xml:space="preserve">—</w:t>
      </w:r>
      <w:r>
        <w:t xml:space="preserve"> </w:t>
      </w:r>
      <w:r>
        <w:rPr>
          <w:bCs/>
          <w:b/>
        </w:rPr>
        <w:t xml:space="preserve">Source :</w:t>
      </w:r>
      <w:r>
        <w:t xml:space="preserve"> </w:t>
      </w:r>
      <w:r>
        <w:t xml:space="preserve">TAZI, T.9 ou</w:t>
      </w:r>
      <w:r>
        <w:t xml:space="preserve"> </w:t>
      </w:r>
      <w:r>
        <w:rPr>
          <w:iCs/>
          <w:i/>
        </w:rPr>
        <w:t xml:space="preserve">Documents Diplomatiques - Affaires du Maroc 1912</w:t>
      </w:r>
      <w:r>
        <w:t xml:space="preserve">, p. 498-510.</w:t>
      </w:r>
      <w:r>
        <w:t xml:space="preserve"> </w:t>
      </w:r>
      <w:r>
        <w:t xml:space="preserve">-</w:t>
      </w:r>
      <w:r>
        <w:t xml:space="preserve"> </w:t>
      </w:r>
      <w:r>
        <w:rPr>
          <w:iCs/>
          <w:i/>
        </w:rPr>
        <w:t xml:space="preserve">Pages de signature avec sceaux officiels</w:t>
      </w:r>
      <w:r>
        <w:t xml:space="preserve"> </w:t>
      </w:r>
      <w:r>
        <w:t xml:space="preserve">— Authentification —</w:t>
      </w:r>
      <w:r>
        <w:t xml:space="preserve"> </w:t>
      </w:r>
      <w:r>
        <w:rPr>
          <w:bCs/>
          <w:b/>
        </w:rPr>
        <w:t xml:space="preserve">Source :</w:t>
      </w:r>
      <w:r>
        <w:t xml:space="preserve"> </w:t>
      </w:r>
      <w:r>
        <w:t xml:space="preserve">Archives Royales (Rabat) ; Archives MAE (Paris).</w:t>
      </w:r>
      <w:r>
        <w:t xml:space="preserve"> </w:t>
      </w:r>
      <w:r>
        <w:t xml:space="preserve">-</w:t>
      </w:r>
      <w:r>
        <w:t xml:space="preserve"> </w:t>
      </w:r>
      <w:r>
        <w:rPr>
          <w:iCs/>
          <w:i/>
        </w:rPr>
        <w:t xml:space="preserve">Signatures des diplomates français (Régnault, Pichon) et marocains</w:t>
      </w:r>
      <w:r>
        <w:t xml:space="preserve"> </w:t>
      </w:r>
      <w:r>
        <w:t xml:space="preserve">— Comparaison des écritures —</w:t>
      </w:r>
      <w:r>
        <w:t xml:space="preserve"> </w:t>
      </w:r>
      <w:r>
        <w:rPr>
          <w:bCs/>
          <w:b/>
        </w:rPr>
        <w:t xml:space="preserve">Source :</w:t>
      </w:r>
      <w:r>
        <w:t xml:space="preserve"> </w:t>
      </w:r>
      <w:r>
        <w:t xml:space="preserve">Archives MAE.</w:t>
      </w:r>
    </w:p>
    <w:p>
      <w:pPr>
        <w:pStyle w:val="BlockText"/>
      </w:pPr>
      <w:r>
        <w:rPr>
          <w:bCs/>
          <w:b/>
        </w:rPr>
        <w:t xml:space="preserve">Dahir de ratification :</w:t>
      </w:r>
      <w:r>
        <w:t xml:space="preserve"> </w:t>
      </w:r>
      <w:r>
        <w:t xml:space="preserve">-</w:t>
      </w:r>
      <w:r>
        <w:t xml:space="preserve"> </w:t>
      </w:r>
      <w:r>
        <w:rPr>
          <w:iCs/>
          <w:i/>
        </w:rPr>
        <w:t xml:space="preserve">Dahir de Moulay Hafid proclamant l’acceptation du Protectorat</w:t>
      </w:r>
      <w:r>
        <w:t xml:space="preserve"> </w:t>
      </w:r>
      <w:r>
        <w:t xml:space="preserve">— Fac-similé —</w:t>
      </w:r>
      <w:r>
        <w:t xml:space="preserve"> </w:t>
      </w:r>
      <w:r>
        <w:rPr>
          <w:bCs/>
          <w:b/>
        </w:rPr>
        <w:t xml:space="preserve">Source :</w:t>
      </w:r>
      <w:r>
        <w:t xml:space="preserve"> </w:t>
      </w:r>
      <w:r>
        <w:t xml:space="preserve">Archives Royales (Rabat) ;</w:t>
      </w:r>
      <w:r>
        <w:t xml:space="preserve"> </w:t>
      </w:r>
      <w:r>
        <w:rPr>
          <w:iCs/>
          <w:i/>
        </w:rPr>
        <w:t xml:space="preserve">Archives Marocaines</w:t>
      </w:r>
      <w:r>
        <w:t xml:space="preserve">.</w:t>
      </w:r>
    </w:p>
    <w:p>
      <w:pPr>
        <w:pStyle w:val="BlockText"/>
      </w:pPr>
      <w:r>
        <w:rPr>
          <w:bCs/>
          <w:b/>
        </w:rPr>
        <w:t xml:space="preserve">Portraits des signataires :</w:t>
      </w:r>
      <w:r>
        <w:t xml:space="preserve"> </w:t>
      </w:r>
      <w:r>
        <w:t xml:space="preserve">-</w:t>
      </w:r>
      <w:r>
        <w:t xml:space="preserve"> </w:t>
      </w:r>
      <w:r>
        <w:rPr>
          <w:iCs/>
          <w:i/>
        </w:rPr>
        <w:t xml:space="preserve">Portrait du Sultan Moulay Hafid (1908-1912)</w:t>
      </w:r>
      <w:r>
        <w:t xml:space="preserve"> </w:t>
      </w:r>
      <w:r>
        <w:t xml:space="preserve">— Photographie/dessin officiel —</w:t>
      </w:r>
      <w:r>
        <w:t xml:space="preserve"> </w:t>
      </w:r>
      <w:r>
        <w:rPr>
          <w:bCs/>
          <w:b/>
        </w:rPr>
        <w:t xml:space="preserve">Source :</w:t>
      </w:r>
      <w:r>
        <w:t xml:space="preserve"> </w:t>
      </w:r>
      <w:r>
        <w:t xml:space="preserve">TAZI, T.9 ; Archives Royales. Aspect de défaite après les crises 1907-1912.</w:t>
      </w:r>
      <w:r>
        <w:t xml:space="preserve"> </w:t>
      </w:r>
      <w:r>
        <w:t xml:space="preserve">-</w:t>
      </w:r>
      <w:r>
        <w:t xml:space="preserve"> </w:t>
      </w:r>
      <w:r>
        <w:rPr>
          <w:iCs/>
          <w:i/>
        </w:rPr>
        <w:t xml:space="preserve">Eugène Régnault (ministre de France)</w:t>
      </w:r>
      <w:r>
        <w:t xml:space="preserve"> </w:t>
      </w:r>
      <w:r>
        <w:t xml:space="preserve">— Portrait —</w:t>
      </w:r>
      <w:r>
        <w:t xml:space="preserve"> </w:t>
      </w:r>
      <w:r>
        <w:rPr>
          <w:bCs/>
          <w:b/>
        </w:rPr>
        <w:t xml:space="preserve">Source :</w:t>
      </w:r>
      <w:r>
        <w:t xml:space="preserve"> </w:t>
      </w:r>
      <w:r>
        <w:t xml:space="preserve">Archives MAE (Paris).</w:t>
      </w:r>
      <w:r>
        <w:t xml:space="preserve"> </w:t>
      </w:r>
      <w:r>
        <w:t xml:space="preserve">-</w:t>
      </w:r>
      <w:r>
        <w:t xml:space="preserve"> </w:t>
      </w:r>
      <w:r>
        <w:rPr>
          <w:iCs/>
          <w:i/>
        </w:rPr>
        <w:t xml:space="preserve">Pichon (ministre français des Affaires Étrangères)</w:t>
      </w:r>
      <w:r>
        <w:t xml:space="preserve"> </w:t>
      </w:r>
      <w:r>
        <w:t xml:space="preserve">— Portrait —</w:t>
      </w:r>
      <w:r>
        <w:t xml:space="preserve"> </w:t>
      </w:r>
      <w:r>
        <w:rPr>
          <w:bCs/>
          <w:b/>
        </w:rPr>
        <w:t xml:space="preserve">Source :</w:t>
      </w:r>
      <w:r>
        <w:t xml:space="preserve"> </w:t>
      </w:r>
      <w:r>
        <w:t xml:space="preserve">BnF.</w:t>
      </w:r>
    </w:p>
    <w:p>
      <w:pPr>
        <w:pStyle w:val="BlockText"/>
      </w:pPr>
      <w:r>
        <w:rPr>
          <w:bCs/>
          <w:b/>
        </w:rPr>
        <w:t xml:space="preserve">Correspondances autour de la signature :</w:t>
      </w:r>
      <w:r>
        <w:t xml:space="preserve"> </w:t>
      </w:r>
      <w:r>
        <w:t xml:space="preserve">-</w:t>
      </w:r>
      <w:r>
        <w:t xml:space="preserve"> </w:t>
      </w:r>
      <w:r>
        <w:rPr>
          <w:iCs/>
          <w:i/>
        </w:rPr>
        <w:t xml:space="preserve">Lettres du Sultan Moulay Hafid justifiant la signature</w:t>
      </w:r>
      <w:r>
        <w:t xml:space="preserve"> </w:t>
      </w:r>
      <w:r>
        <w:t xml:space="preserve">— Acceptation du Protectorat comme</w:t>
      </w:r>
      <w:r>
        <w:t xml:space="preserve"> </w:t>
      </w:r>
      <w:r>
        <w:t xml:space="preserve">“</w:t>
      </w:r>
      <w:r>
        <w:t xml:space="preserve">moyen de sauver le Maroc</w:t>
      </w:r>
      <w:r>
        <w:t xml:space="preserve">”</w:t>
      </w:r>
      <w:r>
        <w:t xml:space="preserve"> </w:t>
      </w:r>
      <w:r>
        <w:t xml:space="preserve">—</w:t>
      </w:r>
      <w:r>
        <w:t xml:space="preserve"> </w:t>
      </w:r>
      <w:r>
        <w:rPr>
          <w:bCs/>
          <w:b/>
        </w:rPr>
        <w:t xml:space="preserve">Source :</w:t>
      </w:r>
      <w:r>
        <w:t xml:space="preserve"> </w:t>
      </w:r>
      <w:r>
        <w:t xml:space="preserve">Archives Royales (Rabat) ;</w:t>
      </w:r>
      <w:r>
        <w:t xml:space="preserve"> </w:t>
      </w:r>
      <w:r>
        <w:rPr>
          <w:iCs/>
          <w:i/>
        </w:rPr>
        <w:t xml:space="preserve">Documents Diplomatiques</w:t>
      </w:r>
      <w:r>
        <w:t xml:space="preserve">.</w:t>
      </w:r>
      <w:r>
        <w:t xml:space="preserve"> </w:t>
      </w:r>
      <w:r>
        <w:t xml:space="preserve">-</w:t>
      </w:r>
      <w:r>
        <w:t xml:space="preserve"> </w:t>
      </w:r>
      <w:r>
        <w:rPr>
          <w:iCs/>
          <w:i/>
        </w:rPr>
        <w:t xml:space="preserve">Notifications diplomatiques aux puissances</w:t>
      </w:r>
      <w:r>
        <w:t xml:space="preserve"> </w:t>
      </w:r>
      <w:r>
        <w:t xml:space="preserve">— Déclaration officielle de l’établissement du Protectorat —</w:t>
      </w:r>
      <w:r>
        <w:t xml:space="preserve"> </w:t>
      </w:r>
      <w:r>
        <w:rPr>
          <w:bCs/>
          <w:b/>
        </w:rPr>
        <w:t xml:space="preserve">Source :</w:t>
      </w:r>
      <w:r>
        <w:t xml:space="preserve"> </w:t>
      </w:r>
      <w:r>
        <w:t xml:space="preserve">Archives MAE, circulaires diplomatiques (mai 1912).</w:t>
      </w:r>
    </w:p>
    <w:p>
      <w:pPr>
        <w:pStyle w:val="BlockText"/>
      </w:pPr>
      <w:r>
        <w:rPr>
          <w:bCs/>
          <w:b/>
        </w:rPr>
        <w:t xml:space="preserve">Cahiers des charges du Protectorat :</w:t>
      </w:r>
      <w:r>
        <w:t xml:space="preserve"> </w:t>
      </w:r>
      <w:r>
        <w:t xml:space="preserve">-</w:t>
      </w:r>
      <w:r>
        <w:t xml:space="preserve"> </w:t>
      </w:r>
      <w:r>
        <w:rPr>
          <w:iCs/>
          <w:i/>
        </w:rPr>
        <w:t xml:space="preserve">Accord secret franco-espagnol (novembre 1911)</w:t>
      </w:r>
      <w:r>
        <w:t xml:space="preserve"> </w:t>
      </w:r>
      <w:r>
        <w:t xml:space="preserve">— Définition des zones d’influence —</w:t>
      </w:r>
      <w:r>
        <w:t xml:space="preserve"> </w:t>
      </w:r>
      <w:r>
        <w:rPr>
          <w:bCs/>
          <w:b/>
        </w:rPr>
        <w:t xml:space="preserve">Source :</w:t>
      </w:r>
      <w:r>
        <w:t xml:space="preserve"> </w:t>
      </w:r>
      <w:r>
        <w:rPr>
          <w:iCs/>
          <w:i/>
        </w:rPr>
        <w:t xml:space="preserve">Documents Diplomatiques</w:t>
      </w:r>
      <w:r>
        <w:t xml:space="preserve">, p. 480-495.</w:t>
      </w:r>
      <w:r>
        <w:t xml:space="preserve"> </w:t>
      </w:r>
      <w:r>
        <w:t xml:space="preserve">-</w:t>
      </w:r>
      <w:r>
        <w:t xml:space="preserve"> </w:t>
      </w:r>
      <w:r>
        <w:rPr>
          <w:iCs/>
          <w:i/>
        </w:rPr>
        <w:t xml:space="preserve">Accord franco-allemand (novembre 1911)</w:t>
      </w:r>
      <w:r>
        <w:t xml:space="preserve"> </w:t>
      </w:r>
      <w:r>
        <w:t xml:space="preserve">— Reconnaissance allemande du protectorat —</w:t>
      </w:r>
      <w:r>
        <w:t xml:space="preserve"> </w:t>
      </w:r>
      <w:r>
        <w:rPr>
          <w:bCs/>
          <w:b/>
        </w:rPr>
        <w:t xml:space="preserve">Source :</w:t>
      </w:r>
      <w:r>
        <w:t xml:space="preserve"> </w:t>
      </w:r>
      <w:r>
        <w:rPr>
          <w:iCs/>
          <w:i/>
        </w:rPr>
        <w:t xml:space="preserve">Documents Diplomatiques</w:t>
      </w:r>
      <w:r>
        <w:t xml:space="preserve">.</w:t>
      </w:r>
    </w:p>
    <w:p>
      <w:pPr>
        <w:pStyle w:val="BlockText"/>
      </w:pPr>
      <w:r>
        <w:rPr>
          <w:bCs/>
          <w:b/>
        </w:rPr>
        <w:t xml:space="preserve">Comparaison avec d’autres protectorats :</w:t>
      </w:r>
      <w:r>
        <w:t xml:space="preserve"> </w:t>
      </w:r>
      <w:r>
        <w:t xml:space="preserve">-</w:t>
      </w:r>
      <w:r>
        <w:t xml:space="preserve"> </w:t>
      </w:r>
      <w:r>
        <w:rPr>
          <w:iCs/>
          <w:i/>
        </w:rPr>
        <w:t xml:space="preserve">Protectorat tunisien (1881)</w:t>
      </w:r>
      <w:r>
        <w:t xml:space="preserve"> </w:t>
      </w:r>
      <w:r>
        <w:t xml:space="preserve">— Traité de La Marsa —</w:t>
      </w:r>
      <w:r>
        <w:t xml:space="preserve"> </w:t>
      </w:r>
      <w:r>
        <w:rPr>
          <w:bCs/>
          <w:b/>
        </w:rPr>
        <w:t xml:space="preserve">Source :</w:t>
      </w:r>
      <w:r>
        <w:t xml:space="preserve"> </w:t>
      </w:r>
      <w:r>
        <w:t xml:space="preserve">Archives MAE (Paris), dossiers Tunisie.</w:t>
      </w:r>
      <w:r>
        <w:t xml:space="preserve"> </w:t>
      </w:r>
      <w:r>
        <w:t xml:space="preserve">-</w:t>
      </w:r>
      <w:r>
        <w:t xml:space="preserve"> </w:t>
      </w:r>
      <w:r>
        <w:rPr>
          <w:iCs/>
          <w:i/>
        </w:rPr>
        <w:t xml:space="preserve">Protectorat français en Indochine (1887)</w:t>
      </w:r>
      <w:r>
        <w:t xml:space="preserve"> </w:t>
      </w:r>
      <w:r>
        <w:t xml:space="preserve">— Structures administratives —</w:t>
      </w:r>
      <w:r>
        <w:t xml:space="preserve"> </w:t>
      </w:r>
      <w:r>
        <w:rPr>
          <w:bCs/>
          <w:b/>
        </w:rPr>
        <w:t xml:space="preserve">Source :</w:t>
      </w:r>
      <w:r>
        <w:t xml:space="preserve"> </w:t>
      </w:r>
      <w:r>
        <w:t xml:space="preserve">Archives des Colonies (Paris).</w:t>
      </w:r>
    </w:p>
    <w:p>
      <w:pPr>
        <w:pStyle w:val="BlockText"/>
      </w:pPr>
      <w:r>
        <w:rPr>
          <w:bCs/>
          <w:b/>
        </w:rPr>
        <w:t xml:space="preserve">Fonds d’archives complets :</w:t>
      </w:r>
      <w:r>
        <w:t xml:space="preserve"> </w:t>
      </w:r>
      <w:r>
        <w:t xml:space="preserve">-</w:t>
      </w:r>
      <w:r>
        <w:t xml:space="preserve"> </w:t>
      </w:r>
      <w:r>
        <w:rPr>
          <w:bCs/>
          <w:b/>
        </w:rPr>
        <w:t xml:space="preserve">Archives MAE (Paris)</w:t>
      </w:r>
      <w:r>
        <w:t xml:space="preserve"> </w:t>
      </w:r>
      <w:r>
        <w:t xml:space="preserve">:</w:t>
      </w:r>
      <w:r>
        <w:t xml:space="preserve"> </w:t>
      </w:r>
      <w:r>
        <w:rPr>
          <w:iCs/>
          <w:i/>
        </w:rPr>
        <w:t xml:space="preserve">Documents Diplomatiques - Affaires du Maroc 1911-1912</w:t>
      </w:r>
      <w:r>
        <w:t xml:space="preserve"> </w:t>
      </w:r>
      <w:r>
        <w:t xml:space="preserve">-</w:t>
      </w:r>
      <w:r>
        <w:t xml:space="preserve"> </w:t>
      </w:r>
      <w:r>
        <w:rPr>
          <w:bCs/>
          <w:b/>
        </w:rPr>
        <w:t xml:space="preserve">Archives Royales (Rabat)</w:t>
      </w:r>
      <w:r>
        <w:t xml:space="preserve"> </w:t>
      </w:r>
      <w:r>
        <w:t xml:space="preserve">: Dahirs, correspondances du Makhzen (1912)</w:t>
      </w:r>
      <w:r>
        <w:t xml:space="preserve"> </w:t>
      </w:r>
      <w:r>
        <w:t xml:space="preserve">-</w:t>
      </w:r>
      <w:r>
        <w:t xml:space="preserve"> </w:t>
      </w:r>
      <w:r>
        <w:rPr>
          <w:bCs/>
          <w:b/>
        </w:rPr>
        <w:t xml:space="preserve">TAZI, T.9</w:t>
      </w:r>
      <w:r>
        <w:t xml:space="preserve"> </w:t>
      </w:r>
      <w:r>
        <w:t xml:space="preserve">: Texte intégral du Traité avec annexes</w:t>
      </w:r>
      <w:r>
        <w:t xml:space="preserve"> </w:t>
      </w:r>
      <w:r>
        <w:t xml:space="preserve">-</w:t>
      </w:r>
      <w:r>
        <w:t xml:space="preserve"> </w:t>
      </w:r>
      <w:r>
        <w:rPr>
          <w:bCs/>
          <w:b/>
        </w:rPr>
        <w:t xml:space="preserve">Public Record Office (Londres)</w:t>
      </w:r>
      <w:r>
        <w:t xml:space="preserve"> </w:t>
      </w:r>
      <w:r>
        <w:t xml:space="preserve">: Correspondances britanniques (F.O. 99) attestant de la reconnaissance</w:t>
      </w:r>
    </w:p>
    <w:p>
      <w:r>
        <w:pict>
          <v:rect style="width:0;height:1.5pt" o:hralign="center" o:hrstd="t" o:hr="t"/>
        </w:pict>
      </w:r>
    </w:p>
    <w:bookmarkEnd w:id="109"/>
    <w:bookmarkEnd w:id="110"/>
    <w:bookmarkStart w:id="114" w:name="X2e07e161160f5469a8095b55a1aecfc0960a098"/>
    <w:p>
      <w:pPr>
        <w:pStyle w:val="Heading3"/>
      </w:pPr>
      <w:r>
        <w:t xml:space="preserve">3. Continuité de l’État malgré la perte de contrôle extérieur</w:t>
      </w:r>
    </w:p>
    <w:bookmarkStart w:id="112" w:name="la-baya-contrainte-et-légitimation"/>
    <w:p>
      <w:pPr>
        <w:pStyle w:val="Heading4"/>
      </w:pPr>
      <w:r>
        <w:t xml:space="preserve">La Bay’a : contrainte et légitimation</w:t>
      </w:r>
    </w:p>
    <w:p>
      <w:pPr>
        <w:pStyle w:val="FirstParagraph"/>
      </w:pPr>
      <w:r>
        <w:t xml:space="preserve">L’acceptation du Protectorat par Moulay Hafid est vécue comme une</w:t>
      </w:r>
      <w:r>
        <w:t xml:space="preserve"> </w:t>
      </w:r>
      <w:r>
        <w:rPr>
          <w:bCs/>
          <w:b/>
        </w:rPr>
        <w:t xml:space="preserve">rupture de la Bay’a</w:t>
      </w:r>
      <w:r>
        <w:t xml:space="preserve"> </w:t>
      </w:r>
      <w:r>
        <w:t xml:space="preserve">(incapacité à défendre le pays). Sa signature du Traité de Fès annule la base même de son pouvoir religieux. Il abdique quelques mois plus tard, remplacé par son frère Moulay Youssef, dont la Bay’a sera rédigée sous contrôle français.</w:t>
      </w:r>
      <w:r>
        <w:rPr>
          <w:rStyle w:val="FootnoteReference"/>
        </w:rPr>
        <w:footnoteReference w:id="111"/>
      </w:r>
    </w:p>
    <w:p>
      <w:pPr>
        <w:pStyle w:val="BodyText"/>
      </w:pPr>
      <w:r>
        <w:t xml:space="preserve">Paradoxalement, cette mécanique de légitimation sera</w:t>
      </w:r>
      <w:r>
        <w:t xml:space="preserve"> </w:t>
      </w:r>
      <w:r>
        <w:rPr>
          <w:bCs/>
          <w:b/>
        </w:rPr>
        <w:t xml:space="preserve">instrumentalisée par la Résidence</w:t>
      </w:r>
      <w:r>
        <w:t xml:space="preserve"> </w:t>
      </w:r>
      <w:r>
        <w:t xml:space="preserve">: les réformes coloniales sont promulguées sous forme de dahirs, maintenant la fiction d’un pouvoir chérifien souverain.</w:t>
      </w:r>
    </w:p>
    <w:bookmarkEnd w:id="112"/>
    <w:bookmarkStart w:id="113" w:name="largument-de-continuité-étatique"/>
    <w:p>
      <w:pPr>
        <w:pStyle w:val="Heading4"/>
      </w:pPr>
      <w:r>
        <w:t xml:space="preserve">L’argument de continuité étatique</w:t>
      </w:r>
    </w:p>
    <w:p>
      <w:pPr>
        <w:pStyle w:val="FirstParagraph"/>
      </w:pPr>
      <w:r>
        <w:t xml:space="preserve">Le maintien de la forme juridique de l’État pendant le Protectorat aura des conséquences majeures en 1956 :</w:t>
      </w:r>
    </w:p>
    <w:p>
      <w:pPr>
        <w:numPr>
          <w:ilvl w:val="0"/>
          <w:numId w:val="1008"/>
        </w:numPr>
        <w:pStyle w:val="Compact"/>
      </w:pPr>
      <w:r>
        <w:t xml:space="preserve">Le Maroc indépendant n’a pas à</w:t>
      </w:r>
      <w:r>
        <w:t xml:space="preserve"> </w:t>
      </w:r>
      <w:r>
        <w:rPr>
          <w:bCs/>
          <w:b/>
        </w:rPr>
        <w:t xml:space="preserve">créer</w:t>
      </w:r>
      <w:r>
        <w:t xml:space="preserve"> </w:t>
      </w:r>
      <w:r>
        <w:t xml:space="preserve">un État (contrairement aux colonies) mais à</w:t>
      </w:r>
      <w:r>
        <w:t xml:space="preserve"> </w:t>
      </w:r>
      <w:r>
        <w:rPr>
          <w:bCs/>
          <w:b/>
        </w:rPr>
        <w:t xml:space="preserve">restaurer</w:t>
      </w:r>
      <w:r>
        <w:t xml:space="preserve"> </w:t>
      </w:r>
      <w:r>
        <w:t xml:space="preserve">une souveraineté temporairement amputée</w:t>
      </w:r>
    </w:p>
    <w:p>
      <w:pPr>
        <w:numPr>
          <w:ilvl w:val="0"/>
          <w:numId w:val="1008"/>
        </w:numPr>
        <w:pStyle w:val="Compact"/>
      </w:pPr>
      <w:r>
        <w:t xml:space="preserve">Les traités antérieurs au Protectorat (dont celui de 1786 avec les USA) restent valides</w:t>
      </w:r>
    </w:p>
    <w:p>
      <w:pPr>
        <w:numPr>
          <w:ilvl w:val="0"/>
          <w:numId w:val="1008"/>
        </w:numPr>
        <w:pStyle w:val="Compact"/>
      </w:pPr>
      <w:r>
        <w:t xml:space="preserve">La continuité de la personnalité juridique permet de revendiquer des droits historiques</w:t>
      </w:r>
    </w:p>
    <w:p>
      <w:r>
        <w:pict>
          <v:rect style="width:0;height:1.5pt" o:hralign="center" o:hrstd="t" o:hr="t"/>
        </w:pict>
      </w:r>
    </w:p>
    <w:p>
      <w:pPr>
        <w:pStyle w:val="FirstParagraph"/>
      </w:pPr>
      <w:r>
        <w:t xml:space="preserve">[FIGURE_7_FRISE_EROSION_SOUVERAINETE]</w:t>
      </w:r>
    </w:p>
    <w:p>
      <w:pPr>
        <w:pStyle w:val="BlockText"/>
      </w:pPr>
      <w:r>
        <w:rPr>
          <w:bCs/>
          <w:b/>
        </w:rPr>
        <w:t xml:space="preserve">Figure 7 :</w:t>
      </w:r>
      <w:r>
        <w:t xml:space="preserve"> </w:t>
      </w:r>
      <w:r>
        <w:t xml:space="preserve">L’érosion de la souveraineté marocaine (1844-1912) — Documents d’époque</w:t>
      </w:r>
    </w:p>
    <w:p>
      <w:pPr>
        <w:pStyle w:val="BlockText"/>
      </w:pPr>
      <w:r>
        <w:rPr>
          <w:bCs/>
          <w:b/>
        </w:rPr>
        <w:t xml:space="preserve">Correspondances diplomatiques originales :</w:t>
      </w:r>
      <w:r>
        <w:t xml:space="preserve"> </w:t>
      </w:r>
      <w:r>
        <w:t xml:space="preserve">-</w:t>
      </w:r>
      <w:r>
        <w:t xml:space="preserve"> </w:t>
      </w:r>
      <w:r>
        <w:rPr>
          <w:iCs/>
          <w:i/>
        </w:rPr>
        <w:t xml:space="preserve">Fac-similé lettre de Moulay Ismaïl à Louis XIV</w:t>
      </w:r>
      <w:r>
        <w:t xml:space="preserve"> </w:t>
      </w:r>
      <w:r>
        <w:t xml:space="preserve">(25 sept. 1699 / 22 nov. 1691) —</w:t>
      </w:r>
      <w:r>
        <w:t xml:space="preserve"> </w:t>
      </w:r>
      <w:r>
        <w:rPr>
          <w:bCs/>
          <w:b/>
        </w:rPr>
        <w:t xml:space="preserve">In :</w:t>
      </w:r>
      <w:r>
        <w:t xml:space="preserve"> </w:t>
      </w:r>
      <w:r>
        <w:t xml:space="preserve">TAZI, T.9</w:t>
      </w:r>
      <w:r>
        <w:t xml:space="preserve"> </w:t>
      </w:r>
      <w:r>
        <w:t xml:space="preserve">-</w:t>
      </w:r>
      <w:r>
        <w:t xml:space="preserve"> </w:t>
      </w:r>
      <w:r>
        <w:rPr>
          <w:iCs/>
          <w:i/>
        </w:rPr>
        <w:t xml:space="preserve">Lettre de Moulay Ismaïl</w:t>
      </w:r>
      <w:r>
        <w:t xml:space="preserve"> </w:t>
      </w:r>
      <w:r>
        <w:t xml:space="preserve">(9 Chaabane 1095 / juillet 1684) —</w:t>
      </w:r>
      <w:r>
        <w:t xml:space="preserve"> </w:t>
      </w:r>
      <w:r>
        <w:rPr>
          <w:bCs/>
          <w:b/>
        </w:rPr>
        <w:t xml:space="preserve">In :</w:t>
      </w:r>
      <w:r>
        <w:t xml:space="preserve"> </w:t>
      </w:r>
      <w:r>
        <w:t xml:space="preserve">TAZI, T.9</w:t>
      </w:r>
      <w:r>
        <w:t xml:space="preserve"> </w:t>
      </w:r>
      <w:r>
        <w:t xml:space="preserve">-</w:t>
      </w:r>
      <w:r>
        <w:t xml:space="preserve"> </w:t>
      </w:r>
      <w:r>
        <w:rPr>
          <w:iCs/>
          <w:i/>
        </w:rPr>
        <w:t xml:space="preserve">Lettre de Mohammed III à Louis XV et Louis XVI</w:t>
      </w:r>
      <w:r>
        <w:t xml:space="preserve"> </w:t>
      </w:r>
      <w:r>
        <w:t xml:space="preserve">—</w:t>
      </w:r>
      <w:r>
        <w:t xml:space="preserve"> </w:t>
      </w:r>
      <w:r>
        <w:rPr>
          <w:bCs/>
          <w:b/>
        </w:rPr>
        <w:t xml:space="preserve">In :</w:t>
      </w:r>
      <w:r>
        <w:t xml:space="preserve"> </w:t>
      </w:r>
      <w:r>
        <w:t xml:space="preserve">TAZI, T.9</w:t>
      </w:r>
      <w:r>
        <w:t xml:space="preserve"> </w:t>
      </w:r>
      <w:r>
        <w:t xml:space="preserve">-</w:t>
      </w:r>
      <w:r>
        <w:t xml:space="preserve"> </w:t>
      </w:r>
      <w:r>
        <w:rPr>
          <w:iCs/>
          <w:i/>
        </w:rPr>
        <w:t xml:space="preserve">Lettre de Moulay Slimane à Napoléon Ier</w:t>
      </w:r>
      <w:r>
        <w:t xml:space="preserve"> </w:t>
      </w:r>
      <w:r>
        <w:t xml:space="preserve">—</w:t>
      </w:r>
      <w:r>
        <w:t xml:space="preserve"> </w:t>
      </w:r>
      <w:r>
        <w:rPr>
          <w:bCs/>
          <w:b/>
        </w:rPr>
        <w:t xml:space="preserve">In :</w:t>
      </w:r>
      <w:r>
        <w:t xml:space="preserve"> </w:t>
      </w:r>
      <w:r>
        <w:t xml:space="preserve">TAZI, T.9</w:t>
      </w:r>
      <w:r>
        <w:t xml:space="preserve"> </w:t>
      </w:r>
      <w:r>
        <w:t xml:space="preserve">-</w:t>
      </w:r>
      <w:r>
        <w:t xml:space="preserve"> </w:t>
      </w:r>
      <w:r>
        <w:rPr>
          <w:bCs/>
          <w:b/>
        </w:rPr>
        <w:t xml:space="preserve">Fonds :</w:t>
      </w:r>
      <w:r>
        <w:t xml:space="preserve"> </w:t>
      </w:r>
      <w:r>
        <w:t xml:space="preserve">Bibliothèque Royale Hassaniya (Rabat), ms. 1275/319</w:t>
      </w:r>
    </w:p>
    <w:p>
      <w:r>
        <w:pict>
          <v:rect style="width:0;height:1.5pt" o:hralign="center" o:hrstd="t" o:hr="t"/>
        </w:pict>
      </w:r>
    </w:p>
    <w:bookmarkEnd w:id="113"/>
    <w:bookmarkEnd w:id="114"/>
    <w:bookmarkEnd w:id="115"/>
    <w:bookmarkStart w:id="125" w:name="conclusion-générale"/>
    <w:p>
      <w:pPr>
        <w:pStyle w:val="Heading2"/>
      </w:pPr>
      <w:r>
        <w:t xml:space="preserve">CONCLUSION GÉNÉRALE</w:t>
      </w:r>
    </w:p>
    <w:bookmarkStart w:id="116" w:name="synthèse-des-apports-des-deux-parties"/>
    <w:p>
      <w:pPr>
        <w:pStyle w:val="Heading3"/>
      </w:pPr>
      <w:r>
        <w:t xml:space="preserve">1. Synthèse des apports des deux parties</w:t>
      </w:r>
    </w:p>
    <w:p>
      <w:pPr>
        <w:pStyle w:val="FirstParagraph"/>
      </w:pPr>
      <w:r>
        <w:t xml:space="preserve">L’analyse des fondations de la diplomatie alaouite (1666-1912) révèle une trajectoire en deux temps contrastés :</w:t>
      </w:r>
    </w:p>
    <w:p>
      <w:pPr>
        <w:pStyle w:val="BodyText"/>
      </w:pPr>
      <w:r>
        <w:rPr>
          <w:bCs/>
          <w:b/>
        </w:rPr>
        <w:t xml:space="preserve">Phase I (1666-1844) : Construction et projection</w:t>
      </w:r>
    </w:p>
    <w:p>
      <w:pPr>
        <w:pStyle w:val="BodyText"/>
      </w:pPr>
      <w:r>
        <w:t xml:space="preserve">La diplomatie alaouite se construit sur un</w:t>
      </w:r>
      <w:r>
        <w:t xml:space="preserve"> </w:t>
      </w:r>
      <w:r>
        <w:rPr>
          <w:bCs/>
          <w:b/>
        </w:rPr>
        <w:t xml:space="preserve">socle théologico-politique original</w:t>
      </w:r>
      <w:r>
        <w:t xml:space="preserve"> </w:t>
      </w:r>
      <w:r>
        <w:t xml:space="preserve">– la légitimité chérifienne et la Bay’a – qui fonde une prétention à l’égalité souveraine avec les plus grandes puissances. Les sultans développent un arsenal d’instruments diplomatiques (course corsaire, réseaux d’intermédiaires, traités commerciaux) qui permet au Maroc de s’insérer dans le</w:t>
      </w:r>
      <w:r>
        <w:t xml:space="preserve"> </w:t>
      </w:r>
      <w:r>
        <w:rPr>
          <w:iCs/>
          <w:i/>
        </w:rPr>
        <w:t xml:space="preserve">jus gentium</w:t>
      </w:r>
      <w:r>
        <w:t xml:space="preserve"> </w:t>
      </w:r>
      <w:r>
        <w:t xml:space="preserve">européen tout en préservant sa spécificité.</w:t>
      </w:r>
    </w:p>
    <w:p>
      <w:pPr>
        <w:pStyle w:val="BodyText"/>
      </w:pPr>
      <w:r>
        <w:t xml:space="preserve">L’apogée est atteint sous Sidi Mohammed ben Abdallah : le Maroc est le premier État à reconnaître les États-Unis, signe des traités perpétuels de paix et d’amitié, et transforme Essaouira en laboratoire d’une diplomatie commerciale moderne.</w:t>
      </w:r>
    </w:p>
    <w:p>
      <w:pPr>
        <w:pStyle w:val="BodyText"/>
      </w:pPr>
      <w:r>
        <w:rPr>
          <w:bCs/>
          <w:b/>
        </w:rPr>
        <w:t xml:space="preserve">Phase II (1844-1912) : Résistance et suspension</w:t>
      </w:r>
    </w:p>
    <w:p>
      <w:pPr>
        <w:pStyle w:val="BodyText"/>
      </w:pPr>
      <w:r>
        <w:t xml:space="preserve">La révolution industrielle bouleverse le rapport de force. La diplomatie marocaine mute : de la projection, elle passe à la défense. Le Makhzen développe une</w:t>
      </w:r>
      <w:r>
        <w:t xml:space="preserve"> </w:t>
      </w:r>
      <w:r>
        <w:rPr>
          <w:bCs/>
          <w:b/>
        </w:rPr>
        <w:t xml:space="preserve">stratégie de résistance juridique</w:t>
      </w:r>
      <w:r>
        <w:t xml:space="preserve"> </w:t>
      </w:r>
      <w:r>
        <w:t xml:space="preserve">(</w:t>
      </w:r>
      <w:r>
        <w:rPr>
          <w:iCs/>
          <w:i/>
        </w:rPr>
        <w:t xml:space="preserve">Tadmin</w:t>
      </w:r>
      <w:r>
        <w:t xml:space="preserve">), tentant d’utiliser l’internationalisation comme bouclier contre l’hégémonie d’une seule puissance.</w:t>
      </w:r>
    </w:p>
    <w:p>
      <w:pPr>
        <w:pStyle w:val="BodyText"/>
      </w:pPr>
      <w:r>
        <w:t xml:space="preserve">Cette stratégie échoue : le droit international, que le Maroc avait appris à maîtriser, est retourné contre lui. Les conférences internationales (Madrid, Algésiras) légitiment l’ingérence sous couvert de « garantie » de l’indépendance. Le Traité de Fès fige l’État dans un statut paradoxal : juridiquement existant, mais effectivement dépossédé de sa souveraineté – une « souveraineté amputée de ses attributs essentiels ».</w:t>
      </w:r>
    </w:p>
    <w:p>
      <w:r>
        <w:pict>
          <v:rect style="width:0;height:1.5pt" o:hralign="center" o:hrstd="t" o:hr="t"/>
        </w:pict>
      </w:r>
    </w:p>
    <w:bookmarkEnd w:id="116"/>
    <w:bookmarkStart w:id="117" w:name="réponse-à-la-problématique"/>
    <w:p>
      <w:pPr>
        <w:pStyle w:val="Heading3"/>
      </w:pPr>
      <w:r>
        <w:t xml:space="preserve">2. Réponse à la problématique</w:t>
      </w:r>
    </w:p>
    <w:p>
      <w:pPr>
        <w:pStyle w:val="BlockText"/>
      </w:pPr>
      <w:r>
        <w:rPr>
          <w:bCs/>
          <w:b/>
        </w:rPr>
        <w:t xml:space="preserve">Comment le Makhzen a-t-il transformé la reconnaissance internationale en bouclier juridique, avant que l’asymétrie de puissance ne le contraigne à la « souveraineté amputée » ?</w:t>
      </w:r>
    </w:p>
    <w:p>
      <w:pPr>
        <w:pStyle w:val="FirstParagraph"/>
      </w:pPr>
      <w:r>
        <w:t xml:space="preserve">La diplomatie alaouite a</w:t>
      </w:r>
      <w:r>
        <w:t xml:space="preserve"> </w:t>
      </w:r>
      <w:r>
        <w:rPr>
          <w:bCs/>
          <w:b/>
        </w:rPr>
        <w:t xml:space="preserve">magistralement intégré les codes du droit des gens européen</w:t>
      </w:r>
      <w:r>
        <w:t xml:space="preserve"> </w:t>
      </w:r>
      <w:r>
        <w:t xml:space="preserve">au XVIIIe siècle, utilisant les traités commerciaux et la reconnaissance mutuelle pour consolider son statut d’État souverain. Cette intégration juridique constituait un véritable</w:t>
      </w:r>
      <w:r>
        <w:t xml:space="preserve"> </w:t>
      </w:r>
      <w:r>
        <w:rPr>
          <w:bCs/>
          <w:b/>
        </w:rPr>
        <w:t xml:space="preserve">bouclier</w:t>
      </w:r>
      <w:r>
        <w:t xml:space="preserve"> </w:t>
      </w:r>
      <w:r>
        <w:t xml:space="preserve">: le Maroc ne pouvait être traité comme une</w:t>
      </w:r>
      <w:r>
        <w:t xml:space="preserve"> </w:t>
      </w:r>
      <w:r>
        <w:rPr>
          <w:iCs/>
          <w:i/>
        </w:rPr>
        <w:t xml:space="preserve">terra nullius</w:t>
      </w:r>
      <w:r>
        <w:t xml:space="preserve">.</w:t>
      </w:r>
    </w:p>
    <w:p>
      <w:pPr>
        <w:pStyle w:val="BodyText"/>
      </w:pPr>
      <w:r>
        <w:t xml:space="preserve">Cependant, le</w:t>
      </w:r>
      <w:r>
        <w:t xml:space="preserve"> </w:t>
      </w:r>
      <w:r>
        <w:rPr>
          <w:bCs/>
          <w:b/>
        </w:rPr>
        <w:t xml:space="preserve">rapport de force économique et militaire</w:t>
      </w:r>
      <w:r>
        <w:t xml:space="preserve"> </w:t>
      </w:r>
      <w:r>
        <w:t xml:space="preserve">s’est progressivement inversé. Le droit international, initialement instrument de légitimation, est devenu un</w:t>
      </w:r>
      <w:r>
        <w:t xml:space="preserve"> </w:t>
      </w:r>
      <w:r>
        <w:rPr>
          <w:bCs/>
          <w:b/>
        </w:rPr>
        <w:t xml:space="preserve">outil de domination déguisée</w:t>
      </w:r>
      <w:r>
        <w:t xml:space="preserve">. Les traités inégaux (1856, 1860), les conférences internationales (1880, 1906), et finalement le Protectorat (1912) ont évidé la souveraineté tout en maintenant sa forme juridique.</w:t>
      </w:r>
    </w:p>
    <w:p>
      <w:pPr>
        <w:pStyle w:val="BodyText"/>
      </w:pPr>
      <w:r>
        <w:t xml:space="preserve">Le résultat est le concept paradoxal de</w:t>
      </w:r>
      <w:r>
        <w:t xml:space="preserve"> </w:t>
      </w:r>
      <w:r>
        <w:rPr>
          <w:bCs/>
          <w:b/>
        </w:rPr>
        <w:t xml:space="preserve">« souveraineté amputée »</w:t>
      </w:r>
      <w:r>
        <w:t xml:space="preserve"> </w:t>
      </w:r>
      <w:r>
        <w:t xml:space="preserve">: l’État chérifien continue d’exister en droit international (le Sultan demeure chef de l’État, les dahirs restent la source formelle de la légalité), mais l’exercice effectif des attributs régaliens est transféré à la puissance protectrice.</w:t>
      </w:r>
    </w:p>
    <w:p>
      <w:r>
        <w:pict>
          <v:rect style="width:0;height:1.5pt" o:hralign="center" o:hrstd="t" o:hr="t"/>
        </w:pict>
      </w:r>
    </w:p>
    <w:bookmarkEnd w:id="117"/>
    <w:bookmarkStart w:id="120" w:name="X0072cec36fcb1dd87c1de7f6549da5e2ef6f62a"/>
    <w:p>
      <w:pPr>
        <w:pStyle w:val="Heading3"/>
      </w:pPr>
      <w:r>
        <w:t xml:space="preserve">3. Analyse critique : forces et limites de la diplomatie alaouite</w:t>
      </w:r>
    </w:p>
    <w:bookmarkStart w:id="118" w:name="forces"/>
    <w:p>
      <w:pPr>
        <w:pStyle w:val="Heading4"/>
      </w:pPr>
      <w:r>
        <w:t xml:space="preserve">Forces</w:t>
      </w:r>
    </w:p>
    <w:tbl>
      <w:tblPr>
        <w:tblStyle w:val="Table"/>
        <w:tblW w:type="pct" w:w="5000"/>
        <w:tblLook w:firstRow="1" w:lastRow="0" w:firstColumn="0" w:lastColumn="0" w:noHBand="0" w:noVBand="0" w:val="0020"/>
        <w:jc w:val="start"/>
      </w:tblPr>
      <w:tblGrid>
        <w:gridCol w:w="2123"/>
        <w:gridCol w:w="5796"/>
      </w:tblGrid>
      <w:tr>
        <w:trPr>
          <w:tblHeader w:val="true"/>
        </w:trPr>
        <w:tc>
          <w:tcPr/>
          <w:p>
            <w:pPr>
              <w:pStyle w:val="Compact"/>
              <w:jc w:val="left"/>
            </w:pPr>
            <w:r>
              <w:t xml:space="preserve">Dimension</w:t>
            </w:r>
          </w:p>
        </w:tc>
        <w:tc>
          <w:tcPr/>
          <w:p>
            <w:pPr>
              <w:pStyle w:val="Compact"/>
              <w:jc w:val="left"/>
            </w:pPr>
            <w:r>
              <w:t xml:space="preserve">Manifestation</w:t>
            </w:r>
          </w:p>
        </w:tc>
      </w:tr>
      <w:tr>
        <w:tc>
          <w:tcPr/>
          <w:p>
            <w:pPr>
              <w:pStyle w:val="Compact"/>
              <w:jc w:val="left"/>
            </w:pPr>
            <w:r>
              <w:rPr>
                <w:bCs/>
                <w:b/>
              </w:rPr>
              <w:t xml:space="preserve">Cohérence doctrinale</w:t>
            </w:r>
          </w:p>
        </w:tc>
        <w:tc>
          <w:tcPr/>
          <w:p>
            <w:pPr>
              <w:pStyle w:val="Compact"/>
              <w:jc w:val="left"/>
            </w:pPr>
            <w:r>
              <w:t xml:space="preserve">La légitimité chérifienne offre un cadre stable de politique étrangère sur plus de deux siècles</w:t>
            </w:r>
          </w:p>
        </w:tc>
      </w:tr>
      <w:tr>
        <w:tc>
          <w:tcPr/>
          <w:p>
            <w:pPr>
              <w:pStyle w:val="Compact"/>
              <w:jc w:val="left"/>
            </w:pPr>
            <w:r>
              <w:rPr>
                <w:bCs/>
                <w:b/>
              </w:rPr>
              <w:t xml:space="preserve">Adaptabilité instrumentale</w:t>
            </w:r>
          </w:p>
        </w:tc>
        <w:tc>
          <w:tcPr/>
          <w:p>
            <w:pPr>
              <w:pStyle w:val="Compact"/>
              <w:jc w:val="left"/>
            </w:pPr>
            <w:r>
              <w:t xml:space="preserve">Passage de la course au commerce, intégration du formalisme européen</w:t>
            </w:r>
          </w:p>
        </w:tc>
      </w:tr>
      <w:tr>
        <w:tc>
          <w:tcPr/>
          <w:p>
            <w:pPr>
              <w:pStyle w:val="Compact"/>
              <w:jc w:val="left"/>
            </w:pPr>
            <w:r>
              <w:rPr>
                <w:bCs/>
                <w:b/>
              </w:rPr>
              <w:t xml:space="preserve">Anticipation géopolitique</w:t>
            </w:r>
          </w:p>
        </w:tc>
        <w:tc>
          <w:tcPr/>
          <w:p>
            <w:pPr>
              <w:pStyle w:val="Compact"/>
              <w:jc w:val="left"/>
            </w:pPr>
            <w:r>
              <w:t xml:space="preserve">Reconnaissance précoce des USA, diversification des partenaires</w:t>
            </w:r>
          </w:p>
        </w:tc>
      </w:tr>
      <w:tr>
        <w:tc>
          <w:tcPr/>
          <w:p>
            <w:pPr>
              <w:pStyle w:val="Compact"/>
              <w:jc w:val="left"/>
            </w:pPr>
            <w:r>
              <w:rPr>
                <w:bCs/>
                <w:b/>
              </w:rPr>
              <w:t xml:space="preserve">Résistance juridique</w:t>
            </w:r>
          </w:p>
        </w:tc>
        <w:tc>
          <w:tcPr/>
          <w:p>
            <w:pPr>
              <w:pStyle w:val="Compact"/>
              <w:jc w:val="left"/>
            </w:pPr>
            <w:r>
              <w:t xml:space="preserve">Utilisation systématique du</w:t>
            </w:r>
            <w:r>
              <w:rPr>
                <w:iCs/>
                <w:i/>
              </w:rPr>
              <w:t xml:space="preserve">Tadmin</w:t>
            </w:r>
            <w:r>
              <w:t xml:space="preserve"> </w:t>
            </w:r>
            <w:r>
              <w:t xml:space="preserve">face à l’encerclement</w:t>
            </w:r>
          </w:p>
        </w:tc>
      </w:tr>
    </w:tbl>
    <w:bookmarkEnd w:id="118"/>
    <w:bookmarkStart w:id="119" w:name="limites"/>
    <w:p>
      <w:pPr>
        <w:pStyle w:val="Heading4"/>
      </w:pPr>
      <w:r>
        <w:t xml:space="preserve">Limites</w:t>
      </w:r>
    </w:p>
    <w:tbl>
      <w:tblPr>
        <w:tblStyle w:val="Table"/>
        <w:tblW w:type="pct" w:w="5000"/>
        <w:tblLook w:firstRow="1" w:lastRow="0" w:firstColumn="0" w:lastColumn="0" w:noHBand="0" w:noVBand="0" w:val="0020"/>
        <w:jc w:val="start"/>
      </w:tblPr>
      <w:tblGrid>
        <w:gridCol w:w="2618"/>
        <w:gridCol w:w="5301"/>
      </w:tblGrid>
      <w:tr>
        <w:trPr>
          <w:tblHeader w:val="true"/>
        </w:trPr>
        <w:tc>
          <w:tcPr/>
          <w:p>
            <w:pPr>
              <w:pStyle w:val="Compact"/>
              <w:jc w:val="left"/>
            </w:pPr>
            <w:r>
              <w:t xml:space="preserve">Dimension</w:t>
            </w:r>
          </w:p>
        </w:tc>
        <w:tc>
          <w:tcPr/>
          <w:p>
            <w:pPr>
              <w:pStyle w:val="Compact"/>
              <w:jc w:val="left"/>
            </w:pPr>
            <w:r>
              <w:t xml:space="preserve">Manifestation</w:t>
            </w:r>
          </w:p>
        </w:tc>
      </w:tr>
      <w:tr>
        <w:tc>
          <w:tcPr/>
          <w:p>
            <w:pPr>
              <w:pStyle w:val="Compact"/>
              <w:jc w:val="left"/>
            </w:pPr>
            <w:r>
              <w:rPr>
                <w:bCs/>
                <w:b/>
              </w:rPr>
              <w:t xml:space="preserve">Rigidité théologique</w:t>
            </w:r>
          </w:p>
        </w:tc>
        <w:tc>
          <w:tcPr/>
          <w:p>
            <w:pPr>
              <w:pStyle w:val="Compact"/>
              <w:jc w:val="left"/>
            </w:pPr>
            <w:r>
              <w:t xml:space="preserve">La Bay’a interdit toute cession territoriale, limitant la marge de négociation</w:t>
            </w:r>
          </w:p>
        </w:tc>
      </w:tr>
      <w:tr>
        <w:tc>
          <w:tcPr/>
          <w:p>
            <w:pPr>
              <w:pStyle w:val="Compact"/>
              <w:jc w:val="left"/>
            </w:pPr>
            <w:r>
              <w:rPr>
                <w:bCs/>
                <w:b/>
              </w:rPr>
              <w:t xml:space="preserve">Retard technologique</w:t>
            </w:r>
          </w:p>
        </w:tc>
        <w:tc>
          <w:tcPr/>
          <w:p>
            <w:pPr>
              <w:pStyle w:val="Compact"/>
              <w:jc w:val="left"/>
            </w:pPr>
            <w:r>
              <w:t xml:space="preserve">Incapacité à moderniser l’appareil militaire au rythme européen</w:t>
            </w:r>
          </w:p>
        </w:tc>
      </w:tr>
      <w:tr>
        <w:tc>
          <w:tcPr/>
          <w:p>
            <w:pPr>
              <w:pStyle w:val="Compact"/>
              <w:jc w:val="left"/>
            </w:pPr>
            <w:r>
              <w:rPr>
                <w:bCs/>
                <w:b/>
              </w:rPr>
              <w:t xml:space="preserve">Fragmentation interne</w:t>
            </w:r>
          </w:p>
        </w:tc>
        <w:tc>
          <w:tcPr/>
          <w:p>
            <w:pPr>
              <w:pStyle w:val="Compact"/>
              <w:jc w:val="left"/>
            </w:pPr>
            <w:r>
              <w:t xml:space="preserve">La distinction</w:t>
            </w:r>
            <w:r>
              <w:rPr>
                <w:iCs/>
                <w:i/>
              </w:rPr>
              <w:t xml:space="preserve">Makhzen</w:t>
            </w:r>
            <w:r>
              <w:t xml:space="preserve">/</w:t>
            </w:r>
            <w:r>
              <w:rPr>
                <w:iCs/>
                <w:i/>
              </w:rPr>
              <w:t xml:space="preserve">Siba</w:t>
            </w:r>
            <w:r>
              <w:t xml:space="preserve"> </w:t>
            </w:r>
            <w:r>
              <w:t xml:space="preserve">affaiblit la capacité de mobilisation nationale</w:t>
            </w:r>
          </w:p>
        </w:tc>
      </w:tr>
      <w:tr>
        <w:tc>
          <w:tcPr/>
          <w:p>
            <w:pPr>
              <w:pStyle w:val="Compact"/>
              <w:jc w:val="left"/>
            </w:pPr>
            <w:r>
              <w:rPr>
                <w:bCs/>
                <w:b/>
              </w:rPr>
              <w:t xml:space="preserve">Dépendance aux intermédiaires</w:t>
            </w:r>
          </w:p>
        </w:tc>
        <w:tc>
          <w:tcPr/>
          <w:p>
            <w:pPr>
              <w:pStyle w:val="Compact"/>
              <w:jc w:val="left"/>
            </w:pPr>
            <w:r>
              <w:t xml:space="preserve">Les réseaux consulaires et les protégés érodent l’autorité de l’intérieur</w:t>
            </w:r>
          </w:p>
        </w:tc>
      </w:tr>
    </w:tbl>
    <w:p>
      <w:r>
        <w:pict>
          <v:rect style="width:0;height:1.5pt" o:hralign="center" o:hrstd="t" o:hr="t"/>
        </w:pict>
      </w:r>
    </w:p>
    <w:bookmarkEnd w:id="119"/>
    <w:bookmarkEnd w:id="120"/>
    <w:bookmarkStart w:id="124" w:name="X39d7bbd5731860dcf406eb712c41426cb6e82db"/>
    <w:p>
      <w:pPr>
        <w:pStyle w:val="Heading3"/>
      </w:pPr>
      <w:r>
        <w:t xml:space="preserve">4. Ouverture : le Protectorat et les héritages contemporains</w:t>
      </w:r>
    </w:p>
    <w:p>
      <w:pPr>
        <w:pStyle w:val="FirstParagraph"/>
      </w:pPr>
      <w:r>
        <w:t xml:space="preserve">Le paradoxe de la « souveraineté amputée » aura des</w:t>
      </w:r>
      <w:r>
        <w:t xml:space="preserve"> </w:t>
      </w:r>
      <w:r>
        <w:rPr>
          <w:bCs/>
          <w:b/>
        </w:rPr>
        <w:t xml:space="preserve">conséquences structurantes</w:t>
      </w:r>
      <w:r>
        <w:t xml:space="preserve"> </w:t>
      </w:r>
      <w:r>
        <w:t xml:space="preserve">pour le Maroc contemporain :</w:t>
      </w:r>
    </w:p>
    <w:p>
      <w:pPr>
        <w:pStyle w:val="BodyText"/>
      </w:pPr>
      <w:r>
        <w:rPr>
          <w:bCs/>
          <w:b/>
        </w:rPr>
        <w:t xml:space="preserve">Durant le Protectorat (1912-1956)</w:t>
      </w:r>
      <w:r>
        <w:t xml:space="preserve"> </w:t>
      </w:r>
      <w:r>
        <w:t xml:space="preserve">: La forme étatique maintenue par Lyautey permettra l’émergence d’un mouvement nationaliste qui revendique non pas la création d’un État nouveau, mais la</w:t>
      </w:r>
      <w:r>
        <w:t xml:space="preserve"> </w:t>
      </w:r>
      <w:r>
        <w:rPr>
          <w:bCs/>
          <w:b/>
        </w:rPr>
        <w:t xml:space="preserve">restauration</w:t>
      </w:r>
      <w:r>
        <w:t xml:space="preserve"> </w:t>
      </w:r>
      <w:r>
        <w:t xml:space="preserve">d’une souveraineté historique. Le dahir berbère de 1930 provoquera une mobilisation précisément parce qu’il est perçu comme une atteinte à l’unité de l’État chérifien.</w:t>
      </w:r>
    </w:p>
    <w:p>
      <w:pPr>
        <w:pStyle w:val="BodyText"/>
      </w:pPr>
      <w:r>
        <w:rPr>
          <w:bCs/>
          <w:b/>
        </w:rPr>
        <w:t xml:space="preserve">Après l’indépendance (1956)</w:t>
      </w:r>
      <w:r>
        <w:t xml:space="preserve"> </w:t>
      </w:r>
      <w:r>
        <w:t xml:space="preserve">: Le Maroc n’a pas à construire une identité étatique ex nihilo. Il hérite :</w:t>
      </w:r>
    </w:p>
    <w:p>
      <w:pPr>
        <w:numPr>
          <w:ilvl w:val="0"/>
          <w:numId w:val="1009"/>
        </w:numPr>
        <w:pStyle w:val="Compact"/>
      </w:pPr>
      <w:r>
        <w:t xml:space="preserve">D’une tradition diplomatique biséculaire</w:t>
      </w:r>
    </w:p>
    <w:p>
      <w:pPr>
        <w:numPr>
          <w:ilvl w:val="0"/>
          <w:numId w:val="1009"/>
        </w:numPr>
        <w:pStyle w:val="Compact"/>
      </w:pPr>
      <w:r>
        <w:t xml:space="preserve">De traités toujours en vigueur (USA 1786)</w:t>
      </w:r>
    </w:p>
    <w:p>
      <w:pPr>
        <w:numPr>
          <w:ilvl w:val="0"/>
          <w:numId w:val="1009"/>
        </w:numPr>
        <w:pStyle w:val="Compact"/>
      </w:pPr>
      <w:r>
        <w:t xml:space="preserve">D’une légitimité monarchique consolidée par l’épreuve coloniale</w:t>
      </w:r>
    </w:p>
    <w:p>
      <w:pPr>
        <w:numPr>
          <w:ilvl w:val="0"/>
          <w:numId w:val="1009"/>
        </w:numPr>
        <w:pStyle w:val="Compact"/>
      </w:pPr>
      <w:r>
        <w:t xml:space="preserve">De revendications territoriales fondées sur l’« intégrité » d’avant 1912</w:t>
      </w:r>
    </w:p>
    <w:bookmarkStart w:id="123" w:name="Xcce21c0253fbc1ffb79571e0a3bf3a5c65b9fa7"/>
    <w:p>
      <w:pPr>
        <w:pStyle w:val="Heading4"/>
      </w:pPr>
      <w:r>
        <w:t xml:space="preserve">La preuve par l’Afrique : résilience de l’ADN diplomatique alaouite</w:t>
      </w:r>
    </w:p>
    <w:p>
      <w:pPr>
        <w:pStyle w:val="FirstParagraph"/>
      </w:pPr>
      <w:r>
        <w:t xml:space="preserve">Les travaux récents de Julien Durand de Sanctis et Jean-Noël Ferrié sur les relations Maroc-France et la politique africaine contemporaine (2025) démontrent que la « souveraineté amputée » de 1912 n’a pas tué l’État – la structure makhzénienne a « hiberné » sous le Protectorat pour renaître.</w:t>
      </w:r>
      <w:r>
        <w:rPr>
          <w:rStyle w:val="FootnoteReference"/>
        </w:rPr>
        <w:footnoteReference w:id="121"/>
      </w:r>
    </w:p>
    <w:p>
      <w:pPr>
        <w:pStyle w:val="BodyText"/>
      </w:pPr>
      <w:r>
        <w:t xml:space="preserve">La politique africaine actuelle de Mohammed VI réactive consciemment les</w:t>
      </w:r>
      <w:r>
        <w:t xml:space="preserve"> </w:t>
      </w:r>
      <w:r>
        <w:rPr>
          <w:bCs/>
          <w:b/>
        </w:rPr>
        <w:t xml:space="preserve">substrats précoloniaux</w:t>
      </w:r>
      <w:r>
        <w:t xml:space="preserve"> </w:t>
      </w:r>
      <w:r>
        <w:t xml:space="preserve">:</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Outil contemporain</w:t>
            </w:r>
          </w:p>
        </w:tc>
        <w:tc>
          <w:tcPr/>
          <w:p>
            <w:pPr>
              <w:pStyle w:val="Compact"/>
              <w:jc w:val="left"/>
            </w:pPr>
            <w:r>
              <w:t xml:space="preserve">Résonance historique</w:t>
            </w:r>
          </w:p>
        </w:tc>
      </w:tr>
      <w:tr>
        <w:tc>
          <w:tcPr/>
          <w:p>
            <w:pPr>
              <w:pStyle w:val="Compact"/>
              <w:jc w:val="left"/>
            </w:pPr>
            <w:r>
              <w:t xml:space="preserve">Retour à l’Union Africaine (2017)</w:t>
            </w:r>
          </w:p>
        </w:tc>
        <w:tc>
          <w:tcPr/>
          <w:p>
            <w:pPr>
              <w:pStyle w:val="Compact"/>
              <w:jc w:val="left"/>
            </w:pPr>
            <w:r>
              <w:t xml:space="preserve">Affirmation d’une puissance régionale autonome (cf. contrôle du commerce transsaharien XVIe-XVIIIe s.)</w:t>
            </w:r>
          </w:p>
        </w:tc>
      </w:tr>
      <w:tr>
        <w:tc>
          <w:tcPr/>
          <w:p>
            <w:pPr>
              <w:pStyle w:val="Compact"/>
              <w:jc w:val="left"/>
            </w:pPr>
            <w:r>
              <w:t xml:space="preserve">Diplomatie économique multisectorielle</w:t>
            </w:r>
          </w:p>
        </w:tc>
        <w:tc>
          <w:tcPr/>
          <w:p>
            <w:pPr>
              <w:pStyle w:val="Compact"/>
              <w:jc w:val="left"/>
            </w:pPr>
            <w:r>
              <w:t xml:space="preserve">Réseaux commerciaux précoloniaux (Sijilmassa, routes de l’or vers Tombouctou)</w:t>
            </w:r>
          </w:p>
        </w:tc>
      </w:tr>
      <w:tr>
        <w:tc>
          <w:tcPr/>
          <w:p>
            <w:pPr>
              <w:pStyle w:val="Compact"/>
              <w:jc w:val="left"/>
            </w:pPr>
            <w:r>
              <w:t xml:space="preserve">Soft power religieux (formation des imams, Institut Mohammed VI)</w:t>
            </w:r>
          </w:p>
        </w:tc>
        <w:tc>
          <w:tcPr/>
          <w:p>
            <w:pPr>
              <w:pStyle w:val="Compact"/>
              <w:jc w:val="left"/>
            </w:pPr>
            <w:r>
              <w:t xml:space="preserve">Rayonnement des</w:t>
            </w:r>
            <w:r>
              <w:t xml:space="preserve"> </w:t>
            </w:r>
            <w:r>
              <w:rPr>
                <w:iCs/>
                <w:i/>
              </w:rPr>
              <w:t xml:space="preserve">zaouïas</w:t>
            </w:r>
            <w:r>
              <w:t xml:space="preserve"> </w:t>
            </w:r>
            <w:r>
              <w:t xml:space="preserve">et confréries (Qadiriyya, Tijaniyya)</w:t>
            </w:r>
          </w:p>
        </w:tc>
      </w:tr>
      <w:tr>
        <w:tc>
          <w:tcPr/>
          <w:p>
            <w:pPr>
              <w:pStyle w:val="Compact"/>
              <w:jc w:val="left"/>
            </w:pPr>
            <w:r>
              <w:t xml:space="preserve">Confrérie Tijaniyya au Sénégal</w:t>
            </w:r>
          </w:p>
        </w:tc>
        <w:tc>
          <w:tcPr/>
          <w:p>
            <w:pPr>
              <w:pStyle w:val="Compact"/>
              <w:jc w:val="left"/>
            </w:pPr>
            <w:r>
              <w:t xml:space="preserve">Allégeance spirituelle transsaharienne au Commandeur des Croyants</w:t>
            </w:r>
          </w:p>
        </w:tc>
      </w:tr>
      <w:tr>
        <w:tc>
          <w:tcPr/>
          <w:p>
            <w:pPr>
              <w:pStyle w:val="Compact"/>
              <w:jc w:val="left"/>
            </w:pPr>
            <w:r>
              <w:t xml:space="preserve">Gazoduc Maroc-Nigeria, Initiative Atlantique</w:t>
            </w:r>
          </w:p>
        </w:tc>
        <w:tc>
          <w:tcPr/>
          <w:p>
            <w:pPr>
              <w:pStyle w:val="Compact"/>
              <w:jc w:val="left"/>
            </w:pPr>
            <w:r>
              <w:t xml:space="preserve">Projection vers la « profondeur stratégique » africaine</w:t>
            </w:r>
          </w:p>
        </w:tc>
      </w:tr>
    </w:tbl>
    <w:p>
      <w:pPr>
        <w:pStyle w:val="BodyText"/>
      </w:pPr>
      <w:r>
        <w:t xml:space="preserve">Durand et Ferrié montrent que Mohammed VI définit l’Afrique comme la «</w:t>
      </w:r>
      <w:r>
        <w:t xml:space="preserve"> </w:t>
      </w:r>
      <w:r>
        <w:rPr>
          <w:bCs/>
          <w:b/>
        </w:rPr>
        <w:t xml:space="preserve">profondeur stratégique</w:t>
      </w:r>
      <w:r>
        <w:t xml:space="preserve"> </w:t>
      </w:r>
      <w:r>
        <w:t xml:space="preserve">» et le «</w:t>
      </w:r>
      <w:r>
        <w:t xml:space="preserve"> </w:t>
      </w:r>
      <w:r>
        <w:rPr>
          <w:bCs/>
          <w:b/>
        </w:rPr>
        <w:t xml:space="preserve">prolongement naturel</w:t>
      </w:r>
      <w:r>
        <w:t xml:space="preserve"> </w:t>
      </w:r>
      <w:r>
        <w:t xml:space="preserve">» du Maroc, mobilisant des liens humains et spirituels séculaires. Le Maroc ne se positionne plus comme un allié mécanique de la France, mais comme un</w:t>
      </w:r>
      <w:r>
        <w:t xml:space="preserve"> </w:t>
      </w:r>
      <w:r>
        <w:rPr>
          <w:bCs/>
          <w:b/>
        </w:rPr>
        <w:t xml:space="preserve">partenaire égal</w:t>
      </w:r>
      <w:r>
        <w:t xml:space="preserve"> </w:t>
      </w:r>
      <w:r>
        <w:t xml:space="preserve">développant ses propres réseaux – exactement comme Sidi Mohammed ben Abdallah diversifiait ses partenaires commerciaux au XVIIIe siècle.</w:t>
      </w:r>
    </w:p>
    <w:p>
      <w:pPr>
        <w:pStyle w:val="BlockText"/>
      </w:pPr>
      <w:r>
        <w:rPr>
          <w:bCs/>
          <w:b/>
        </w:rPr>
        <w:t xml:space="preserve">Argument de clôture :</w:t>
      </w:r>
      <w:r>
        <w:t xml:space="preserve"> </w:t>
      </w:r>
      <w:r>
        <w:t xml:space="preserve">La politique africaine actuelle de Mohammed VI est la</w:t>
      </w:r>
      <w:r>
        <w:t xml:space="preserve"> </w:t>
      </w:r>
      <w:r>
        <w:rPr>
          <w:bCs/>
          <w:b/>
        </w:rPr>
        <w:t xml:space="preserve">preuve vivante que l’ADN diplomatique alaouite a survécu à la parenthèse coloniale</w:t>
      </w:r>
      <w:r>
        <w:t xml:space="preserve">. Les mêmes « logiciels » du XVIIIe siècle (réseaux commerciaux, légitimité religieuse du Commandeur des Croyants, diplomatie d’équilibre) sont réactivés et adaptés au monde globalisé.</w:t>
      </w:r>
    </w:p>
    <w:p>
      <w:pPr>
        <w:pStyle w:val="FirstParagraph"/>
      </w:pPr>
      <w:r>
        <w:rPr>
          <w:bCs/>
          <w:b/>
        </w:rPr>
        <w:t xml:space="preserve">Dans le Maroc contemporain</w:t>
      </w:r>
      <w:r>
        <w:t xml:space="preserve"> </w:t>
      </w:r>
      <w:r>
        <w:t xml:space="preserve">: La Constitution de 2011 consacre toujours le titre de</w:t>
      </w:r>
      <w:r>
        <w:t xml:space="preserve"> </w:t>
      </w:r>
      <w:r>
        <w:rPr>
          <w:iCs/>
          <w:i/>
        </w:rPr>
        <w:t xml:space="preserve">Amir al-Mouminine</w:t>
      </w:r>
      <w:r>
        <w:t xml:space="preserve"> </w:t>
      </w:r>
      <w:r>
        <w:t xml:space="preserve">et fait du Roi le garant de la « continuité de l’État ».</w:t>
      </w:r>
      <w:r>
        <w:rPr>
          <w:rStyle w:val="FootnoteReference"/>
        </w:rPr>
        <w:footnoteReference w:id="122"/>
      </w:r>
      <w:r>
        <w:t xml:space="preserve"> </w:t>
      </w:r>
      <w:r>
        <w:t xml:space="preserve">Les concepts forgés par la diplomatie alaouite pré-coloniale – légitimité chérifienne, Bay’a, intégrité territoriale – structurent encore le discours politique et les positions diplomatiques du Royaume.</w:t>
      </w:r>
    </w:p>
    <w:p>
      <w:r>
        <w:pict>
          <v:rect style="width:0;height:1.5pt" o:hralign="center" o:hrstd="t" o:hr="t"/>
        </w:pict>
      </w:r>
    </w:p>
    <w:p>
      <w:pPr>
        <w:pStyle w:val="BlockText"/>
      </w:pPr>
      <w:r>
        <w:rPr>
          <w:bCs/>
          <w:b/>
        </w:rPr>
        <w:t xml:space="preserve">La diplomatie alaouite, de 1666 à 1912, aura ainsi démontré que la continuité étatique peut survivre à la perte temporaire de la souveraineté effective. C’est cette résilience juridique, forgée dans deux siècles et demi de pratique diplomatique, qui constitue l’héritage le plus durable des fondations de la diplomatie alaouite.</w:t>
      </w:r>
    </w:p>
    <w:p>
      <w:r>
        <w:pict>
          <v:rect style="width:0;height:1.5pt" o:hralign="center" o:hrstd="t" o:hr="t"/>
        </w:pict>
      </w:r>
    </w:p>
    <w:p>
      <w:pPr>
        <w:pStyle w:val="FirstParagraph"/>
      </w:pPr>
      <w:r>
        <w:t xml:space="preserve">[FIGURE_8_SYNTHESE_DIPLOMATIE_ALAOUITE]</w:t>
      </w:r>
    </w:p>
    <w:p>
      <w:pPr>
        <w:pStyle w:val="BlockText"/>
      </w:pPr>
      <w:r>
        <w:rPr>
          <w:bCs/>
          <w:b/>
        </w:rPr>
        <w:t xml:space="preserve">Figure 8 :</w:t>
      </w:r>
      <w:r>
        <w:t xml:space="preserve"> </w:t>
      </w:r>
      <w:r>
        <w:t xml:space="preserve">Synthèse graphique – Les deux phases de la diplomatie alaouite (1666-1912)</w:t>
      </w:r>
    </w:p>
    <w:p>
      <w:pPr>
        <w:pStyle w:val="BlockText"/>
      </w:pPr>
      <w:r>
        <w:rPr>
          <w:bCs/>
          <w:b/>
        </w:rPr>
        <w:t xml:space="preserve">Iconographie de synthèse :</w:t>
      </w:r>
      <w:r>
        <w:t xml:space="preserve"> </w:t>
      </w:r>
      <w:r>
        <w:t xml:space="preserve">-</w:t>
      </w:r>
      <w:r>
        <w:t xml:space="preserve"> </w:t>
      </w:r>
      <w:r>
        <w:rPr>
          <w:iCs/>
          <w:i/>
        </w:rPr>
        <w:t xml:space="preserve">« Audience donnée par l’Empereur de Maroc au Sr de St Olon »</w:t>
      </w:r>
      <w:r>
        <w:t xml:space="preserve"> </w:t>
      </w:r>
      <w:r>
        <w:t xml:space="preserve">(1693) — Gravure</w:t>
      </w:r>
      <w:r>
        <w:t xml:space="preserve"> </w:t>
      </w:r>
      <w:r>
        <w:rPr>
          <w:bCs/>
          <w:b/>
        </w:rPr>
        <w:t xml:space="preserve">In :</w:t>
      </w:r>
      <w:r>
        <w:t xml:space="preserve"> </w:t>
      </w:r>
      <w:r>
        <w:t xml:space="preserve">BRIGNON,</w:t>
      </w:r>
      <w:r>
        <w:t xml:space="preserve"> </w:t>
      </w:r>
      <w:r>
        <w:rPr>
          <w:iCs/>
          <w:i/>
        </w:rPr>
        <w:t xml:space="preserve">Histoire du Maroc</w:t>
      </w:r>
      <w:r>
        <w:t xml:space="preserve"> </w:t>
      </w:r>
      <w:r>
        <w:t xml:space="preserve">et TAZI, T.9</w:t>
      </w:r>
      <w:r>
        <w:t xml:space="preserve"> </w:t>
      </w:r>
      <w:r>
        <w:t xml:space="preserve">-</w:t>
      </w:r>
      <w:r>
        <w:t xml:space="preserve"> </w:t>
      </w:r>
      <w:r>
        <w:rPr>
          <w:iCs/>
          <w:i/>
        </w:rPr>
        <w:t xml:space="preserve">Portrait « imaginé » de Moulay Ismaïl par les peintres européens</w:t>
      </w:r>
      <w:r>
        <w:t xml:space="preserve"> </w:t>
      </w:r>
      <w:r>
        <w:t xml:space="preserve">—</w:t>
      </w:r>
      <w:r>
        <w:t xml:space="preserve"> </w:t>
      </w:r>
      <w:r>
        <w:rPr>
          <w:bCs/>
          <w:b/>
        </w:rPr>
        <w:t xml:space="preserve">In :</w:t>
      </w:r>
      <w:r>
        <w:t xml:space="preserve"> </w:t>
      </w:r>
      <w:r>
        <w:t xml:space="preserve">TAZI, T.9</w:t>
      </w:r>
      <w:r>
        <w:t xml:space="preserve"> </w:t>
      </w:r>
      <w:r>
        <w:t xml:space="preserve">-</w:t>
      </w:r>
      <w:r>
        <w:t xml:space="preserve"> </w:t>
      </w:r>
      <w:r>
        <w:rPr>
          <w:iCs/>
          <w:i/>
        </w:rPr>
        <w:t xml:space="preserve">Portrait de Mohammed ben Abdelmalek par Loschenkohl</w:t>
      </w:r>
      <w:r>
        <w:t xml:space="preserve"> </w:t>
      </w:r>
      <w:r>
        <w:t xml:space="preserve">(Ambassadeur à Vienne, 1783) —</w:t>
      </w:r>
      <w:r>
        <w:t xml:space="preserve"> </w:t>
      </w:r>
      <w:r>
        <w:rPr>
          <w:bCs/>
          <w:b/>
        </w:rPr>
        <w:t xml:space="preserve">In :</w:t>
      </w:r>
      <w:r>
        <w:t xml:space="preserve"> </w:t>
      </w:r>
      <w:r>
        <w:t xml:space="preserve">TAZI, T.9</w:t>
      </w:r>
      <w:r>
        <w:t xml:space="preserve"> </w:t>
      </w:r>
      <w:r>
        <w:t xml:space="preserve">-</w:t>
      </w:r>
      <w:r>
        <w:t xml:space="preserve"> </w:t>
      </w:r>
      <w:r>
        <w:rPr>
          <w:iCs/>
          <w:i/>
        </w:rPr>
        <w:t xml:space="preserve">Dessins et signatures des ambassadeurs : Ben Aïcha (1699), Ben Haddou, Temim (1682)</w:t>
      </w:r>
      <w:r>
        <w:t xml:space="preserve"> </w:t>
      </w:r>
      <w:r>
        <w:t xml:space="preserve">—</w:t>
      </w:r>
      <w:r>
        <w:t xml:space="preserve"> </w:t>
      </w:r>
      <w:r>
        <w:rPr>
          <w:bCs/>
          <w:b/>
        </w:rPr>
        <w:t xml:space="preserve">In :</w:t>
      </w:r>
      <w:r>
        <w:t xml:space="preserve"> </w:t>
      </w:r>
      <w:r>
        <w:t xml:space="preserve">TAZI, T.9</w:t>
      </w:r>
      <w:r>
        <w:t xml:space="preserve"> </w:t>
      </w:r>
      <w:r>
        <w:t xml:space="preserve">-</w:t>
      </w:r>
      <w:r>
        <w:t xml:space="preserve"> </w:t>
      </w:r>
      <w:r>
        <w:rPr>
          <w:iCs/>
          <w:i/>
        </w:rPr>
        <w:t xml:space="preserve">Sceau (Tabaa) du Sultan Mohammed III</w:t>
      </w:r>
      <w:r>
        <w:t xml:space="preserve"> </w:t>
      </w:r>
      <w:r>
        <w:t xml:space="preserve">—</w:t>
      </w:r>
      <w:r>
        <w:t xml:space="preserve"> </w:t>
      </w:r>
      <w:r>
        <w:rPr>
          <w:bCs/>
          <w:b/>
        </w:rPr>
        <w:t xml:space="preserve">In :</w:t>
      </w:r>
      <w:r>
        <w:t xml:space="preserve"> </w:t>
      </w:r>
      <w:r>
        <w:t xml:space="preserve">TAZI, T.6 et T.9</w:t>
      </w:r>
      <w:r>
        <w:t xml:space="preserve"> </w:t>
      </w:r>
      <w:r>
        <w:t xml:space="preserve">-</w:t>
      </w:r>
      <w:r>
        <w:t xml:space="preserve"> </w:t>
      </w:r>
      <w:r>
        <w:rPr>
          <w:iCs/>
          <w:i/>
        </w:rPr>
        <w:t xml:space="preserve">Vue de la tour Hassan à Rabat</w:t>
      </w:r>
      <w:r>
        <w:t xml:space="preserve"> </w:t>
      </w:r>
      <w:r>
        <w:t xml:space="preserve">— Gravure</w:t>
      </w:r>
      <w:r>
        <w:t xml:space="preserve"> </w:t>
      </w:r>
      <w:r>
        <w:rPr>
          <w:bCs/>
          <w:b/>
        </w:rPr>
        <w:t xml:space="preserve">In :</w:t>
      </w:r>
      <w:r>
        <w:t xml:space="preserve"> </w:t>
      </w:r>
      <w:r>
        <w:t xml:space="preserve">TAZI, T.9</w:t>
      </w:r>
    </w:p>
    <w:p>
      <w:r>
        <w:pict>
          <v:rect style="width:0;height:1.5pt" o:hralign="center" o:hrstd="t" o:hr="t"/>
        </w:pict>
      </w:r>
    </w:p>
    <w:bookmarkEnd w:id="123"/>
    <w:bookmarkEnd w:id="124"/>
    <w:bookmarkEnd w:id="125"/>
    <w:bookmarkEnd w:id="126"/>
    <w:bookmarkStart w:id="148" w:name="bibliographie-et-sources"/>
    <w:p>
      <w:pPr>
        <w:pStyle w:val="Heading1"/>
      </w:pPr>
      <w:r>
        <w:t xml:space="preserve">BIBLIOGRAPHIE ET SOURCES</w:t>
      </w:r>
    </w:p>
    <w:bookmarkStart w:id="130" w:name="sources-primaires"/>
    <w:p>
      <w:pPr>
        <w:pStyle w:val="Heading2"/>
      </w:pPr>
      <w:r>
        <w:t xml:space="preserve">Sources Primaires</w:t>
      </w:r>
    </w:p>
    <w:bookmarkStart w:id="127" w:name="chroniques-marocaines"/>
    <w:p>
      <w:pPr>
        <w:pStyle w:val="Heading3"/>
      </w:pPr>
      <w:r>
        <w:t xml:space="preserve">Chroniques marocaines</w:t>
      </w:r>
    </w:p>
    <w:p>
      <w:pPr>
        <w:numPr>
          <w:ilvl w:val="0"/>
          <w:numId w:val="1010"/>
        </w:numPr>
        <w:pStyle w:val="Compact"/>
      </w:pPr>
      <w:r>
        <w:rPr>
          <w:bCs/>
          <w:b/>
        </w:rPr>
        <w:t xml:space="preserve">En-Nasiri</w:t>
      </w:r>
      <w:r>
        <w:t xml:space="preserve">,</w:t>
      </w:r>
      <w:r>
        <w:t xml:space="preserve"> </w:t>
      </w:r>
      <w:r>
        <w:rPr>
          <w:iCs/>
          <w:i/>
        </w:rPr>
        <w:t xml:space="preserve">Kitab el-Istiqça li-Akhbar doual el-Maghrib el-Aqsa</w:t>
      </w:r>
      <w:r>
        <w:t xml:space="preserve"> </w:t>
      </w:r>
      <w:r>
        <w:t xml:space="preserve">(Archives du Maroc, traductions françaises, tomes 9, 30, 32)</w:t>
      </w:r>
    </w:p>
    <w:p>
      <w:pPr>
        <w:numPr>
          <w:ilvl w:val="0"/>
          <w:numId w:val="1010"/>
        </w:numPr>
        <w:pStyle w:val="Compact"/>
      </w:pPr>
      <w:r>
        <w:rPr>
          <w:bCs/>
          <w:b/>
        </w:rPr>
        <w:t xml:space="preserve">Archives du Maroc</w:t>
      </w:r>
      <w:r>
        <w:t xml:space="preserve">,</w:t>
      </w:r>
      <w:r>
        <w:t xml:space="preserve"> </w:t>
      </w:r>
      <w:r>
        <w:rPr>
          <w:iCs/>
          <w:i/>
        </w:rPr>
        <w:t xml:space="preserve">Chronique de la Dynastie Alaouie du Maroc</w:t>
      </w:r>
      <w:r>
        <w:t xml:space="preserve">, Tomes 1, 9 et édition 1907</w:t>
      </w:r>
    </w:p>
    <w:bookmarkEnd w:id="127"/>
    <w:bookmarkStart w:id="128" w:name="documents-diplomatiques"/>
    <w:p>
      <w:pPr>
        <w:pStyle w:val="Heading3"/>
      </w:pPr>
      <w:r>
        <w:t xml:space="preserve">Documents diplomatiques</w:t>
      </w:r>
    </w:p>
    <w:p>
      <w:pPr>
        <w:numPr>
          <w:ilvl w:val="0"/>
          <w:numId w:val="1011"/>
        </w:numPr>
        <w:pStyle w:val="Compact"/>
      </w:pPr>
      <w:r>
        <w:rPr>
          <w:bCs/>
          <w:b/>
        </w:rPr>
        <w:t xml:space="preserve">Ministère des Affaires Étrangères (France)</w:t>
      </w:r>
      <w:r>
        <w:t xml:space="preserve">,</w:t>
      </w:r>
      <w:r>
        <w:t xml:space="preserve"> </w:t>
      </w:r>
      <w:r>
        <w:rPr>
          <w:iCs/>
          <w:i/>
        </w:rPr>
        <w:t xml:space="preserve">Documents Diplomatiques – Affaires du Maroc</w:t>
      </w:r>
      <w:r>
        <w:t xml:space="preserve"> </w:t>
      </w:r>
      <w:r>
        <w:t xml:space="preserve">(Livre Jaune, 1901-1912)</w:t>
      </w:r>
    </w:p>
    <w:p>
      <w:pPr>
        <w:numPr>
          <w:ilvl w:val="0"/>
          <w:numId w:val="1011"/>
        </w:numPr>
        <w:pStyle w:val="Compact"/>
      </w:pPr>
      <w:r>
        <w:rPr>
          <w:bCs/>
          <w:b/>
        </w:rPr>
        <w:t xml:space="preserve">Texte du Traité de Fès</w:t>
      </w:r>
      <w:r>
        <w:t xml:space="preserve"> </w:t>
      </w:r>
      <w:r>
        <w:t xml:space="preserve">(30 mars 1912)</w:t>
      </w:r>
    </w:p>
    <w:p>
      <w:pPr>
        <w:numPr>
          <w:ilvl w:val="0"/>
          <w:numId w:val="1011"/>
        </w:numPr>
        <w:pStyle w:val="Compact"/>
      </w:pPr>
      <w:r>
        <w:rPr>
          <w:bCs/>
          <w:b/>
        </w:rPr>
        <w:t xml:space="preserve">Acte final de la Conférence d’Algésiras</w:t>
      </w:r>
      <w:r>
        <w:t xml:space="preserve"> </w:t>
      </w:r>
      <w:r>
        <w:t xml:space="preserve">(7 avril 1906)</w:t>
      </w:r>
    </w:p>
    <w:p>
      <w:pPr>
        <w:numPr>
          <w:ilvl w:val="0"/>
          <w:numId w:val="1011"/>
        </w:numPr>
        <w:pStyle w:val="Compact"/>
      </w:pPr>
      <w:r>
        <w:rPr>
          <w:bCs/>
          <w:b/>
        </w:rPr>
        <w:t xml:space="preserve">Convention de Madrid</w:t>
      </w:r>
      <w:r>
        <w:t xml:space="preserve"> </w:t>
      </w:r>
      <w:r>
        <w:t xml:space="preserve">(3 juillet 1880)</w:t>
      </w:r>
    </w:p>
    <w:bookmarkEnd w:id="128"/>
    <w:bookmarkStart w:id="129" w:name="correspondances-et-récits"/>
    <w:p>
      <w:pPr>
        <w:pStyle w:val="Heading3"/>
      </w:pPr>
      <w:r>
        <w:t xml:space="preserve">Correspondances et récits</w:t>
      </w:r>
    </w:p>
    <w:p>
      <w:pPr>
        <w:numPr>
          <w:ilvl w:val="0"/>
          <w:numId w:val="1012"/>
        </w:numPr>
        <w:pStyle w:val="Compact"/>
      </w:pPr>
      <w:r>
        <w:rPr>
          <w:bCs/>
          <w:b/>
        </w:rPr>
        <w:t xml:space="preserve">Pidou de Saint-Olon</w:t>
      </w:r>
      <w:r>
        <w:t xml:space="preserve">,</w:t>
      </w:r>
      <w:r>
        <w:t xml:space="preserve"> </w:t>
      </w:r>
      <w:r>
        <w:rPr>
          <w:iCs/>
          <w:i/>
        </w:rPr>
        <w:t xml:space="preserve">Relation de l’Empire de Maroc</w:t>
      </w:r>
      <w:r>
        <w:t xml:space="preserve"> </w:t>
      </w:r>
      <w:r>
        <w:t xml:space="preserve">(1695)</w:t>
      </w:r>
    </w:p>
    <w:p>
      <w:pPr>
        <w:numPr>
          <w:ilvl w:val="0"/>
          <w:numId w:val="1012"/>
        </w:numPr>
        <w:pStyle w:val="Compact"/>
      </w:pPr>
      <w:r>
        <w:rPr>
          <w:bCs/>
          <w:b/>
        </w:rPr>
        <w:t xml:space="preserve">Correspondance de Moulay Ismaïl avec Louis XIV</w:t>
      </w:r>
      <w:r>
        <w:t xml:space="preserve"> </w:t>
      </w:r>
      <w:r>
        <w:t xml:space="preserve">(in H. de Castries,</w:t>
      </w:r>
      <w:r>
        <w:t xml:space="preserve"> </w:t>
      </w:r>
      <w:r>
        <w:rPr>
          <w:iCs/>
          <w:i/>
        </w:rPr>
        <w:t xml:space="preserve">Sources Inédites de l’Histoire du Maroc</w:t>
      </w:r>
      <w:r>
        <w:t xml:space="preserve">)</w:t>
      </w:r>
    </w:p>
    <w:p>
      <w:r>
        <w:pict>
          <v:rect style="width:0;height:1.5pt" o:hralign="center" o:hrstd="t" o:hr="t"/>
        </w:pict>
      </w:r>
    </w:p>
    <w:bookmarkEnd w:id="129"/>
    <w:bookmarkEnd w:id="130"/>
    <w:bookmarkStart w:id="135" w:name="sources-secondaires"/>
    <w:p>
      <w:pPr>
        <w:pStyle w:val="Heading2"/>
      </w:pPr>
      <w:r>
        <w:t xml:space="preserve">Sources Secondaires</w:t>
      </w:r>
    </w:p>
    <w:bookmarkStart w:id="131" w:name="historiographie-générale-du-maroc"/>
    <w:p>
      <w:pPr>
        <w:pStyle w:val="Heading3"/>
      </w:pPr>
      <w:r>
        <w:t xml:space="preserve">Historiographie générale du Maroc</w:t>
      </w:r>
    </w:p>
    <w:p>
      <w:pPr>
        <w:numPr>
          <w:ilvl w:val="0"/>
          <w:numId w:val="1013"/>
        </w:numPr>
        <w:pStyle w:val="Compact"/>
      </w:pPr>
      <w:r>
        <w:rPr>
          <w:bCs/>
          <w:b/>
        </w:rPr>
        <w:t xml:space="preserve">ABITBOL, Michel</w:t>
      </w:r>
      <w:r>
        <w:t xml:space="preserve">,</w:t>
      </w:r>
      <w:r>
        <w:t xml:space="preserve"> </w:t>
      </w:r>
      <w:r>
        <w:rPr>
          <w:iCs/>
          <w:i/>
        </w:rPr>
        <w:t xml:space="preserve">Histoire du Maroc</w:t>
      </w:r>
      <w:r>
        <w:t xml:space="preserve">, Paris, Perrin, 2009</w:t>
      </w:r>
    </w:p>
    <w:p>
      <w:pPr>
        <w:numPr>
          <w:ilvl w:val="0"/>
          <w:numId w:val="1013"/>
        </w:numPr>
        <w:pStyle w:val="Compact"/>
      </w:pPr>
      <w:r>
        <w:rPr>
          <w:bCs/>
          <w:b/>
        </w:rPr>
        <w:t xml:space="preserve">RIVET, Daniel</w:t>
      </w:r>
      <w:r>
        <w:t xml:space="preserve">,</w:t>
      </w:r>
      <w:r>
        <w:t xml:space="preserve"> </w:t>
      </w:r>
      <w:r>
        <w:rPr>
          <w:iCs/>
          <w:i/>
        </w:rPr>
        <w:t xml:space="preserve">Histoire du Maroc de Moulay Idris à Mohammed VI</w:t>
      </w:r>
      <w:r>
        <w:t xml:space="preserve">, Paris, Fayard, 2012</w:t>
      </w:r>
    </w:p>
    <w:p>
      <w:pPr>
        <w:numPr>
          <w:ilvl w:val="0"/>
          <w:numId w:val="1013"/>
        </w:numPr>
        <w:pStyle w:val="Compact"/>
      </w:pPr>
      <w:r>
        <w:rPr>
          <w:bCs/>
          <w:b/>
        </w:rPr>
        <w:t xml:space="preserve">LUGAN, Bernard</w:t>
      </w:r>
      <w:r>
        <w:t xml:space="preserve">,</w:t>
      </w:r>
      <w:r>
        <w:t xml:space="preserve"> </w:t>
      </w:r>
      <w:r>
        <w:rPr>
          <w:iCs/>
          <w:i/>
        </w:rPr>
        <w:t xml:space="preserve">Histoire de l’Afrique du Nord</w:t>
      </w:r>
      <w:r>
        <w:t xml:space="preserve">, Paris, Éditions du Rocher, 2016</w:t>
      </w:r>
    </w:p>
    <w:bookmarkEnd w:id="131"/>
    <w:bookmarkStart w:id="132" w:name="études-spécialisées"/>
    <w:p>
      <w:pPr>
        <w:pStyle w:val="Heading3"/>
      </w:pPr>
      <w:r>
        <w:t xml:space="preserve">Études spécialisées</w:t>
      </w:r>
    </w:p>
    <w:p>
      <w:pPr>
        <w:numPr>
          <w:ilvl w:val="0"/>
          <w:numId w:val="1014"/>
        </w:numPr>
        <w:pStyle w:val="Compact"/>
      </w:pPr>
      <w:r>
        <w:rPr>
          <w:bCs/>
          <w:b/>
        </w:rPr>
        <w:t xml:space="preserve">KENBIB, Mohammed</w:t>
      </w:r>
      <w:r>
        <w:t xml:space="preserve">,</w:t>
      </w:r>
      <w:r>
        <w:t xml:space="preserve"> </w:t>
      </w:r>
      <w:r>
        <w:rPr>
          <w:iCs/>
          <w:i/>
        </w:rPr>
        <w:t xml:space="preserve">Juifs et Musulmans au Maroc : Des origines à nos jours</w:t>
      </w:r>
      <w:r>
        <w:t xml:space="preserve">, Rabat, 2016</w:t>
      </w:r>
    </w:p>
    <w:p>
      <w:pPr>
        <w:numPr>
          <w:ilvl w:val="0"/>
          <w:numId w:val="1014"/>
        </w:numPr>
        <w:pStyle w:val="Compact"/>
      </w:pPr>
      <w:r>
        <w:rPr>
          <w:iCs/>
          <w:i/>
        </w:rPr>
        <w:t xml:space="preserve">Hespéris-Tamuda</w:t>
      </w:r>
      <w:r>
        <w:t xml:space="preserve">, vol. IV, 1963 (articles sur les relations diplomatiques)</w:t>
      </w:r>
    </w:p>
    <w:p>
      <w:pPr>
        <w:numPr>
          <w:ilvl w:val="0"/>
          <w:numId w:val="1014"/>
        </w:numPr>
        <w:pStyle w:val="Compact"/>
      </w:pPr>
      <w:r>
        <w:rPr>
          <w:bCs/>
          <w:b/>
        </w:rPr>
        <w:t xml:space="preserve">Archives de la Mission Scientifique au Maroc</w:t>
      </w:r>
      <w:r>
        <w:t xml:space="preserve"> </w:t>
      </w:r>
      <w:r>
        <w:t xml:space="preserve">(1904-1905)</w:t>
      </w:r>
    </w:p>
    <w:bookmarkEnd w:id="132"/>
    <w:bookmarkStart w:id="133" w:name="Xb8656fcb4bfcef42c91238cb349b9696841fa25"/>
    <w:p>
      <w:pPr>
        <w:pStyle w:val="Heading3"/>
      </w:pPr>
      <w:r>
        <w:t xml:space="preserve">Travaux récents intégrés (nouvelles sources)</w:t>
      </w:r>
    </w:p>
    <w:p>
      <w:pPr>
        <w:numPr>
          <w:ilvl w:val="0"/>
          <w:numId w:val="1015"/>
        </w:numPr>
        <w:pStyle w:val="Compact"/>
      </w:pPr>
      <w:r>
        <w:rPr>
          <w:bCs/>
          <w:b/>
        </w:rPr>
        <w:t xml:space="preserve">BEN-SRHIR, Khalid</w:t>
      </w:r>
      <w:r>
        <w:t xml:space="preserve">,</w:t>
      </w:r>
      <w:r>
        <w:t xml:space="preserve"> </w:t>
      </w:r>
      <w:r>
        <w:rPr>
          <w:iCs/>
          <w:i/>
        </w:rPr>
        <w:t xml:space="preserve">Britain and Morocco During the Embassy of John Drummond Hay, 1845-1886</w:t>
      </w:r>
      <w:r>
        <w:t xml:space="preserve">, London, Routledge, 2005 (trad. arabe :</w:t>
      </w:r>
      <w:r>
        <w:t xml:space="preserve"> </w:t>
      </w:r>
      <w:r>
        <w:rPr>
          <w:iCs/>
          <w:i/>
        </w:rPr>
        <w:t xml:space="preserve">Britania wa-l-Maghrib</w:t>
      </w:r>
      <w:r>
        <w:t xml:space="preserve">). Analyse fondamentale du concept d’« Empire Informel » britannique et du rôle du traité de 1856.</w:t>
      </w:r>
    </w:p>
    <w:p>
      <w:pPr>
        <w:numPr>
          <w:ilvl w:val="0"/>
          <w:numId w:val="1015"/>
        </w:numPr>
        <w:pStyle w:val="Compact"/>
      </w:pPr>
      <w:r>
        <w:rPr>
          <w:bCs/>
          <w:b/>
        </w:rPr>
        <w:t xml:space="preserve">EL OUFIR, Saloua</w:t>
      </w:r>
      <w:r>
        <w:t xml:space="preserve">, « L’Identité à l’épreuve de la mobilité diplomatique des voyageurs marocains en Europe (1691-1919) »,</w:t>
      </w:r>
      <w:r>
        <w:t xml:space="preserve"> </w:t>
      </w:r>
      <w:r>
        <w:rPr>
          <w:iCs/>
          <w:i/>
        </w:rPr>
        <w:t xml:space="preserve">Hesperis-Tamuda</w:t>
      </w:r>
      <w:r>
        <w:t xml:space="preserve">, Université Mohammed V de Rabat. Étude sur la hiérarchie des référents identitaires (Islam, Sultan, Territoire) et la psychologie diplomatique marocaine.</w:t>
      </w:r>
    </w:p>
    <w:p>
      <w:pPr>
        <w:numPr>
          <w:ilvl w:val="0"/>
          <w:numId w:val="1015"/>
        </w:numPr>
        <w:pStyle w:val="Compact"/>
      </w:pPr>
      <w:r>
        <w:rPr>
          <w:bCs/>
          <w:b/>
        </w:rPr>
        <w:t xml:space="preserve">DUMONT, Paul</w:t>
      </w:r>
      <w:r>
        <w:t xml:space="preserve">, « L’instrumentalisation de la religion dans l’Empire ottoman », in</w:t>
      </w:r>
      <w:r>
        <w:t xml:space="preserve"> </w:t>
      </w:r>
      <w:r>
        <w:rPr>
          <w:iCs/>
          <w:i/>
        </w:rPr>
        <w:t xml:space="preserve">Revue d’études ottomanes</w:t>
      </w:r>
      <w:r>
        <w:t xml:space="preserve">. Analyse comparative de la stratégie califale ottomane post-Küçük Kaynarca (1774).</w:t>
      </w:r>
    </w:p>
    <w:p>
      <w:pPr>
        <w:numPr>
          <w:ilvl w:val="0"/>
          <w:numId w:val="1015"/>
        </w:numPr>
        <w:pStyle w:val="Compact"/>
      </w:pPr>
      <w:r>
        <w:rPr>
          <w:bCs/>
          <w:b/>
        </w:rPr>
        <w:t xml:space="preserve">DURAND DE SANCTIS, Julien &amp; FERRIÉ, Jean-Noël</w:t>
      </w:r>
      <w:r>
        <w:t xml:space="preserve">, « Morocco–French Relations and Foreign Policy in Africa: Postcolonial Legacy and Disruptions »,</w:t>
      </w:r>
      <w:r>
        <w:t xml:space="preserve"> </w:t>
      </w:r>
      <w:r>
        <w:rPr>
          <w:iCs/>
          <w:i/>
        </w:rPr>
        <w:t xml:space="preserve">Journal of North African Studies</w:t>
      </w:r>
      <w:r>
        <w:t xml:space="preserve">, 2025. Étude de la résilience de la structure makhzénienne et de la réactivation des substrats diplomatiques précoloniaux dans la politique africaine contemporaine.</w:t>
      </w:r>
    </w:p>
    <w:bookmarkEnd w:id="133"/>
    <w:bookmarkStart w:id="134" w:name="théorie-des-relations-internationales"/>
    <w:p>
      <w:pPr>
        <w:pStyle w:val="Heading3"/>
      </w:pPr>
      <w:r>
        <w:t xml:space="preserve">Théorie des relations internationales</w:t>
      </w:r>
    </w:p>
    <w:p>
      <w:pPr>
        <w:numPr>
          <w:ilvl w:val="0"/>
          <w:numId w:val="1016"/>
        </w:numPr>
        <w:pStyle w:val="Compact"/>
      </w:pPr>
      <w:r>
        <w:rPr>
          <w:bCs/>
          <w:b/>
        </w:rPr>
        <w:t xml:space="preserve">BALZACQ, Thierry</w:t>
      </w:r>
      <w:r>
        <w:t xml:space="preserve"> </w:t>
      </w:r>
      <w:r>
        <w:t xml:space="preserve">(dir.),</w:t>
      </w:r>
      <w:r>
        <w:t xml:space="preserve"> </w:t>
      </w:r>
      <w:r>
        <w:rPr>
          <w:iCs/>
          <w:i/>
        </w:rPr>
        <w:t xml:space="preserve">Manuel de diplomatie</w:t>
      </w:r>
      <w:r>
        <w:t xml:space="preserve">, Paris, Presses de Sciences Po, 2018</w:t>
      </w:r>
    </w:p>
    <w:p>
      <w:pPr>
        <w:numPr>
          <w:ilvl w:val="0"/>
          <w:numId w:val="1016"/>
        </w:numPr>
        <w:pStyle w:val="Compact"/>
      </w:pPr>
      <w:r>
        <w:rPr>
          <w:bCs/>
          <w:b/>
        </w:rPr>
        <w:t xml:space="preserve">MORIN, Jean-Frédéric</w:t>
      </w:r>
      <w:r>
        <w:t xml:space="preserve">,</w:t>
      </w:r>
      <w:r>
        <w:t xml:space="preserve"> </w:t>
      </w:r>
      <w:r>
        <w:rPr>
          <w:iCs/>
          <w:i/>
        </w:rPr>
        <w:t xml:space="preserve">La politique étrangère : théories, méthodes et références</w:t>
      </w:r>
      <w:r>
        <w:t xml:space="preserve">, Paris, Armand Colin, 2013</w:t>
      </w:r>
    </w:p>
    <w:p>
      <w:r>
        <w:pict>
          <v:rect style="width:0;height:1.5pt" o:hralign="center" o:hrstd="t" o:hr="t"/>
        </w:pict>
      </w:r>
    </w:p>
    <w:bookmarkEnd w:id="134"/>
    <w:bookmarkEnd w:id="135"/>
    <w:bookmarkStart w:id="136" w:name="jurisprudence-internationale"/>
    <w:p>
      <w:pPr>
        <w:pStyle w:val="Heading2"/>
      </w:pPr>
      <w:r>
        <w:t xml:space="preserve">Jurisprudence internationale</w:t>
      </w:r>
    </w:p>
    <w:p>
      <w:pPr>
        <w:numPr>
          <w:ilvl w:val="0"/>
          <w:numId w:val="1017"/>
        </w:numPr>
        <w:pStyle w:val="Compact"/>
      </w:pPr>
      <w:r>
        <w:rPr>
          <w:bCs/>
          <w:b/>
        </w:rPr>
        <w:t xml:space="preserve">Cour Internationale de Justice</w:t>
      </w:r>
      <w:r>
        <w:t xml:space="preserve">,</w:t>
      </w:r>
      <w:r>
        <w:t xml:space="preserve"> </w:t>
      </w:r>
      <w:r>
        <w:rPr>
          <w:iCs/>
          <w:i/>
        </w:rPr>
        <w:t xml:space="preserve">Avis consultatif sur le Sahara Occidental</w:t>
      </w:r>
      <w:r>
        <w:t xml:space="preserve">, 16 octobre 1975</w:t>
      </w:r>
    </w:p>
    <w:p>
      <w:pPr>
        <w:numPr>
          <w:ilvl w:val="0"/>
          <w:numId w:val="1017"/>
        </w:numPr>
        <w:pStyle w:val="Compact"/>
      </w:pPr>
      <w:r>
        <w:rPr>
          <w:bCs/>
          <w:b/>
        </w:rPr>
        <w:t xml:space="preserve">Cour Internationale de Justice</w:t>
      </w:r>
      <w:r>
        <w:t xml:space="preserve">,</w:t>
      </w:r>
      <w:r>
        <w:t xml:space="preserve"> </w:t>
      </w:r>
      <w:r>
        <w:rPr>
          <w:iCs/>
          <w:i/>
        </w:rPr>
        <w:t xml:space="preserve">Affaire relative aux droits des ressortissants des États-Unis d’Amérique au Maroc</w:t>
      </w:r>
      <w:r>
        <w:t xml:space="preserve">, Arrêt du 27 août 1952</w:t>
      </w:r>
    </w:p>
    <w:p>
      <w:r>
        <w:pict>
          <v:rect style="width:0;height:1.5pt" o:hralign="center" o:hrstd="t" o:hr="t"/>
        </w:pict>
      </w:r>
    </w:p>
    <w:bookmarkEnd w:id="136"/>
    <w:bookmarkStart w:id="137" w:name="notes-de-bas-de-page"/>
    <w:p>
      <w:pPr>
        <w:pStyle w:val="Heading2"/>
      </w:pPr>
      <w:r>
        <w:t xml:space="preserve">Notes de bas de page</w:t>
      </w:r>
    </w:p>
    <w:p>
      <w:r>
        <w:pict>
          <v:rect style="width:0;height:1.5pt" o:hralign="center" o:hrstd="t" o:hr="t"/>
        </w:pict>
      </w:r>
    </w:p>
    <w:bookmarkEnd w:id="137"/>
    <w:bookmarkStart w:id="147" w:name="annexes"/>
    <w:p>
      <w:pPr>
        <w:pStyle w:val="Heading2"/>
      </w:pPr>
      <w:r>
        <w:t xml:space="preserve">ANNEXES</w:t>
      </w:r>
    </w:p>
    <w:bookmarkStart w:id="138" w:name="X99e324f542c32ecc11001dd3ce48908e62710ed"/>
    <w:p>
      <w:pPr>
        <w:pStyle w:val="Heading3"/>
      </w:pPr>
      <w:r>
        <w:t xml:space="preserve">Annexe 1 : Chronologie synthétique (1666-1912)</w:t>
      </w:r>
    </w:p>
    <w:tbl>
      <w:tblPr>
        <w:tblStyle w:val="Table"/>
        <w:tblW w:type="pct" w:w="5000"/>
        <w:tblLook w:firstRow="1" w:lastRow="0" w:firstColumn="0" w:lastColumn="0" w:noHBand="0" w:noVBand="0" w:val="0020"/>
        <w:jc w:val="start"/>
      </w:tblPr>
      <w:tblGrid>
        <w:gridCol w:w="672"/>
        <w:gridCol w:w="2689"/>
        <w:gridCol w:w="4557"/>
      </w:tblGrid>
      <w:tr>
        <w:trPr>
          <w:tblHeader w:val="true"/>
        </w:trPr>
        <w:tc>
          <w:tcPr/>
          <w:p>
            <w:pPr>
              <w:pStyle w:val="Compact"/>
              <w:jc w:val="left"/>
            </w:pPr>
            <w:r>
              <w:t xml:space="preserve">Année</w:t>
            </w:r>
          </w:p>
        </w:tc>
        <w:tc>
          <w:tcPr/>
          <w:p>
            <w:pPr>
              <w:pStyle w:val="Compact"/>
              <w:jc w:val="left"/>
            </w:pPr>
            <w:r>
              <w:t xml:space="preserve">Événement</w:t>
            </w:r>
          </w:p>
        </w:tc>
        <w:tc>
          <w:tcPr/>
          <w:p>
            <w:pPr>
              <w:pStyle w:val="Compact"/>
              <w:jc w:val="left"/>
            </w:pPr>
            <w:r>
              <w:t xml:space="preserve">Portée diplomatique</w:t>
            </w:r>
          </w:p>
        </w:tc>
      </w:tr>
      <w:tr>
        <w:tc>
          <w:tcPr/>
          <w:p>
            <w:pPr>
              <w:pStyle w:val="Compact"/>
              <w:jc w:val="left"/>
            </w:pPr>
            <w:r>
              <w:t xml:space="preserve">1666</w:t>
            </w:r>
          </w:p>
        </w:tc>
        <w:tc>
          <w:tcPr/>
          <w:p>
            <w:pPr>
              <w:pStyle w:val="Compact"/>
              <w:jc w:val="left"/>
            </w:pPr>
            <w:r>
              <w:t xml:space="preserve">Avènement de Moulay Rachid</w:t>
            </w:r>
          </w:p>
        </w:tc>
        <w:tc>
          <w:tcPr/>
          <w:p>
            <w:pPr>
              <w:pStyle w:val="Compact"/>
              <w:jc w:val="left"/>
            </w:pPr>
            <w:r>
              <w:t xml:space="preserve">Fondation de la dynastie alaouite</w:t>
            </w:r>
          </w:p>
        </w:tc>
      </w:tr>
      <w:tr>
        <w:tc>
          <w:tcPr/>
          <w:p>
            <w:pPr>
              <w:pStyle w:val="Compact"/>
              <w:jc w:val="left"/>
            </w:pPr>
            <w:r>
              <w:t xml:space="preserve">1672-1727</w:t>
            </w:r>
          </w:p>
        </w:tc>
        <w:tc>
          <w:tcPr/>
          <w:p>
            <w:pPr>
              <w:pStyle w:val="Compact"/>
              <w:jc w:val="left"/>
            </w:pPr>
            <w:r>
              <w:t xml:space="preserve">Règne de Moulay Ismaïl</w:t>
            </w:r>
          </w:p>
        </w:tc>
        <w:tc>
          <w:tcPr/>
          <w:p>
            <w:pPr>
              <w:pStyle w:val="Compact"/>
              <w:jc w:val="left"/>
            </w:pPr>
            <w:r>
              <w:t xml:space="preserve">Centralisation de la diplomatie, récupération des présides</w:t>
            </w:r>
          </w:p>
        </w:tc>
      </w:tr>
      <w:tr>
        <w:tc>
          <w:tcPr/>
          <w:p>
            <w:pPr>
              <w:pStyle w:val="Compact"/>
              <w:jc w:val="left"/>
            </w:pPr>
            <w:r>
              <w:t xml:space="preserve">1684</w:t>
            </w:r>
          </w:p>
        </w:tc>
        <w:tc>
          <w:tcPr/>
          <w:p>
            <w:pPr>
              <w:pStyle w:val="Compact"/>
              <w:jc w:val="left"/>
            </w:pPr>
            <w:r>
              <w:t xml:space="preserve">Récupération de Tanger</w:t>
            </w:r>
          </w:p>
        </w:tc>
        <w:tc>
          <w:tcPr/>
          <w:p>
            <w:pPr>
              <w:pStyle w:val="Compact"/>
              <w:jc w:val="left"/>
            </w:pPr>
            <w:r>
              <w:t xml:space="preserve">Affirmation de la souveraineté territoriale</w:t>
            </w:r>
          </w:p>
        </w:tc>
      </w:tr>
      <w:tr>
        <w:tc>
          <w:tcPr/>
          <w:p>
            <w:pPr>
              <w:pStyle w:val="Compact"/>
              <w:jc w:val="left"/>
            </w:pPr>
            <w:r>
              <w:t xml:space="preserve">1757-1790</w:t>
            </w:r>
          </w:p>
        </w:tc>
        <w:tc>
          <w:tcPr/>
          <w:p>
            <w:pPr>
              <w:pStyle w:val="Compact"/>
              <w:jc w:val="left"/>
            </w:pPr>
            <w:r>
              <w:t xml:space="preserve">Règne de Sidi Mohammed ben Abdallah</w:t>
            </w:r>
          </w:p>
        </w:tc>
        <w:tc>
          <w:tcPr/>
          <w:p>
            <w:pPr>
              <w:pStyle w:val="Compact"/>
              <w:jc w:val="left"/>
            </w:pPr>
            <w:r>
              <w:t xml:space="preserve">Âge d’or de la diplomatie commerciale</w:t>
            </w:r>
          </w:p>
        </w:tc>
      </w:tr>
      <w:tr>
        <w:tc>
          <w:tcPr/>
          <w:p>
            <w:pPr>
              <w:pStyle w:val="Compact"/>
              <w:jc w:val="left"/>
            </w:pPr>
            <w:r>
              <w:t xml:space="preserve">1767</w:t>
            </w:r>
          </w:p>
        </w:tc>
        <w:tc>
          <w:tcPr/>
          <w:p>
            <w:pPr>
              <w:pStyle w:val="Compact"/>
              <w:jc w:val="left"/>
            </w:pPr>
            <w:r>
              <w:t xml:space="preserve">Traité avec la France</w:t>
            </w:r>
          </w:p>
        </w:tc>
        <w:tc>
          <w:tcPr/>
          <w:p>
            <w:pPr>
              <w:pStyle w:val="Compact"/>
              <w:jc w:val="left"/>
            </w:pPr>
            <w:r>
              <w:t xml:space="preserve">Paix perpétuelle et commerce</w:t>
            </w:r>
          </w:p>
        </w:tc>
      </w:tr>
      <w:tr>
        <w:tc>
          <w:tcPr/>
          <w:p>
            <w:pPr>
              <w:pStyle w:val="Compact"/>
              <w:jc w:val="left"/>
            </w:pPr>
            <w:r>
              <w:t xml:space="preserve">1777</w:t>
            </w:r>
          </w:p>
        </w:tc>
        <w:tc>
          <w:tcPr/>
          <w:p>
            <w:pPr>
              <w:pStyle w:val="Compact"/>
              <w:jc w:val="left"/>
            </w:pPr>
            <w:r>
              <w:t xml:space="preserve">Déclaration sur les USA</w:t>
            </w:r>
          </w:p>
        </w:tc>
        <w:tc>
          <w:tcPr/>
          <w:p>
            <w:pPr>
              <w:pStyle w:val="Compact"/>
              <w:jc w:val="left"/>
            </w:pPr>
            <w:r>
              <w:t xml:space="preserve">Première reconnaissance mondiale</w:t>
            </w:r>
          </w:p>
        </w:tc>
      </w:tr>
      <w:tr>
        <w:tc>
          <w:tcPr/>
          <w:p>
            <w:pPr>
              <w:pStyle w:val="Compact"/>
              <w:jc w:val="left"/>
            </w:pPr>
            <w:r>
              <w:t xml:space="preserve">1786</w:t>
            </w:r>
          </w:p>
        </w:tc>
        <w:tc>
          <w:tcPr/>
          <w:p>
            <w:pPr>
              <w:pStyle w:val="Compact"/>
              <w:jc w:val="left"/>
            </w:pPr>
            <w:r>
              <w:t xml:space="preserve">Traité de Marrakech (USA)</w:t>
            </w:r>
          </w:p>
        </w:tc>
        <w:tc>
          <w:tcPr/>
          <w:p>
            <w:pPr>
              <w:pStyle w:val="Compact"/>
              <w:jc w:val="left"/>
            </w:pPr>
            <w:r>
              <w:t xml:space="preserve">Paix et amitié perpétuelles</w:t>
            </w:r>
          </w:p>
        </w:tc>
      </w:tr>
      <w:tr>
        <w:tc>
          <w:tcPr/>
          <w:p>
            <w:pPr>
              <w:pStyle w:val="Compact"/>
              <w:jc w:val="left"/>
            </w:pPr>
            <w:r>
              <w:t xml:space="preserve">1817</w:t>
            </w:r>
          </w:p>
        </w:tc>
        <w:tc>
          <w:tcPr/>
          <w:p>
            <w:pPr>
              <w:pStyle w:val="Compact"/>
              <w:jc w:val="left"/>
            </w:pPr>
            <w:r>
              <w:t xml:space="preserve">Fin de la course</w:t>
            </w:r>
          </w:p>
        </w:tc>
        <w:tc>
          <w:tcPr/>
          <w:p>
            <w:pPr>
              <w:pStyle w:val="Compact"/>
              <w:jc w:val="left"/>
            </w:pPr>
            <w:r>
              <w:t xml:space="preserve">Désarmement de la flotte par Moulay Slimane</w:t>
            </w:r>
          </w:p>
        </w:tc>
      </w:tr>
      <w:tr>
        <w:tc>
          <w:tcPr/>
          <w:p>
            <w:pPr>
              <w:pStyle w:val="Compact"/>
              <w:jc w:val="left"/>
            </w:pPr>
            <w:r>
              <w:t xml:space="preserve">1844</w:t>
            </w:r>
          </w:p>
        </w:tc>
        <w:tc>
          <w:tcPr/>
          <w:p>
            <w:pPr>
              <w:pStyle w:val="Compact"/>
              <w:jc w:val="left"/>
            </w:pPr>
            <w:r>
              <w:t xml:space="preserve">Bataille d’Isly</w:t>
            </w:r>
          </w:p>
        </w:tc>
        <w:tc>
          <w:tcPr/>
          <w:p>
            <w:pPr>
              <w:pStyle w:val="Compact"/>
              <w:jc w:val="left"/>
            </w:pPr>
            <w:r>
              <w:t xml:space="preserve">Premier choc militaire majeur</w:t>
            </w:r>
          </w:p>
        </w:tc>
      </w:tr>
      <w:tr>
        <w:tc>
          <w:tcPr/>
          <w:p>
            <w:pPr>
              <w:pStyle w:val="Compact"/>
              <w:jc w:val="left"/>
            </w:pPr>
            <w:r>
              <w:t xml:space="preserve">1845</w:t>
            </w:r>
          </w:p>
        </w:tc>
        <w:tc>
          <w:tcPr/>
          <w:p>
            <w:pPr>
              <w:pStyle w:val="Compact"/>
              <w:jc w:val="left"/>
            </w:pPr>
            <w:r>
              <w:t xml:space="preserve">Traité de Lalla Maghnia</w:t>
            </w:r>
          </w:p>
        </w:tc>
        <w:tc>
          <w:tcPr/>
          <w:p>
            <w:pPr>
              <w:pStyle w:val="Compact"/>
              <w:jc w:val="left"/>
            </w:pPr>
            <w:r>
              <w:t xml:space="preserve">Frontière algéro-marocaine</w:t>
            </w:r>
          </w:p>
        </w:tc>
      </w:tr>
      <w:tr>
        <w:tc>
          <w:tcPr/>
          <w:p>
            <w:pPr>
              <w:pStyle w:val="Compact"/>
              <w:jc w:val="left"/>
            </w:pPr>
            <w:r>
              <w:t xml:space="preserve">1856</w:t>
            </w:r>
          </w:p>
        </w:tc>
        <w:tc>
          <w:tcPr/>
          <w:p>
            <w:pPr>
              <w:pStyle w:val="Compact"/>
              <w:jc w:val="left"/>
            </w:pPr>
            <w:r>
              <w:t xml:space="preserve">Traité anglo-marocain</w:t>
            </w:r>
          </w:p>
        </w:tc>
        <w:tc>
          <w:tcPr/>
          <w:p>
            <w:pPr>
              <w:pStyle w:val="Compact"/>
              <w:jc w:val="left"/>
            </w:pPr>
            <w:r>
              <w:t xml:space="preserve">Ouverture commerciale forcée</w:t>
            </w:r>
          </w:p>
        </w:tc>
      </w:tr>
      <w:tr>
        <w:tc>
          <w:tcPr/>
          <w:p>
            <w:pPr>
              <w:pStyle w:val="Compact"/>
              <w:jc w:val="left"/>
            </w:pPr>
            <w:r>
              <w:t xml:space="preserve">1860</w:t>
            </w:r>
          </w:p>
        </w:tc>
        <w:tc>
          <w:tcPr/>
          <w:p>
            <w:pPr>
              <w:pStyle w:val="Compact"/>
              <w:jc w:val="left"/>
            </w:pPr>
            <w:r>
              <w:t xml:space="preserve">Traité de Wad-Ras</w:t>
            </w:r>
          </w:p>
        </w:tc>
        <w:tc>
          <w:tcPr/>
          <w:p>
            <w:pPr>
              <w:pStyle w:val="Compact"/>
              <w:jc w:val="left"/>
            </w:pPr>
            <w:r>
              <w:t xml:space="preserve">Premier traité inégal</w:t>
            </w:r>
          </w:p>
        </w:tc>
      </w:tr>
      <w:tr>
        <w:tc>
          <w:tcPr/>
          <w:p>
            <w:pPr>
              <w:pStyle w:val="Compact"/>
              <w:jc w:val="left"/>
            </w:pPr>
            <w:r>
              <w:t xml:space="preserve">1880</w:t>
            </w:r>
          </w:p>
        </w:tc>
        <w:tc>
          <w:tcPr/>
          <w:p>
            <w:pPr>
              <w:pStyle w:val="Compact"/>
              <w:jc w:val="left"/>
            </w:pPr>
            <w:r>
              <w:t xml:space="preserve">Convention de Madrid</w:t>
            </w:r>
          </w:p>
        </w:tc>
        <w:tc>
          <w:tcPr/>
          <w:p>
            <w:pPr>
              <w:pStyle w:val="Compact"/>
              <w:jc w:val="left"/>
            </w:pPr>
            <w:r>
              <w:t xml:space="preserve">Internationalisation du problème marocain</w:t>
            </w:r>
          </w:p>
        </w:tc>
      </w:tr>
      <w:tr>
        <w:tc>
          <w:tcPr/>
          <w:p>
            <w:pPr>
              <w:pStyle w:val="Compact"/>
              <w:jc w:val="left"/>
            </w:pPr>
            <w:r>
              <w:t xml:space="preserve">1904</w:t>
            </w:r>
          </w:p>
        </w:tc>
        <w:tc>
          <w:tcPr/>
          <w:p>
            <w:pPr>
              <w:pStyle w:val="Compact"/>
              <w:jc w:val="left"/>
            </w:pPr>
            <w:r>
              <w:t xml:space="preserve">Entente Cordiale</w:t>
            </w:r>
          </w:p>
        </w:tc>
        <w:tc>
          <w:tcPr/>
          <w:p>
            <w:pPr>
              <w:pStyle w:val="Compact"/>
              <w:jc w:val="left"/>
            </w:pPr>
            <w:r>
              <w:t xml:space="preserve">Partage anglo-français</w:t>
            </w:r>
          </w:p>
        </w:tc>
      </w:tr>
      <w:tr>
        <w:tc>
          <w:tcPr/>
          <w:p>
            <w:pPr>
              <w:pStyle w:val="Compact"/>
              <w:jc w:val="left"/>
            </w:pPr>
            <w:r>
              <w:t xml:space="preserve">1905</w:t>
            </w:r>
          </w:p>
        </w:tc>
        <w:tc>
          <w:tcPr/>
          <w:p>
            <w:pPr>
              <w:pStyle w:val="Compact"/>
              <w:jc w:val="left"/>
            </w:pPr>
            <w:r>
              <w:t xml:space="preserve">Coup de Tanger</w:t>
            </w:r>
          </w:p>
        </w:tc>
        <w:tc>
          <w:tcPr/>
          <w:p>
            <w:pPr>
              <w:pStyle w:val="Compact"/>
              <w:jc w:val="left"/>
            </w:pPr>
            <w:r>
              <w:t xml:space="preserve">Intervention allemande</w:t>
            </w:r>
          </w:p>
        </w:tc>
      </w:tr>
      <w:tr>
        <w:tc>
          <w:tcPr/>
          <w:p>
            <w:pPr>
              <w:pStyle w:val="Compact"/>
              <w:jc w:val="left"/>
            </w:pPr>
            <w:r>
              <w:t xml:space="preserve">1906</w:t>
            </w:r>
          </w:p>
        </w:tc>
        <w:tc>
          <w:tcPr/>
          <w:p>
            <w:pPr>
              <w:pStyle w:val="Compact"/>
              <w:jc w:val="left"/>
            </w:pPr>
            <w:r>
              <w:t xml:space="preserve">Acte d’Algésiras</w:t>
            </w:r>
          </w:p>
        </w:tc>
        <w:tc>
          <w:tcPr/>
          <w:p>
            <w:pPr>
              <w:pStyle w:val="Compact"/>
              <w:jc w:val="left"/>
            </w:pPr>
            <w:r>
              <w:t xml:space="preserve">Tutelle internationale légalisée</w:t>
            </w:r>
          </w:p>
        </w:tc>
      </w:tr>
      <w:tr>
        <w:tc>
          <w:tcPr/>
          <w:p>
            <w:pPr>
              <w:pStyle w:val="Compact"/>
              <w:jc w:val="left"/>
            </w:pPr>
            <w:r>
              <w:t xml:space="preserve">1911</w:t>
            </w:r>
          </w:p>
        </w:tc>
        <w:tc>
          <w:tcPr/>
          <w:p>
            <w:pPr>
              <w:pStyle w:val="Compact"/>
              <w:jc w:val="left"/>
            </w:pPr>
            <w:r>
              <w:t xml:space="preserve">Crise d’Agadir</w:t>
            </w:r>
          </w:p>
        </w:tc>
        <w:tc>
          <w:tcPr/>
          <w:p>
            <w:pPr>
              <w:pStyle w:val="Compact"/>
              <w:jc w:val="left"/>
            </w:pPr>
            <w:r>
              <w:t xml:space="preserve">Dernière tentative allemande</w:t>
            </w:r>
          </w:p>
        </w:tc>
      </w:tr>
      <w:tr>
        <w:tc>
          <w:tcPr/>
          <w:p>
            <w:pPr>
              <w:pStyle w:val="Compact"/>
              <w:jc w:val="left"/>
            </w:pPr>
            <w:r>
              <w:t xml:space="preserve">1912</w:t>
            </w:r>
          </w:p>
        </w:tc>
        <w:tc>
          <w:tcPr/>
          <w:p>
            <w:pPr>
              <w:pStyle w:val="Compact"/>
              <w:jc w:val="left"/>
            </w:pPr>
            <w:r>
              <w:t xml:space="preserve">Traité de Fès</w:t>
            </w:r>
          </w:p>
        </w:tc>
        <w:tc>
          <w:tcPr/>
          <w:p>
            <w:pPr>
              <w:pStyle w:val="Compact"/>
              <w:jc w:val="left"/>
            </w:pPr>
            <w:r>
              <w:t xml:space="preserve">Établissement du Protectorat</w:t>
            </w:r>
          </w:p>
        </w:tc>
      </w:tr>
    </w:tbl>
    <w:p>
      <w:r>
        <w:pict>
          <v:rect style="width:0;height:1.5pt" o:hralign="center" o:hrstd="t" o:hr="t"/>
        </w:pict>
      </w:r>
    </w:p>
    <w:bookmarkEnd w:id="138"/>
    <w:bookmarkStart w:id="139" w:name="annexe-2-glossaire-des-termes-arabes"/>
    <w:p>
      <w:pPr>
        <w:pStyle w:val="Heading3"/>
      </w:pPr>
      <w:r>
        <w:t xml:space="preserve">Annexe 2 : Glossaire des termes arabes</w:t>
      </w:r>
    </w:p>
    <w:tbl>
      <w:tblPr>
        <w:tblStyle w:val="Table"/>
        <w:tblW w:type="pct" w:w="5000"/>
        <w:tblLook w:firstRow="1" w:lastRow="0" w:firstColumn="0" w:lastColumn="0" w:noHBand="0" w:noVBand="0" w:val="0020"/>
        <w:jc w:val="start"/>
      </w:tblPr>
      <w:tblGrid>
        <w:gridCol w:w="1960"/>
        <w:gridCol w:w="1333"/>
        <w:gridCol w:w="4626"/>
      </w:tblGrid>
      <w:tr>
        <w:trPr>
          <w:tblHeader w:val="true"/>
        </w:trPr>
        <w:tc>
          <w:tcPr/>
          <w:p>
            <w:pPr>
              <w:pStyle w:val="Compact"/>
              <w:jc w:val="left"/>
            </w:pPr>
            <w:r>
              <w:t xml:space="preserve">Terme</w:t>
            </w:r>
          </w:p>
        </w:tc>
        <w:tc>
          <w:tcPr/>
          <w:p>
            <w:pPr>
              <w:pStyle w:val="Compact"/>
              <w:jc w:val="left"/>
            </w:pPr>
            <w:r>
              <w:t xml:space="preserve">Transcription</w:t>
            </w:r>
          </w:p>
        </w:tc>
        <w:tc>
          <w:tcPr/>
          <w:p>
            <w:pPr>
              <w:pStyle w:val="Compact"/>
              <w:jc w:val="left"/>
            </w:pPr>
            <w:r>
              <w:t xml:space="preserve">Signification</w:t>
            </w:r>
          </w:p>
        </w:tc>
      </w:tr>
      <w:tr>
        <w:tc>
          <w:tcPr/>
          <w:p>
            <w:pPr>
              <w:pStyle w:val="Compact"/>
              <w:jc w:val="left"/>
            </w:pPr>
            <w:r>
              <w:t xml:space="preserve">البيعة</w:t>
            </w:r>
          </w:p>
        </w:tc>
        <w:tc>
          <w:tcPr/>
          <w:p>
            <w:pPr>
              <w:pStyle w:val="Compact"/>
              <w:jc w:val="left"/>
            </w:pPr>
            <w:r>
              <w:t xml:space="preserve">Bay’a</w:t>
            </w:r>
          </w:p>
        </w:tc>
        <w:tc>
          <w:tcPr/>
          <w:p>
            <w:pPr>
              <w:pStyle w:val="Compact"/>
              <w:jc w:val="left"/>
            </w:pPr>
            <w:r>
              <w:t xml:space="preserve">Serment d’allégeance au souverain</w:t>
            </w:r>
          </w:p>
        </w:tc>
      </w:tr>
      <w:tr>
        <w:tc>
          <w:tcPr/>
          <w:p>
            <w:pPr>
              <w:pStyle w:val="Compact"/>
              <w:jc w:val="left"/>
            </w:pPr>
            <w:r>
              <w:t xml:space="preserve">المخزن</w:t>
            </w:r>
          </w:p>
        </w:tc>
        <w:tc>
          <w:tcPr/>
          <w:p>
            <w:pPr>
              <w:pStyle w:val="Compact"/>
              <w:jc w:val="left"/>
            </w:pPr>
            <w:r>
              <w:t xml:space="preserve">Makhzen</w:t>
            </w:r>
          </w:p>
        </w:tc>
        <w:tc>
          <w:tcPr/>
          <w:p>
            <w:pPr>
              <w:pStyle w:val="Compact"/>
              <w:jc w:val="left"/>
            </w:pPr>
            <w:r>
              <w:t xml:space="preserve">Appareil étatique, « gouvernement »</w:t>
            </w:r>
          </w:p>
        </w:tc>
      </w:tr>
      <w:tr>
        <w:tc>
          <w:tcPr/>
          <w:p>
            <w:pPr>
              <w:pStyle w:val="Compact"/>
              <w:jc w:val="left"/>
            </w:pPr>
            <w:r>
              <w:t xml:space="preserve">أمير المؤمنين</w:t>
            </w:r>
          </w:p>
        </w:tc>
        <w:tc>
          <w:tcPr/>
          <w:p>
            <w:pPr>
              <w:pStyle w:val="Compact"/>
              <w:jc w:val="left"/>
            </w:pPr>
            <w:r>
              <w:t xml:space="preserve">Amir al-Mouminine</w:t>
            </w:r>
          </w:p>
        </w:tc>
        <w:tc>
          <w:tcPr/>
          <w:p>
            <w:pPr>
              <w:pStyle w:val="Compact"/>
              <w:jc w:val="left"/>
            </w:pPr>
            <w:r>
              <w:t xml:space="preserve">Commandeur des Croyants</w:t>
            </w:r>
          </w:p>
        </w:tc>
      </w:tr>
      <w:tr>
        <w:tc>
          <w:tcPr/>
          <w:p>
            <w:pPr>
              <w:pStyle w:val="Compact"/>
              <w:jc w:val="left"/>
            </w:pPr>
            <w:r>
              <w:t xml:space="preserve">دار الإسلام</w:t>
            </w:r>
          </w:p>
        </w:tc>
        <w:tc>
          <w:tcPr/>
          <w:p>
            <w:pPr>
              <w:pStyle w:val="Compact"/>
              <w:jc w:val="left"/>
            </w:pPr>
            <w:r>
              <w:t xml:space="preserve">Dar al-Islam</w:t>
            </w:r>
          </w:p>
        </w:tc>
        <w:tc>
          <w:tcPr/>
          <w:p>
            <w:pPr>
              <w:pStyle w:val="Compact"/>
              <w:jc w:val="left"/>
            </w:pPr>
            <w:r>
              <w:t xml:space="preserve">Terre d’Islam</w:t>
            </w:r>
          </w:p>
        </w:tc>
      </w:tr>
      <w:tr>
        <w:tc>
          <w:tcPr/>
          <w:p>
            <w:pPr>
              <w:pStyle w:val="Compact"/>
              <w:jc w:val="left"/>
            </w:pPr>
            <w:r>
              <w:t xml:space="preserve">دار الحرب</w:t>
            </w:r>
          </w:p>
        </w:tc>
        <w:tc>
          <w:tcPr/>
          <w:p>
            <w:pPr>
              <w:pStyle w:val="Compact"/>
              <w:jc w:val="left"/>
            </w:pPr>
            <w:r>
              <w:t xml:space="preserve">Dar al-Harb</w:t>
            </w:r>
          </w:p>
        </w:tc>
        <w:tc>
          <w:tcPr/>
          <w:p>
            <w:pPr>
              <w:pStyle w:val="Compact"/>
              <w:jc w:val="left"/>
            </w:pPr>
            <w:r>
              <w:t xml:space="preserve">Terre de Guerre</w:t>
            </w:r>
          </w:p>
        </w:tc>
      </w:tr>
      <w:tr>
        <w:tc>
          <w:tcPr/>
          <w:p>
            <w:pPr>
              <w:pStyle w:val="Compact"/>
              <w:jc w:val="left"/>
            </w:pPr>
            <w:r>
              <w:t xml:space="preserve">الجهاد</w:t>
            </w:r>
          </w:p>
        </w:tc>
        <w:tc>
          <w:tcPr/>
          <w:p>
            <w:pPr>
              <w:pStyle w:val="Compact"/>
              <w:jc w:val="left"/>
            </w:pPr>
            <w:r>
              <w:t xml:space="preserve">Jihad</w:t>
            </w:r>
          </w:p>
        </w:tc>
        <w:tc>
          <w:tcPr/>
          <w:p>
            <w:pPr>
              <w:pStyle w:val="Compact"/>
              <w:jc w:val="left"/>
            </w:pPr>
            <w:r>
              <w:t xml:space="preserve">Effort sur le chemin de Dieu (ici : guerre sainte maritime)</w:t>
            </w:r>
          </w:p>
        </w:tc>
      </w:tr>
      <w:tr>
        <w:tc>
          <w:tcPr/>
          <w:p>
            <w:pPr>
              <w:pStyle w:val="Compact"/>
              <w:jc w:val="left"/>
            </w:pPr>
            <w:r>
              <w:t xml:space="preserve">الهدنة</w:t>
            </w:r>
          </w:p>
        </w:tc>
        <w:tc>
          <w:tcPr/>
          <w:p>
            <w:pPr>
              <w:pStyle w:val="Compact"/>
              <w:jc w:val="left"/>
            </w:pPr>
            <w:r>
              <w:t xml:space="preserve">Hudna</w:t>
            </w:r>
          </w:p>
        </w:tc>
        <w:tc>
          <w:tcPr/>
          <w:p>
            <w:pPr>
              <w:pStyle w:val="Compact"/>
              <w:jc w:val="left"/>
            </w:pPr>
            <w:r>
              <w:t xml:space="preserve">Trêve</w:t>
            </w:r>
          </w:p>
        </w:tc>
      </w:tr>
      <w:tr>
        <w:tc>
          <w:tcPr/>
          <w:p>
            <w:pPr>
              <w:pStyle w:val="Compact"/>
              <w:jc w:val="left"/>
            </w:pPr>
            <w:r>
              <w:t xml:space="preserve">المصلحة</w:t>
            </w:r>
          </w:p>
        </w:tc>
        <w:tc>
          <w:tcPr/>
          <w:p>
            <w:pPr>
              <w:pStyle w:val="Compact"/>
              <w:jc w:val="left"/>
            </w:pPr>
            <w:r>
              <w:t xml:space="preserve">Maslaha</w:t>
            </w:r>
          </w:p>
        </w:tc>
        <w:tc>
          <w:tcPr/>
          <w:p>
            <w:pPr>
              <w:pStyle w:val="Compact"/>
              <w:jc w:val="left"/>
            </w:pPr>
            <w:r>
              <w:t xml:space="preserve">Intérêt général de la communauté</w:t>
            </w:r>
          </w:p>
        </w:tc>
      </w:tr>
      <w:tr>
        <w:tc>
          <w:tcPr/>
          <w:p>
            <w:pPr>
              <w:pStyle w:val="Compact"/>
              <w:jc w:val="left"/>
            </w:pPr>
            <w:r>
              <w:t xml:space="preserve">التضامن</w:t>
            </w:r>
          </w:p>
        </w:tc>
        <w:tc>
          <w:tcPr/>
          <w:p>
            <w:pPr>
              <w:pStyle w:val="Compact"/>
              <w:jc w:val="left"/>
            </w:pPr>
            <w:r>
              <w:t xml:space="preserve">Tadmin</w:t>
            </w:r>
          </w:p>
        </w:tc>
        <w:tc>
          <w:tcPr/>
          <w:p>
            <w:pPr>
              <w:pStyle w:val="Compact"/>
              <w:jc w:val="left"/>
            </w:pPr>
            <w:r>
              <w:t xml:space="preserve">Garantie, internationalisation</w:t>
            </w:r>
          </w:p>
        </w:tc>
      </w:tr>
      <w:tr>
        <w:tc>
          <w:tcPr/>
          <w:p>
            <w:pPr>
              <w:pStyle w:val="Compact"/>
              <w:jc w:val="left"/>
            </w:pPr>
            <w:r>
              <w:t xml:space="preserve">الفتنة</w:t>
            </w:r>
          </w:p>
        </w:tc>
        <w:tc>
          <w:tcPr/>
          <w:p>
            <w:pPr>
              <w:pStyle w:val="Compact"/>
              <w:jc w:val="left"/>
            </w:pPr>
            <w:r>
              <w:t xml:space="preserve">Fitna</w:t>
            </w:r>
          </w:p>
        </w:tc>
        <w:tc>
          <w:tcPr/>
          <w:p>
            <w:pPr>
              <w:pStyle w:val="Compact"/>
              <w:jc w:val="left"/>
            </w:pPr>
            <w:r>
              <w:t xml:space="preserve">Guerre civile, chaos</w:t>
            </w:r>
          </w:p>
        </w:tc>
      </w:tr>
      <w:tr>
        <w:tc>
          <w:tcPr/>
          <w:p>
            <w:pPr>
              <w:pStyle w:val="Compact"/>
              <w:jc w:val="left"/>
            </w:pPr>
            <w:r>
              <w:t xml:space="preserve">السيبة</w:t>
            </w:r>
          </w:p>
        </w:tc>
        <w:tc>
          <w:tcPr/>
          <w:p>
            <w:pPr>
              <w:pStyle w:val="Compact"/>
              <w:jc w:val="left"/>
            </w:pPr>
            <w:r>
              <w:t xml:space="preserve">Siba</w:t>
            </w:r>
          </w:p>
        </w:tc>
        <w:tc>
          <w:tcPr/>
          <w:p>
            <w:pPr>
              <w:pStyle w:val="Compact"/>
              <w:jc w:val="left"/>
            </w:pPr>
            <w:r>
              <w:t xml:space="preserve">Dissidence tribale (relative)</w:t>
            </w:r>
          </w:p>
        </w:tc>
      </w:tr>
      <w:tr>
        <w:tc>
          <w:tcPr/>
          <w:p>
            <w:pPr>
              <w:pStyle w:val="Compact"/>
              <w:jc w:val="left"/>
            </w:pPr>
            <w:r>
              <w:t xml:space="preserve">الظهير</w:t>
            </w:r>
          </w:p>
        </w:tc>
        <w:tc>
          <w:tcPr/>
          <w:p>
            <w:pPr>
              <w:pStyle w:val="Compact"/>
              <w:jc w:val="left"/>
            </w:pPr>
            <w:r>
              <w:t xml:space="preserve">Dahir</w:t>
            </w:r>
          </w:p>
        </w:tc>
        <w:tc>
          <w:tcPr/>
          <w:p>
            <w:pPr>
              <w:pStyle w:val="Compact"/>
              <w:jc w:val="left"/>
            </w:pPr>
            <w:r>
              <w:t xml:space="preserve">Décret royal</w:t>
            </w:r>
          </w:p>
        </w:tc>
      </w:tr>
    </w:tbl>
    <w:p>
      <w:r>
        <w:pict>
          <v:rect style="width:0;height:1.5pt" o:hralign="center" o:hrstd="t" o:hr="t"/>
        </w:pict>
      </w:r>
    </w:p>
    <w:bookmarkEnd w:id="139"/>
    <w:bookmarkStart w:id="146" w:name="X58532a200fc28ba6f772c0246f35b01af08a5d7"/>
    <w:p>
      <w:pPr>
        <w:pStyle w:val="Heading3"/>
      </w:pPr>
      <w:r>
        <w:t xml:space="preserve">Annexe 3 : Répertoire des Sources Iconographiques et Archivistiques</w:t>
      </w:r>
    </w:p>
    <w:bookmarkStart w:id="140" w:name="X0fb9357e7c51b3b4967be70a668d469cdfed3bc"/>
    <w:p>
      <w:pPr>
        <w:pStyle w:val="Heading4"/>
      </w:pPr>
      <w:r>
        <w:t xml:space="preserve">A. Fac-similés de Traités et Correspondances Diplomatiques</w:t>
      </w:r>
    </w:p>
    <w:tbl>
      <w:tblPr>
        <w:tblStyle w:val="Table"/>
        <w:tblW w:type="pct" w:w="5000"/>
        <w:tblLook w:firstRow="1" w:lastRow="0" w:firstColumn="0" w:lastColumn="0" w:noHBand="0" w:noVBand="0" w:val="0020"/>
        <w:jc w:val="start"/>
      </w:tblPr>
      <w:tblGrid>
        <w:gridCol w:w="2640"/>
        <w:gridCol w:w="1584"/>
        <w:gridCol w:w="3696"/>
      </w:tblGrid>
      <w:tr>
        <w:trPr>
          <w:tblHeader w:val="true"/>
        </w:trPr>
        <w:tc>
          <w:tcPr/>
          <w:p>
            <w:pPr>
              <w:pStyle w:val="Compact"/>
              <w:jc w:val="left"/>
            </w:pPr>
            <w:r>
              <w:t xml:space="preserve">Document</w:t>
            </w:r>
          </w:p>
        </w:tc>
        <w:tc>
          <w:tcPr/>
          <w:p>
            <w:pPr>
              <w:pStyle w:val="Compact"/>
              <w:jc w:val="left"/>
            </w:pPr>
            <w:r>
              <w:t xml:space="preserve">Date</w:t>
            </w:r>
          </w:p>
        </w:tc>
        <w:tc>
          <w:tcPr/>
          <w:p>
            <w:pPr>
              <w:pStyle w:val="Compact"/>
              <w:jc w:val="left"/>
            </w:pPr>
            <w:r>
              <w:t xml:space="preserve">Localisation</w:t>
            </w:r>
          </w:p>
        </w:tc>
      </w:tr>
      <w:tr>
        <w:tc>
          <w:tcPr/>
          <w:p>
            <w:pPr>
              <w:pStyle w:val="Compact"/>
              <w:jc w:val="left"/>
            </w:pPr>
            <w:r>
              <w:t xml:space="preserve">Traité avec le Danemark</w:t>
            </w:r>
          </w:p>
        </w:tc>
        <w:tc>
          <w:tcPr/>
          <w:p>
            <w:pPr>
              <w:pStyle w:val="Compact"/>
              <w:jc w:val="left"/>
            </w:pPr>
            <w:r>
              <w:t xml:space="preserve">1753</w:t>
            </w:r>
          </w:p>
        </w:tc>
        <w:tc>
          <w:tcPr/>
          <w:p>
            <w:pPr>
              <w:pStyle w:val="Compact"/>
              <w:jc w:val="left"/>
            </w:pPr>
            <w:r>
              <w:t xml:space="preserve">BRIGNON et al.,</w:t>
            </w:r>
            <w:r>
              <w:t xml:space="preserve"> </w:t>
            </w:r>
            <w:r>
              <w:rPr>
                <w:iCs/>
                <w:i/>
              </w:rPr>
              <w:t xml:space="preserve">Histoire du Maroc</w:t>
            </w:r>
            <w:r>
              <w:t xml:space="preserve">, planches</w:t>
            </w:r>
          </w:p>
        </w:tc>
      </w:tr>
      <w:tr>
        <w:tc>
          <w:tcPr/>
          <w:p>
            <w:pPr>
              <w:pStyle w:val="Compact"/>
              <w:jc w:val="left"/>
            </w:pPr>
            <w:r>
              <w:t xml:space="preserve">Traité maroco-autrichien (2 pages)</w:t>
            </w:r>
          </w:p>
        </w:tc>
        <w:tc>
          <w:tcPr/>
          <w:p>
            <w:pPr>
              <w:pStyle w:val="Compact"/>
              <w:jc w:val="left"/>
            </w:pPr>
            <w:r>
              <w:t xml:space="preserve">1783</w:t>
            </w:r>
          </w:p>
        </w:tc>
        <w:tc>
          <w:tcPr/>
          <w:p>
            <w:pPr>
              <w:pStyle w:val="Compact"/>
              <w:jc w:val="left"/>
            </w:pPr>
            <w:r>
              <w:t xml:space="preserve">TAZI,</w:t>
            </w:r>
            <w:r>
              <w:t xml:space="preserve"> </w:t>
            </w:r>
            <w:r>
              <w:rPr>
                <w:iCs/>
                <w:i/>
              </w:rPr>
              <w:t xml:space="preserve">Histoire diplomatique</w:t>
            </w:r>
            <w:r>
              <w:t xml:space="preserve">, T.9</w:t>
            </w:r>
          </w:p>
        </w:tc>
      </w:tr>
      <w:tr>
        <w:tc>
          <w:tcPr/>
          <w:p>
            <w:pPr>
              <w:pStyle w:val="Compact"/>
              <w:jc w:val="left"/>
            </w:pPr>
            <w:r>
              <w:t xml:space="preserve">Traité avec les États-Unis + lettre à Washington</w:t>
            </w:r>
          </w:p>
        </w:tc>
        <w:tc>
          <w:tcPr/>
          <w:p>
            <w:pPr>
              <w:pStyle w:val="Compact"/>
              <w:jc w:val="left"/>
            </w:pPr>
            <w:r>
              <w:t xml:space="preserve">1786</w:t>
            </w:r>
          </w:p>
        </w:tc>
        <w:tc>
          <w:tcPr/>
          <w:p>
            <w:pPr>
              <w:pStyle w:val="Compact"/>
              <w:jc w:val="left"/>
            </w:pPr>
            <w:r>
              <w:t xml:space="preserve">TAZI, T.9</w:t>
            </w:r>
          </w:p>
        </w:tc>
      </w:tr>
      <w:tr>
        <w:tc>
          <w:tcPr/>
          <w:p>
            <w:pPr>
              <w:pStyle w:val="Compact"/>
              <w:jc w:val="left"/>
            </w:pPr>
            <w:r>
              <w:t xml:space="preserve">Traité bilingue catalan-arabe (parchemin gazelle)</w:t>
            </w:r>
          </w:p>
        </w:tc>
        <w:tc>
          <w:tcPr/>
          <w:p>
            <w:pPr>
              <w:pStyle w:val="Compact"/>
              <w:jc w:val="left"/>
            </w:pPr>
            <w:r>
              <w:t xml:space="preserve">1339</w:t>
            </w:r>
          </w:p>
        </w:tc>
        <w:tc>
          <w:tcPr/>
          <w:p>
            <w:pPr>
              <w:pStyle w:val="Compact"/>
              <w:jc w:val="left"/>
            </w:pPr>
            <w:r>
              <w:t xml:space="preserve">TAZI, T.7</w:t>
            </w:r>
          </w:p>
        </w:tc>
      </w:tr>
      <w:tr>
        <w:tc>
          <w:tcPr/>
          <w:p>
            <w:pPr>
              <w:pStyle w:val="Compact"/>
              <w:jc w:val="left"/>
            </w:pPr>
            <w:r>
              <w:t xml:space="preserve">Lettre d’Abou Youssef à Philippe III de France</w:t>
            </w:r>
          </w:p>
        </w:tc>
        <w:tc>
          <w:tcPr/>
          <w:p>
            <w:pPr>
              <w:pStyle w:val="Compact"/>
              <w:jc w:val="left"/>
            </w:pPr>
            <w:r>
              <w:t xml:space="preserve">1282</w:t>
            </w:r>
          </w:p>
        </w:tc>
        <w:tc>
          <w:tcPr/>
          <w:p>
            <w:pPr>
              <w:pStyle w:val="Compact"/>
              <w:jc w:val="left"/>
            </w:pPr>
            <w:r>
              <w:t xml:space="preserve">TAZI, T.7</w:t>
            </w:r>
          </w:p>
        </w:tc>
      </w:tr>
      <w:tr>
        <w:tc>
          <w:tcPr/>
          <w:p>
            <w:pPr>
              <w:pStyle w:val="Compact"/>
              <w:jc w:val="left"/>
            </w:pPr>
            <w:r>
              <w:t xml:space="preserve">Lettres de Moulay Ismaïl à Louis XIV</w:t>
            </w:r>
          </w:p>
        </w:tc>
        <w:tc>
          <w:tcPr/>
          <w:p>
            <w:pPr>
              <w:pStyle w:val="Compact"/>
              <w:jc w:val="left"/>
            </w:pPr>
            <w:r>
              <w:t xml:space="preserve">1684, 1691, 1699</w:t>
            </w:r>
          </w:p>
        </w:tc>
        <w:tc>
          <w:tcPr/>
          <w:p>
            <w:pPr>
              <w:pStyle w:val="Compact"/>
              <w:jc w:val="left"/>
            </w:pPr>
            <w:r>
              <w:t xml:space="preserve">TAZI, T.9</w:t>
            </w:r>
          </w:p>
        </w:tc>
      </w:tr>
      <w:tr>
        <w:tc>
          <w:tcPr/>
          <w:p>
            <w:pPr>
              <w:pStyle w:val="Compact"/>
              <w:jc w:val="left"/>
            </w:pPr>
            <w:r>
              <w:t xml:space="preserve">Lettre de Mohammed III à Louis XV/XVI</w:t>
            </w:r>
          </w:p>
        </w:tc>
        <w:tc>
          <w:tcPr/>
          <w:p>
            <w:pPr>
              <w:pStyle w:val="Compact"/>
              <w:jc w:val="left"/>
            </w:pPr>
            <w:r>
              <w:t xml:space="preserve">XVIIIe s.</w:t>
            </w:r>
          </w:p>
        </w:tc>
        <w:tc>
          <w:tcPr/>
          <w:p>
            <w:pPr>
              <w:pStyle w:val="Compact"/>
              <w:jc w:val="left"/>
            </w:pPr>
            <w:r>
              <w:t xml:space="preserve">TAZI, T.9</w:t>
            </w:r>
          </w:p>
        </w:tc>
      </w:tr>
      <w:tr>
        <w:tc>
          <w:tcPr/>
          <w:p>
            <w:pPr>
              <w:pStyle w:val="Compact"/>
              <w:jc w:val="left"/>
            </w:pPr>
            <w:r>
              <w:t xml:space="preserve">Lettre de Moulay Slimane à Napoléon Ier</w:t>
            </w:r>
          </w:p>
        </w:tc>
        <w:tc>
          <w:tcPr/>
          <w:p>
            <w:pPr>
              <w:pStyle w:val="Compact"/>
              <w:jc w:val="left"/>
            </w:pPr>
            <w:r>
              <w:t xml:space="preserve">XIXe s.</w:t>
            </w:r>
          </w:p>
        </w:tc>
        <w:tc>
          <w:tcPr/>
          <w:p>
            <w:pPr>
              <w:pStyle w:val="Compact"/>
              <w:jc w:val="left"/>
            </w:pPr>
            <w:r>
              <w:t xml:space="preserve">TAZI, T.9</w:t>
            </w:r>
          </w:p>
        </w:tc>
      </w:tr>
      <w:tr>
        <w:tc>
          <w:tcPr/>
          <w:p>
            <w:pPr>
              <w:pStyle w:val="Compact"/>
              <w:jc w:val="left"/>
            </w:pPr>
            <w:r>
              <w:t xml:space="preserve">50 lettres officielles du Makhzen</w:t>
            </w:r>
          </w:p>
        </w:tc>
        <w:tc>
          <w:tcPr/>
          <w:p>
            <w:pPr>
              <w:pStyle w:val="Compact"/>
              <w:jc w:val="left"/>
            </w:pPr>
            <w:r>
              <w:t xml:space="preserve">Diverses</w:t>
            </w:r>
          </w:p>
        </w:tc>
        <w:tc>
          <w:tcPr/>
          <w:p>
            <w:pPr>
              <w:pStyle w:val="Compact"/>
              <w:jc w:val="left"/>
            </w:pPr>
            <w:r>
              <w:t xml:space="preserve">FUMEY,</w:t>
            </w:r>
            <w:r>
              <w:t xml:space="preserve"> </w:t>
            </w:r>
            <w:r>
              <w:rPr>
                <w:iCs/>
                <w:i/>
              </w:rPr>
              <w:t xml:space="preserve">Choix de correspondances marocaines</w:t>
            </w:r>
            <w:r>
              <w:t xml:space="preserve"> </w:t>
            </w:r>
            <w:r>
              <w:t xml:space="preserve">(</w:t>
            </w:r>
            <w:r>
              <w:rPr>
                <w:iCs/>
                <w:i/>
              </w:rPr>
              <w:t xml:space="preserve">Archives Marocaines</w:t>
            </w:r>
            <w:r>
              <w:t xml:space="preserve">, Vol. 9)</w:t>
            </w:r>
          </w:p>
        </w:tc>
      </w:tr>
      <w:tr>
        <w:tc>
          <w:tcPr/>
          <w:p>
            <w:pPr>
              <w:pStyle w:val="Compact"/>
              <w:jc w:val="left"/>
            </w:pPr>
            <w:r>
              <w:t xml:space="preserve">Firman de l’emprunt 1904 (avec cachet)</w:t>
            </w:r>
          </w:p>
        </w:tc>
        <w:tc>
          <w:tcPr/>
          <w:p>
            <w:pPr>
              <w:pStyle w:val="Compact"/>
              <w:jc w:val="left"/>
            </w:pPr>
            <w:r>
              <w:t xml:space="preserve">1904</w:t>
            </w:r>
          </w:p>
        </w:tc>
        <w:tc>
          <w:tcPr/>
          <w:p>
            <w:pPr>
              <w:pStyle w:val="Compact"/>
              <w:jc w:val="left"/>
            </w:pPr>
            <w:r>
              <w:rPr>
                <w:iCs/>
                <w:i/>
              </w:rPr>
              <w:t xml:space="preserve">Documents Diplomatiques 1901-1905</w:t>
            </w:r>
          </w:p>
        </w:tc>
      </w:tr>
    </w:tbl>
    <w:bookmarkEnd w:id="140"/>
    <w:bookmarkStart w:id="141" w:name="b.-cartes-historiques"/>
    <w:p>
      <w:pPr>
        <w:pStyle w:val="Heading4"/>
      </w:pPr>
      <w:r>
        <w:t xml:space="preserve">B. Cartes Historiques</w:t>
      </w:r>
    </w:p>
    <w:tbl>
      <w:tblPr>
        <w:tblStyle w:val="Table"/>
        <w:tblW w:type="pct" w:w="5000"/>
        <w:tblLook w:firstRow="1" w:lastRow="0" w:firstColumn="0" w:lastColumn="0" w:noHBand="0" w:noVBand="0" w:val="0020"/>
        <w:jc w:val="start"/>
      </w:tblPr>
      <w:tblGrid>
        <w:gridCol w:w="1630"/>
        <w:gridCol w:w="3028"/>
        <w:gridCol w:w="3261"/>
      </w:tblGrid>
      <w:tr>
        <w:trPr>
          <w:tblHeader w:val="true"/>
        </w:trPr>
        <w:tc>
          <w:tcPr/>
          <w:p>
            <w:pPr>
              <w:pStyle w:val="Compact"/>
              <w:jc w:val="left"/>
            </w:pPr>
            <w:r>
              <w:t xml:space="preserve">Carte</w:t>
            </w:r>
          </w:p>
        </w:tc>
        <w:tc>
          <w:tcPr/>
          <w:p>
            <w:pPr>
              <w:pStyle w:val="Compact"/>
              <w:jc w:val="left"/>
            </w:pPr>
            <w:r>
              <w:t xml:space="preserve">Auteur/Date</w:t>
            </w:r>
          </w:p>
        </w:tc>
        <w:tc>
          <w:tcPr/>
          <w:p>
            <w:pPr>
              <w:pStyle w:val="Compact"/>
              <w:jc w:val="left"/>
            </w:pPr>
            <w:r>
              <w:t xml:space="preserve">Localisation</w:t>
            </w:r>
          </w:p>
        </w:tc>
      </w:tr>
      <w:tr>
        <w:tc>
          <w:tcPr/>
          <w:p>
            <w:pPr>
              <w:pStyle w:val="Compact"/>
              <w:jc w:val="left"/>
            </w:pPr>
            <w:r>
              <w:t xml:space="preserve">« Carte générale des Estats du roy de Fez »</w:t>
            </w:r>
          </w:p>
        </w:tc>
        <w:tc>
          <w:tcPr/>
          <w:p>
            <w:pPr>
              <w:pStyle w:val="Compact"/>
              <w:jc w:val="left"/>
            </w:pPr>
            <w:r>
              <w:t xml:space="preserve">Mouette, XVIIe s.</w:t>
            </w:r>
          </w:p>
        </w:tc>
        <w:tc>
          <w:tcPr/>
          <w:p>
            <w:pPr>
              <w:pStyle w:val="Compact"/>
              <w:jc w:val="left"/>
            </w:pPr>
            <w:r>
              <w:t xml:space="preserve">BRIGNON,</w:t>
            </w:r>
            <w:r>
              <w:t xml:space="preserve"> </w:t>
            </w:r>
            <w:r>
              <w:rPr>
                <w:iCs/>
                <w:i/>
              </w:rPr>
              <w:t xml:space="preserve">Histoire du Maroc</w:t>
            </w:r>
          </w:p>
        </w:tc>
      </w:tr>
      <w:tr>
        <w:tc>
          <w:tcPr/>
          <w:p>
            <w:pPr>
              <w:pStyle w:val="Compact"/>
              <w:jc w:val="left"/>
            </w:pPr>
            <w:r>
              <w:t xml:space="preserve">Carte du Maroc (documents portugais)</w:t>
            </w:r>
          </w:p>
        </w:tc>
        <w:tc>
          <w:tcPr/>
          <w:p>
            <w:pPr>
              <w:pStyle w:val="Compact"/>
              <w:jc w:val="left"/>
            </w:pPr>
            <w:r>
              <w:t xml:space="preserve">Torre do Tombo</w:t>
            </w:r>
          </w:p>
        </w:tc>
        <w:tc>
          <w:tcPr/>
          <w:p>
            <w:pPr>
              <w:pStyle w:val="Compact"/>
              <w:jc w:val="left"/>
            </w:pPr>
            <w:r>
              <w:t xml:space="preserve">TAZI, T.7</w:t>
            </w:r>
          </w:p>
        </w:tc>
      </w:tr>
      <w:tr>
        <w:tc>
          <w:tcPr/>
          <w:p>
            <w:pPr>
              <w:pStyle w:val="Compact"/>
              <w:jc w:val="left"/>
            </w:pPr>
            <w:r>
              <w:t xml:space="preserve">Carte de la Maurétanie Tingitane</w:t>
            </w:r>
          </w:p>
        </w:tc>
        <w:tc>
          <w:tcPr/>
          <w:p>
            <w:pPr>
              <w:pStyle w:val="Compact"/>
              <w:jc w:val="left"/>
            </w:pPr>
            <w:r>
              <w:t xml:space="preserve">—</w:t>
            </w:r>
          </w:p>
        </w:tc>
        <w:tc>
          <w:tcPr/>
          <w:p>
            <w:pPr>
              <w:pStyle w:val="Compact"/>
              <w:jc w:val="left"/>
            </w:pPr>
            <w:r>
              <w:rPr>
                <w:iCs/>
                <w:i/>
              </w:rPr>
              <w:t xml:space="preserve">Archives Marocaines</w:t>
            </w:r>
            <w:r>
              <w:t xml:space="preserve">, T.1</w:t>
            </w:r>
          </w:p>
        </w:tc>
      </w:tr>
      <w:tr>
        <w:tc>
          <w:tcPr/>
          <w:p>
            <w:pPr>
              <w:pStyle w:val="Compact"/>
              <w:jc w:val="left"/>
            </w:pPr>
            <w:r>
              <w:t xml:space="preserve">Plan de la Bahia de Tanger</w:t>
            </w:r>
          </w:p>
        </w:tc>
        <w:tc>
          <w:tcPr/>
          <w:p>
            <w:pPr>
              <w:pStyle w:val="Compact"/>
              <w:jc w:val="left"/>
            </w:pPr>
            <w:r>
              <w:t xml:space="preserve">Ms. espagnol, 1700</w:t>
            </w:r>
          </w:p>
        </w:tc>
        <w:tc>
          <w:tcPr/>
          <w:p>
            <w:pPr>
              <w:pStyle w:val="Compact"/>
              <w:jc w:val="left"/>
            </w:pPr>
            <w:r>
              <w:t xml:space="preserve">BRIGNON,</w:t>
            </w:r>
            <w:r>
              <w:t xml:space="preserve"> </w:t>
            </w:r>
            <w:r>
              <w:rPr>
                <w:iCs/>
                <w:i/>
              </w:rPr>
              <w:t xml:space="preserve">Histoire du Maroc</w:t>
            </w:r>
          </w:p>
        </w:tc>
      </w:tr>
      <w:tr>
        <w:tc>
          <w:tcPr/>
          <w:p>
            <w:pPr>
              <w:pStyle w:val="Compact"/>
              <w:jc w:val="left"/>
            </w:pPr>
            <w:r>
              <w:t xml:space="preserve">Plan de la Qaçba de Tanger</w:t>
            </w:r>
          </w:p>
        </w:tc>
        <w:tc>
          <w:tcPr/>
          <w:p>
            <w:pPr>
              <w:pStyle w:val="Compact"/>
              <w:jc w:val="left"/>
            </w:pPr>
            <w:r>
              <w:t xml:space="preserve">G. Salmon</w:t>
            </w:r>
          </w:p>
        </w:tc>
        <w:tc>
          <w:tcPr/>
          <w:p>
            <w:pPr>
              <w:pStyle w:val="Compact"/>
              <w:jc w:val="left"/>
            </w:pPr>
            <w:r>
              <w:rPr>
                <w:iCs/>
                <w:i/>
              </w:rPr>
              <w:t xml:space="preserve">Archives Marocaines</w:t>
            </w:r>
            <w:r>
              <w:t xml:space="preserve">, T.1</w:t>
            </w:r>
          </w:p>
        </w:tc>
      </w:tr>
      <w:tr>
        <w:tc>
          <w:tcPr/>
          <w:p>
            <w:pPr>
              <w:pStyle w:val="Compact"/>
              <w:jc w:val="left"/>
            </w:pPr>
            <w:r>
              <w:t xml:space="preserve">Croquis d’El-Qçar El-Kebir</w:t>
            </w:r>
          </w:p>
        </w:tc>
        <w:tc>
          <w:tcPr/>
          <w:p>
            <w:pPr>
              <w:pStyle w:val="Compact"/>
              <w:jc w:val="left"/>
            </w:pPr>
            <w:r>
              <w:t xml:space="preserve">Cpt. Larras, 1902</w:t>
            </w:r>
          </w:p>
        </w:tc>
        <w:tc>
          <w:tcPr/>
          <w:p>
            <w:pPr>
              <w:pStyle w:val="Compact"/>
              <w:jc w:val="left"/>
            </w:pPr>
            <w:r>
              <w:rPr>
                <w:iCs/>
                <w:i/>
              </w:rPr>
              <w:t xml:space="preserve">Archives Marocaines</w:t>
            </w:r>
            <w:r>
              <w:t xml:space="preserve">, T.2</w:t>
            </w:r>
          </w:p>
        </w:tc>
      </w:tr>
      <w:tr>
        <w:tc>
          <w:tcPr/>
          <w:p>
            <w:pPr>
              <w:pStyle w:val="Compact"/>
              <w:jc w:val="left"/>
            </w:pPr>
            <w:r>
              <w:t xml:space="preserve">Plans d’Essaouira</w:t>
            </w:r>
          </w:p>
        </w:tc>
        <w:tc>
          <w:tcPr/>
          <w:p>
            <w:pPr>
              <w:pStyle w:val="Compact"/>
              <w:jc w:val="left"/>
            </w:pPr>
            <w:r>
              <w:t xml:space="preserve">Ing. Cornut, 1765</w:t>
            </w:r>
          </w:p>
        </w:tc>
        <w:tc>
          <w:tcPr/>
          <w:p>
            <w:pPr>
              <w:pStyle w:val="Compact"/>
              <w:jc w:val="left"/>
            </w:pPr>
            <w:r>
              <w:t xml:space="preserve">Archives Royales (Rabat)</w:t>
            </w:r>
          </w:p>
        </w:tc>
      </w:tr>
      <w:tr>
        <w:tc>
          <w:tcPr/>
          <w:p>
            <w:pPr>
              <w:pStyle w:val="Compact"/>
              <w:jc w:val="left"/>
            </w:pPr>
            <w:r>
              <w:t xml:space="preserve">Carte du Fahç (environs de Tanger)</w:t>
            </w:r>
          </w:p>
        </w:tc>
        <w:tc>
          <w:tcPr/>
          <w:p>
            <w:pPr>
              <w:pStyle w:val="Compact"/>
              <w:jc w:val="left"/>
            </w:pPr>
            <w:r>
              <w:t xml:space="preserve">Cpt. Larras</w:t>
            </w:r>
          </w:p>
        </w:tc>
        <w:tc>
          <w:tcPr/>
          <w:p>
            <w:pPr>
              <w:pStyle w:val="Compact"/>
              <w:jc w:val="left"/>
            </w:pPr>
            <w:r>
              <w:rPr>
                <w:iCs/>
                <w:i/>
              </w:rPr>
              <w:t xml:space="preserve">Archives Marocaines</w:t>
            </w:r>
            <w:r>
              <w:t xml:space="preserve">, T.1</w:t>
            </w:r>
          </w:p>
        </w:tc>
      </w:tr>
    </w:tbl>
    <w:bookmarkEnd w:id="141"/>
    <w:bookmarkStart w:id="142" w:name="c.-portraits-de-sultans-et-diplomates"/>
    <w:p>
      <w:pPr>
        <w:pStyle w:val="Heading4"/>
      </w:pPr>
      <w:r>
        <w:t xml:space="preserve">C. Portraits de Sultans et Diplomates</w:t>
      </w:r>
    </w:p>
    <w:tbl>
      <w:tblPr>
        <w:tblStyle w:val="Table"/>
        <w:tblW w:type="pct" w:w="5000"/>
        <w:tblLook w:firstRow="1" w:lastRow="0" w:firstColumn="0" w:lastColumn="0" w:noHBand="0" w:noVBand="0" w:val="0020"/>
        <w:jc w:val="start"/>
      </w:tblPr>
      <w:tblGrid>
        <w:gridCol w:w="2970"/>
        <w:gridCol w:w="1485"/>
        <w:gridCol w:w="3465"/>
      </w:tblGrid>
      <w:tr>
        <w:trPr>
          <w:tblHeader w:val="true"/>
        </w:trPr>
        <w:tc>
          <w:tcPr/>
          <w:p>
            <w:pPr>
              <w:pStyle w:val="Compact"/>
              <w:jc w:val="left"/>
            </w:pPr>
            <w:r>
              <w:t xml:space="preserve">Personnage</w:t>
            </w:r>
          </w:p>
        </w:tc>
        <w:tc>
          <w:tcPr/>
          <w:p>
            <w:pPr>
              <w:pStyle w:val="Compact"/>
              <w:jc w:val="left"/>
            </w:pPr>
            <w:r>
              <w:t xml:space="preserve">Type</w:t>
            </w:r>
          </w:p>
        </w:tc>
        <w:tc>
          <w:tcPr/>
          <w:p>
            <w:pPr>
              <w:pStyle w:val="Compact"/>
              <w:jc w:val="left"/>
            </w:pPr>
            <w:r>
              <w:t xml:space="preserve">Localisation</w:t>
            </w:r>
          </w:p>
        </w:tc>
      </w:tr>
      <w:tr>
        <w:tc>
          <w:tcPr/>
          <w:p>
            <w:pPr>
              <w:pStyle w:val="Compact"/>
              <w:jc w:val="left"/>
            </w:pPr>
            <w:r>
              <w:rPr>
                <w:bCs/>
                <w:b/>
              </w:rPr>
              <w:t xml:space="preserve">Moulay Ismaïl</w:t>
            </w:r>
          </w:p>
        </w:tc>
        <w:tc>
          <w:tcPr/>
          <w:p>
            <w:pPr>
              <w:pStyle w:val="Compact"/>
              <w:jc w:val="left"/>
            </w:pPr>
            <w:r>
              <w:t xml:space="preserve">Gravure (Mouette)</w:t>
            </w:r>
          </w:p>
        </w:tc>
        <w:tc>
          <w:tcPr/>
          <w:p>
            <w:pPr>
              <w:pStyle w:val="Compact"/>
              <w:jc w:val="left"/>
            </w:pPr>
            <w:r>
              <w:t xml:space="preserve">BRIGNON,</w:t>
            </w:r>
            <w:r>
              <w:t xml:space="preserve"> </w:t>
            </w:r>
            <w:r>
              <w:rPr>
                <w:iCs/>
                <w:i/>
              </w:rPr>
              <w:t xml:space="preserve">Histoire du Maroc</w:t>
            </w:r>
          </w:p>
        </w:tc>
      </w:tr>
      <w:tr>
        <w:tc>
          <w:tcPr/>
          <w:p>
            <w:pPr>
              <w:pStyle w:val="Compact"/>
              <w:jc w:val="left"/>
            </w:pPr>
            <w:r>
              <w:rPr>
                <w:bCs/>
                <w:b/>
              </w:rPr>
              <w:t xml:space="preserve">Moulay Ismaïl</w:t>
            </w:r>
          </w:p>
        </w:tc>
        <w:tc>
          <w:tcPr/>
          <w:p>
            <w:pPr>
              <w:pStyle w:val="Compact"/>
              <w:jc w:val="left"/>
            </w:pPr>
            <w:r>
              <w:t xml:space="preserve">Portrait « imaginé » par peintres européens</w:t>
            </w:r>
          </w:p>
        </w:tc>
        <w:tc>
          <w:tcPr/>
          <w:p>
            <w:pPr>
              <w:pStyle w:val="Compact"/>
              <w:jc w:val="left"/>
            </w:pPr>
            <w:r>
              <w:t xml:space="preserve">TAZI, T.9</w:t>
            </w:r>
          </w:p>
        </w:tc>
      </w:tr>
      <w:tr>
        <w:tc>
          <w:tcPr/>
          <w:p>
            <w:pPr>
              <w:pStyle w:val="Compact"/>
              <w:jc w:val="left"/>
            </w:pPr>
            <w:r>
              <w:rPr>
                <w:bCs/>
                <w:b/>
              </w:rPr>
              <w:t xml:space="preserve">Moulay Hassan Ier</w:t>
            </w:r>
          </w:p>
        </w:tc>
        <w:tc>
          <w:tcPr/>
          <w:p>
            <w:pPr>
              <w:pStyle w:val="Compact"/>
              <w:jc w:val="left"/>
            </w:pPr>
            <w:r>
              <w:t xml:space="preserve">Dessin</w:t>
            </w:r>
          </w:p>
        </w:tc>
        <w:tc>
          <w:tcPr/>
          <w:p>
            <w:pPr>
              <w:pStyle w:val="Compact"/>
              <w:jc w:val="left"/>
            </w:pPr>
            <w:r>
              <w:t xml:space="preserve">TAZI, T.9</w:t>
            </w:r>
          </w:p>
        </w:tc>
      </w:tr>
      <w:tr>
        <w:tc>
          <w:tcPr/>
          <w:p>
            <w:pPr>
              <w:pStyle w:val="Compact"/>
              <w:jc w:val="left"/>
            </w:pPr>
            <w:r>
              <w:rPr>
                <w:bCs/>
                <w:b/>
              </w:rPr>
              <w:t xml:space="preserve">Mohammed ben Abdelmalek</w:t>
            </w:r>
            <w:r>
              <w:t xml:space="preserve"> </w:t>
            </w:r>
            <w:r>
              <w:t xml:space="preserve">(amb. Vienne 1783)</w:t>
            </w:r>
          </w:p>
        </w:tc>
        <w:tc>
          <w:tcPr/>
          <w:p>
            <w:pPr>
              <w:pStyle w:val="Compact"/>
              <w:jc w:val="left"/>
            </w:pPr>
            <w:r>
              <w:t xml:space="preserve">Portrait par Loschenkohl</w:t>
            </w:r>
          </w:p>
        </w:tc>
        <w:tc>
          <w:tcPr/>
          <w:p>
            <w:pPr>
              <w:pStyle w:val="Compact"/>
              <w:jc w:val="left"/>
            </w:pPr>
            <w:r>
              <w:t xml:space="preserve">TAZI, T.9</w:t>
            </w:r>
          </w:p>
        </w:tc>
      </w:tr>
      <w:tr>
        <w:tc>
          <w:tcPr/>
          <w:p>
            <w:pPr>
              <w:pStyle w:val="Compact"/>
              <w:jc w:val="left"/>
            </w:pPr>
            <w:r>
              <w:rPr>
                <w:bCs/>
                <w:b/>
              </w:rPr>
              <w:t xml:space="preserve">Abdallah ben Aïcha</w:t>
            </w:r>
            <w:r>
              <w:t xml:space="preserve"> </w:t>
            </w:r>
            <w:r>
              <w:t xml:space="preserve">(amb. France 1699)</w:t>
            </w:r>
          </w:p>
        </w:tc>
        <w:tc>
          <w:tcPr/>
          <w:p>
            <w:pPr>
              <w:pStyle w:val="Compact"/>
              <w:jc w:val="left"/>
            </w:pPr>
            <w:r>
              <w:t xml:space="preserve">Dessin + signature</w:t>
            </w:r>
          </w:p>
        </w:tc>
        <w:tc>
          <w:tcPr/>
          <w:p>
            <w:pPr>
              <w:pStyle w:val="Compact"/>
              <w:jc w:val="left"/>
            </w:pPr>
            <w:r>
              <w:t xml:space="preserve">TAZI, T.9</w:t>
            </w:r>
          </w:p>
        </w:tc>
      </w:tr>
      <w:tr>
        <w:tc>
          <w:tcPr/>
          <w:p>
            <w:pPr>
              <w:pStyle w:val="Compact"/>
              <w:jc w:val="left"/>
            </w:pPr>
            <w:r>
              <w:rPr>
                <w:bCs/>
                <w:b/>
              </w:rPr>
              <w:t xml:space="preserve">Mohammed Temim</w:t>
            </w:r>
            <w:r>
              <w:t xml:space="preserve"> </w:t>
            </w:r>
            <w:r>
              <w:t xml:space="preserve">(amb. France 1682)</w:t>
            </w:r>
          </w:p>
        </w:tc>
        <w:tc>
          <w:tcPr/>
          <w:p>
            <w:pPr>
              <w:pStyle w:val="Compact"/>
              <w:jc w:val="left"/>
            </w:pPr>
            <w:r>
              <w:t xml:space="preserve">Portrait</w:t>
            </w:r>
          </w:p>
        </w:tc>
        <w:tc>
          <w:tcPr/>
          <w:p>
            <w:pPr>
              <w:pStyle w:val="Compact"/>
              <w:jc w:val="left"/>
            </w:pPr>
            <w:r>
              <w:t xml:space="preserve">TAZI, T.9</w:t>
            </w:r>
          </w:p>
        </w:tc>
      </w:tr>
      <w:tr>
        <w:tc>
          <w:tcPr/>
          <w:p>
            <w:pPr>
              <w:pStyle w:val="Compact"/>
              <w:jc w:val="left"/>
            </w:pPr>
            <w:r>
              <w:rPr>
                <w:bCs/>
                <w:b/>
              </w:rPr>
              <w:t xml:space="preserve">Mohammed ben Haddou</w:t>
            </w:r>
            <w:r>
              <w:t xml:space="preserve"> </w:t>
            </w:r>
            <w:r>
              <w:t xml:space="preserve">(amb. G-B)</w:t>
            </w:r>
          </w:p>
        </w:tc>
        <w:tc>
          <w:tcPr/>
          <w:p>
            <w:pPr>
              <w:pStyle w:val="Compact"/>
              <w:jc w:val="left"/>
            </w:pPr>
            <w:r>
              <w:t xml:space="preserve">Peinture + signature</w:t>
            </w:r>
          </w:p>
        </w:tc>
        <w:tc>
          <w:tcPr/>
          <w:p>
            <w:pPr>
              <w:pStyle w:val="Compact"/>
              <w:jc w:val="left"/>
            </w:pPr>
            <w:r>
              <w:t xml:space="preserve">TAZI, T.9</w:t>
            </w:r>
          </w:p>
        </w:tc>
      </w:tr>
      <w:tr>
        <w:tc>
          <w:tcPr/>
          <w:p>
            <w:pPr>
              <w:pStyle w:val="Compact"/>
              <w:jc w:val="left"/>
            </w:pPr>
            <w:r>
              <w:rPr>
                <w:bCs/>
                <w:b/>
              </w:rPr>
              <w:t xml:space="preserve">Tahar Fennich</w:t>
            </w:r>
            <w:r>
              <w:t xml:space="preserve"> </w:t>
            </w:r>
            <w:r>
              <w:t xml:space="preserve">(amb. Paris)</w:t>
            </w:r>
          </w:p>
        </w:tc>
        <w:tc>
          <w:tcPr/>
          <w:p>
            <w:pPr>
              <w:pStyle w:val="Compact"/>
              <w:jc w:val="left"/>
            </w:pPr>
            <w:r>
              <w:t xml:space="preserve">Portrait</w:t>
            </w:r>
          </w:p>
        </w:tc>
        <w:tc>
          <w:tcPr/>
          <w:p>
            <w:pPr>
              <w:pStyle w:val="Compact"/>
              <w:jc w:val="left"/>
            </w:pPr>
            <w:r>
              <w:t xml:space="preserve">TAZI, T.9</w:t>
            </w:r>
          </w:p>
        </w:tc>
      </w:tr>
      <w:tr>
        <w:tc>
          <w:tcPr/>
          <w:p>
            <w:pPr>
              <w:pStyle w:val="Compact"/>
              <w:jc w:val="left"/>
            </w:pPr>
            <w:r>
              <w:rPr>
                <w:bCs/>
                <w:b/>
              </w:rPr>
              <w:t xml:space="preserve">Caïd Ash’ash, Ben Driss, Zebdi</w:t>
            </w:r>
            <w:r>
              <w:t xml:space="preserve"> </w:t>
            </w:r>
            <w:r>
              <w:t xml:space="preserve">(XIXe s.)</w:t>
            </w:r>
          </w:p>
        </w:tc>
        <w:tc>
          <w:tcPr/>
          <w:p>
            <w:pPr>
              <w:pStyle w:val="Compact"/>
              <w:jc w:val="left"/>
            </w:pPr>
            <w:r>
              <w:t xml:space="preserve">Dessins</w:t>
            </w:r>
          </w:p>
        </w:tc>
        <w:tc>
          <w:tcPr/>
          <w:p>
            <w:pPr>
              <w:pStyle w:val="Compact"/>
              <w:jc w:val="left"/>
            </w:pPr>
            <w:r>
              <w:t xml:space="preserve">TAZI, T.9</w:t>
            </w:r>
          </w:p>
        </w:tc>
      </w:tr>
    </w:tbl>
    <w:bookmarkEnd w:id="142"/>
    <w:bookmarkStart w:id="143" w:name="Xbde4eeeaef2dbd3e927801b1cef943b18a46f98"/>
    <w:p>
      <w:pPr>
        <w:pStyle w:val="Heading4"/>
      </w:pPr>
      <w:r>
        <w:t xml:space="preserve">D. Sceaux, Signatures et Documents Officiels</w:t>
      </w:r>
    </w:p>
    <w:tbl>
      <w:tblPr>
        <w:tblStyle w:val="Table"/>
        <w:tblW w:type="pct" w:w="5000"/>
        <w:tblLook w:firstRow="1" w:lastRow="0" w:firstColumn="0" w:lastColumn="0" w:noHBand="0" w:noVBand="0" w:val="0020"/>
        <w:jc w:val="start"/>
      </w:tblPr>
      <w:tblGrid>
        <w:gridCol w:w="2140"/>
        <w:gridCol w:w="2782"/>
        <w:gridCol w:w="2996"/>
      </w:tblGrid>
      <w:tr>
        <w:trPr>
          <w:tblHeader w:val="true"/>
        </w:trPr>
        <w:tc>
          <w:tcPr/>
          <w:p>
            <w:pPr>
              <w:pStyle w:val="Compact"/>
              <w:jc w:val="left"/>
            </w:pPr>
            <w:r>
              <w:t xml:space="preserve">Document</w:t>
            </w:r>
          </w:p>
        </w:tc>
        <w:tc>
          <w:tcPr/>
          <w:p>
            <w:pPr>
              <w:pStyle w:val="Compact"/>
              <w:jc w:val="left"/>
            </w:pPr>
            <w:r>
              <w:t xml:space="preserve">Description</w:t>
            </w:r>
          </w:p>
        </w:tc>
        <w:tc>
          <w:tcPr/>
          <w:p>
            <w:pPr>
              <w:pStyle w:val="Compact"/>
              <w:jc w:val="left"/>
            </w:pPr>
            <w:r>
              <w:t xml:space="preserve">Localisation</w:t>
            </w:r>
          </w:p>
        </w:tc>
      </w:tr>
      <w:tr>
        <w:tc>
          <w:tcPr/>
          <w:p>
            <w:pPr>
              <w:pStyle w:val="Compact"/>
              <w:jc w:val="left"/>
            </w:pPr>
            <w:r>
              <w:t xml:space="preserve">Sceau (Tabaa) de Mohammed III</w:t>
            </w:r>
          </w:p>
        </w:tc>
        <w:tc>
          <w:tcPr/>
          <w:p>
            <w:pPr>
              <w:pStyle w:val="Compact"/>
              <w:jc w:val="left"/>
            </w:pPr>
            <w:r>
              <w:t xml:space="preserve">Cachet royal</w:t>
            </w:r>
          </w:p>
        </w:tc>
        <w:tc>
          <w:tcPr/>
          <w:p>
            <w:pPr>
              <w:pStyle w:val="Compact"/>
              <w:jc w:val="left"/>
            </w:pPr>
            <w:r>
              <w:t xml:space="preserve">TAZI, T.6 et T.9</w:t>
            </w:r>
          </w:p>
        </w:tc>
      </w:tr>
      <w:tr>
        <w:tc>
          <w:tcPr/>
          <w:p>
            <w:pPr>
              <w:pStyle w:val="Compact"/>
              <w:jc w:val="left"/>
            </w:pPr>
            <w:r>
              <w:t xml:space="preserve">Cachet de Moulay Abdelaziz</w:t>
            </w:r>
          </w:p>
        </w:tc>
        <w:tc>
          <w:tcPr/>
          <w:p>
            <w:pPr>
              <w:pStyle w:val="Compact"/>
              <w:jc w:val="left"/>
            </w:pPr>
            <w:r>
              <w:t xml:space="preserve">Empreinte sur firman 1904</w:t>
            </w:r>
          </w:p>
        </w:tc>
        <w:tc>
          <w:tcPr/>
          <w:p>
            <w:pPr>
              <w:pStyle w:val="Compact"/>
              <w:jc w:val="left"/>
            </w:pPr>
            <w:r>
              <w:rPr>
                <w:iCs/>
                <w:i/>
              </w:rPr>
              <w:t xml:space="preserve">Documents Diplomatiques</w:t>
            </w:r>
          </w:p>
        </w:tc>
      </w:tr>
      <w:tr>
        <w:tc>
          <w:tcPr/>
          <w:p>
            <w:pPr>
              <w:pStyle w:val="Compact"/>
              <w:jc w:val="left"/>
            </w:pPr>
            <w:r>
              <w:t xml:space="preserve">Dahir de « Respect et Sauvegarde »</w:t>
            </w:r>
          </w:p>
        </w:tc>
        <w:tc>
          <w:tcPr/>
          <w:p>
            <w:pPr>
              <w:pStyle w:val="Compact"/>
              <w:jc w:val="left"/>
            </w:pPr>
            <w:r>
              <w:t xml:space="preserve">Avec sceau (rabbin de Meknès)</w:t>
            </w:r>
          </w:p>
        </w:tc>
        <w:tc>
          <w:tcPr/>
          <w:p>
            <w:pPr>
              <w:pStyle w:val="Compact"/>
              <w:jc w:val="left"/>
            </w:pPr>
            <w:r>
              <w:t xml:space="preserve">KENBIB,</w:t>
            </w:r>
            <w:r>
              <w:t xml:space="preserve"> </w:t>
            </w:r>
            <w:r>
              <w:rPr>
                <w:iCs/>
                <w:i/>
              </w:rPr>
              <w:t xml:space="preserve">Juifs et Musulmans</w:t>
            </w:r>
          </w:p>
        </w:tc>
      </w:tr>
      <w:tr>
        <w:tc>
          <w:tcPr/>
          <w:p>
            <w:pPr>
              <w:pStyle w:val="Compact"/>
              <w:jc w:val="left"/>
            </w:pPr>
            <w:r>
              <w:t xml:space="preserve">Code de chiffrage « الضابط » (Dabit)</w:t>
            </w:r>
          </w:p>
        </w:tc>
        <w:tc>
          <w:tcPr/>
          <w:p>
            <w:pPr>
              <w:pStyle w:val="Compact"/>
              <w:jc w:val="left"/>
            </w:pPr>
            <w:r>
              <w:t xml:space="preserve">Cryptographie diplomatique XXe s.</w:t>
            </w:r>
          </w:p>
        </w:tc>
        <w:tc>
          <w:tcPr/>
          <w:p>
            <w:pPr>
              <w:pStyle w:val="Compact"/>
              <w:jc w:val="left"/>
            </w:pPr>
            <w:r>
              <w:t xml:space="preserve">TAZI, T.6</w:t>
            </w:r>
          </w:p>
        </w:tc>
      </w:tr>
      <w:tr>
        <w:tc>
          <w:tcPr/>
          <w:p>
            <w:pPr>
              <w:pStyle w:val="Compact"/>
              <w:jc w:val="left"/>
            </w:pPr>
            <w:r>
              <w:t xml:space="preserve">Signatures des ambassadeurs</w:t>
            </w:r>
          </w:p>
        </w:tc>
        <w:tc>
          <w:tcPr/>
          <w:p>
            <w:pPr>
              <w:pStyle w:val="Compact"/>
              <w:jc w:val="left"/>
            </w:pPr>
            <w:r>
              <w:t xml:space="preserve">Ben Aïcha, Ben Haddou, Adil</w:t>
            </w:r>
          </w:p>
        </w:tc>
        <w:tc>
          <w:tcPr/>
          <w:p>
            <w:pPr>
              <w:pStyle w:val="Compact"/>
              <w:jc w:val="left"/>
            </w:pPr>
            <w:r>
              <w:t xml:space="preserve">TAZI, T.9</w:t>
            </w:r>
          </w:p>
        </w:tc>
      </w:tr>
    </w:tbl>
    <w:bookmarkEnd w:id="143"/>
    <w:bookmarkStart w:id="144" w:name="Xc8141397f6b2b5ddbca183c1e8dcc86adb76fb5"/>
    <w:p>
      <w:pPr>
        <w:pStyle w:val="Heading4"/>
      </w:pPr>
      <w:r>
        <w:t xml:space="preserve">E. Scènes Diplomatiques et Gravures d’Époque</w:t>
      </w:r>
    </w:p>
    <w:tbl>
      <w:tblPr>
        <w:tblStyle w:val="Table"/>
        <w:tblW w:type="pct" w:w="5000"/>
        <w:tblLook w:firstRow="1" w:lastRow="0" w:firstColumn="0" w:lastColumn="0" w:noHBand="0" w:noVBand="0" w:val="0020"/>
        <w:jc w:val="start"/>
      </w:tblPr>
      <w:tblGrid>
        <w:gridCol w:w="1630"/>
        <w:gridCol w:w="3028"/>
        <w:gridCol w:w="3261"/>
      </w:tblGrid>
      <w:tr>
        <w:trPr>
          <w:tblHeader w:val="true"/>
        </w:trPr>
        <w:tc>
          <w:tcPr/>
          <w:p>
            <w:pPr>
              <w:pStyle w:val="Compact"/>
              <w:jc w:val="left"/>
            </w:pPr>
            <w:r>
              <w:t xml:space="preserve">Scène</w:t>
            </w:r>
          </w:p>
        </w:tc>
        <w:tc>
          <w:tcPr/>
          <w:p>
            <w:pPr>
              <w:pStyle w:val="Compact"/>
              <w:jc w:val="left"/>
            </w:pPr>
            <w:r>
              <w:t xml:space="preserve">Description</w:t>
            </w:r>
          </w:p>
        </w:tc>
        <w:tc>
          <w:tcPr/>
          <w:p>
            <w:pPr>
              <w:pStyle w:val="Compact"/>
              <w:jc w:val="left"/>
            </w:pPr>
            <w:r>
              <w:t xml:space="preserve">Localisation</w:t>
            </w:r>
          </w:p>
        </w:tc>
      </w:tr>
      <w:tr>
        <w:tc>
          <w:tcPr/>
          <w:p>
            <w:pPr>
              <w:pStyle w:val="Compact"/>
              <w:jc w:val="left"/>
            </w:pPr>
            <w:r>
              <w:t xml:space="preserve">Audience de St Olon</w:t>
            </w:r>
          </w:p>
        </w:tc>
        <w:tc>
          <w:tcPr/>
          <w:p>
            <w:pPr>
              <w:pStyle w:val="Compact"/>
              <w:jc w:val="left"/>
            </w:pPr>
            <w:r>
              <w:t xml:space="preserve">« Audience donnée par l’Empereur de Maroc au Sr de St Olon » (1693)</w:t>
            </w:r>
          </w:p>
        </w:tc>
        <w:tc>
          <w:tcPr/>
          <w:p>
            <w:pPr>
              <w:pStyle w:val="Compact"/>
              <w:jc w:val="left"/>
            </w:pPr>
            <w:r>
              <w:t xml:space="preserve">BRIGNON + TAZI, T.9</w:t>
            </w:r>
          </w:p>
        </w:tc>
      </w:tr>
      <w:tr>
        <w:tc>
          <w:tcPr/>
          <w:p>
            <w:pPr>
              <w:pStyle w:val="Compact"/>
              <w:jc w:val="left"/>
            </w:pPr>
            <w:r>
              <w:t xml:space="preserve">Réception britannique à Meknès</w:t>
            </w:r>
          </w:p>
        </w:tc>
        <w:tc>
          <w:tcPr/>
          <w:p>
            <w:pPr>
              <w:pStyle w:val="Compact"/>
              <w:jc w:val="left"/>
            </w:pPr>
            <w:r>
              <w:t xml:space="preserve">Ambassadeur de G-B reçu par Moulay Ismaïl</w:t>
            </w:r>
          </w:p>
        </w:tc>
        <w:tc>
          <w:tcPr/>
          <w:p>
            <w:pPr>
              <w:pStyle w:val="Compact"/>
              <w:jc w:val="left"/>
            </w:pPr>
            <w:r>
              <w:t xml:space="preserve">TAZI, T.9</w:t>
            </w:r>
          </w:p>
        </w:tc>
      </w:tr>
      <w:tr>
        <w:tc>
          <w:tcPr/>
          <w:p>
            <w:pPr>
              <w:pStyle w:val="Compact"/>
              <w:jc w:val="left"/>
            </w:pPr>
            <w:r>
              <w:t xml:space="preserve">Mission danoise</w:t>
            </w:r>
          </w:p>
        </w:tc>
        <w:tc>
          <w:tcPr/>
          <w:p>
            <w:pPr>
              <w:pStyle w:val="Compact"/>
              <w:jc w:val="left"/>
            </w:pPr>
            <w:r>
              <w:t xml:space="preserve">Réception par Sidi Mohammed ben Abdallah</w:t>
            </w:r>
          </w:p>
        </w:tc>
        <w:tc>
          <w:tcPr/>
          <w:p>
            <w:pPr>
              <w:pStyle w:val="Compact"/>
              <w:jc w:val="left"/>
            </w:pPr>
            <w:r>
              <w:t xml:space="preserve">TAZI, T.9</w:t>
            </w:r>
          </w:p>
        </w:tc>
      </w:tr>
      <w:tr>
        <w:tc>
          <w:tcPr/>
          <w:p>
            <w:pPr>
              <w:pStyle w:val="Compact"/>
              <w:jc w:val="left"/>
            </w:pPr>
            <w:r>
              <w:t xml:space="preserve">Siège de Salé</w:t>
            </w:r>
          </w:p>
        </w:tc>
        <w:tc>
          <w:tcPr/>
          <w:p>
            <w:pPr>
              <w:pStyle w:val="Compact"/>
              <w:jc w:val="left"/>
            </w:pPr>
            <w:r>
              <w:t xml:space="preserve">« Dessin du siège de la ville de Salé »</w:t>
            </w:r>
          </w:p>
        </w:tc>
        <w:tc>
          <w:tcPr/>
          <w:p>
            <w:pPr>
              <w:pStyle w:val="Compact"/>
              <w:jc w:val="left"/>
            </w:pPr>
            <w:r>
              <w:t xml:space="preserve">TAZI, T.9</w:t>
            </w:r>
          </w:p>
        </w:tc>
      </w:tr>
      <w:tr>
        <w:tc>
          <w:tcPr/>
          <w:p>
            <w:pPr>
              <w:pStyle w:val="Compact"/>
              <w:jc w:val="left"/>
            </w:pPr>
            <w:r>
              <w:t xml:space="preserve">Tour Hassan</w:t>
            </w:r>
          </w:p>
        </w:tc>
        <w:tc>
          <w:tcPr/>
          <w:p>
            <w:pPr>
              <w:pStyle w:val="Compact"/>
              <w:jc w:val="left"/>
            </w:pPr>
            <w:r>
              <w:t xml:space="preserve">Vue de Rabat</w:t>
            </w:r>
          </w:p>
        </w:tc>
        <w:tc>
          <w:tcPr/>
          <w:p>
            <w:pPr>
              <w:pStyle w:val="Compact"/>
              <w:jc w:val="left"/>
            </w:pPr>
            <w:r>
              <w:t xml:space="preserve">TAZI, T.9</w:t>
            </w:r>
          </w:p>
        </w:tc>
      </w:tr>
    </w:tbl>
    <w:bookmarkEnd w:id="144"/>
    <w:bookmarkStart w:id="145" w:name="f.-fonds-darchives-à-consulter"/>
    <w:p>
      <w:pPr>
        <w:pStyle w:val="Heading4"/>
      </w:pPr>
      <w:r>
        <w:t xml:space="preserve">F. Fonds d’Archives à Consulter</w:t>
      </w:r>
    </w:p>
    <w:tbl>
      <w:tblPr>
        <w:tblStyle w:val="Table"/>
        <w:tblW w:type="pct" w:w="5000"/>
        <w:tblLook w:firstRow="1" w:lastRow="0" w:firstColumn="0" w:lastColumn="0" w:noHBand="0" w:noVBand="0" w:val="0020"/>
        <w:jc w:val="start"/>
      </w:tblPr>
      <w:tblGrid>
        <w:gridCol w:w="3550"/>
        <w:gridCol w:w="1911"/>
        <w:gridCol w:w="2457"/>
      </w:tblGrid>
      <w:tr>
        <w:trPr>
          <w:tblHeader w:val="true"/>
        </w:trPr>
        <w:tc>
          <w:tcPr/>
          <w:p>
            <w:pPr>
              <w:pStyle w:val="Compact"/>
              <w:jc w:val="left"/>
            </w:pPr>
            <w:r>
              <w:t xml:space="preserve">Institution</w:t>
            </w:r>
          </w:p>
        </w:tc>
        <w:tc>
          <w:tcPr/>
          <w:p>
            <w:pPr>
              <w:pStyle w:val="Compact"/>
              <w:jc w:val="left"/>
            </w:pPr>
            <w:r>
              <w:t xml:space="preserve">Fonds</w:t>
            </w:r>
          </w:p>
        </w:tc>
        <w:tc>
          <w:tcPr/>
          <w:p>
            <w:pPr>
              <w:pStyle w:val="Compact"/>
              <w:jc w:val="left"/>
            </w:pPr>
            <w:r>
              <w:t xml:space="preserve">Contenu</w:t>
            </w:r>
          </w:p>
        </w:tc>
      </w:tr>
      <w:tr>
        <w:tc>
          <w:tcPr/>
          <w:p>
            <w:pPr>
              <w:pStyle w:val="Compact"/>
              <w:jc w:val="left"/>
            </w:pPr>
            <w:r>
              <w:rPr>
                <w:bCs/>
                <w:b/>
              </w:rPr>
              <w:t xml:space="preserve">Bibliothèque Royale Hassaniya</w:t>
            </w:r>
            <w:r>
              <w:t xml:space="preserve"> </w:t>
            </w:r>
            <w:r>
              <w:t xml:space="preserve">(Rabat)</w:t>
            </w:r>
          </w:p>
        </w:tc>
        <w:tc>
          <w:tcPr/>
          <w:p>
            <w:pPr>
              <w:pStyle w:val="Compact"/>
              <w:jc w:val="left"/>
            </w:pPr>
            <w:r>
              <w:t xml:space="preserve">ms. 1275/319 et autres</w:t>
            </w:r>
          </w:p>
        </w:tc>
        <w:tc>
          <w:tcPr/>
          <w:p>
            <w:pPr>
              <w:pStyle w:val="Compact"/>
              <w:jc w:val="left"/>
            </w:pPr>
            <w:r>
              <w:t xml:space="preserve">Correspondances, traités arabes</w:t>
            </w:r>
          </w:p>
        </w:tc>
      </w:tr>
      <w:tr>
        <w:tc>
          <w:tcPr/>
          <w:p>
            <w:pPr>
              <w:pStyle w:val="Compact"/>
              <w:jc w:val="left"/>
            </w:pPr>
            <w:r>
              <w:rPr>
                <w:bCs/>
                <w:b/>
              </w:rPr>
              <w:t xml:space="preserve">Direction des Archives Royales</w:t>
            </w:r>
            <w:r>
              <w:t xml:space="preserve"> </w:t>
            </w:r>
            <w:r>
              <w:t xml:space="preserve">(Rabat)</w:t>
            </w:r>
          </w:p>
        </w:tc>
        <w:tc>
          <w:tcPr/>
          <w:p>
            <w:pPr>
              <w:pStyle w:val="Compact"/>
              <w:jc w:val="left"/>
            </w:pPr>
            <w:r>
              <w:t xml:space="preserve">Fonds Grande-Bretagne, Dossiers chronologiques</w:t>
            </w:r>
          </w:p>
        </w:tc>
        <w:tc>
          <w:tcPr/>
          <w:p>
            <w:pPr>
              <w:pStyle w:val="Compact"/>
              <w:jc w:val="left"/>
            </w:pPr>
            <w:r>
              <w:t xml:space="preserve">Documents XIXe-XXe s.</w:t>
            </w:r>
          </w:p>
        </w:tc>
      </w:tr>
      <w:tr>
        <w:tc>
          <w:tcPr/>
          <w:p>
            <w:pPr>
              <w:pStyle w:val="Compact"/>
              <w:jc w:val="left"/>
            </w:pPr>
            <w:r>
              <w:rPr>
                <w:bCs/>
                <w:b/>
              </w:rPr>
              <w:t xml:space="preserve">Public Record Office</w:t>
            </w:r>
            <w:r>
              <w:t xml:space="preserve"> </w:t>
            </w:r>
            <w:r>
              <w:t xml:space="preserve">(Londres)</w:t>
            </w:r>
          </w:p>
        </w:tc>
        <w:tc>
          <w:tcPr/>
          <w:p>
            <w:pPr>
              <w:pStyle w:val="Compact"/>
              <w:jc w:val="left"/>
            </w:pPr>
            <w:r>
              <w:t xml:space="preserve">F.O. 99, F.O. 174</w:t>
            </w:r>
          </w:p>
        </w:tc>
        <w:tc>
          <w:tcPr/>
          <w:p>
            <w:pPr>
              <w:pStyle w:val="Compact"/>
              <w:jc w:val="left"/>
            </w:pPr>
            <w:r>
              <w:t xml:space="preserve">Légation de Tanger</w:t>
            </w:r>
          </w:p>
        </w:tc>
      </w:tr>
      <w:tr>
        <w:tc>
          <w:tcPr/>
          <w:p>
            <w:pPr>
              <w:pStyle w:val="Compact"/>
              <w:jc w:val="left"/>
            </w:pPr>
            <w:r>
              <w:rPr>
                <w:bCs/>
                <w:b/>
              </w:rPr>
              <w:t xml:space="preserve">Archives du MAE</w:t>
            </w:r>
            <w:r>
              <w:t xml:space="preserve"> </w:t>
            </w:r>
            <w:r>
              <w:t xml:space="preserve">(Paris)</w:t>
            </w:r>
          </w:p>
        </w:tc>
        <w:tc>
          <w:tcPr/>
          <w:p>
            <w:pPr>
              <w:pStyle w:val="Compact"/>
              <w:jc w:val="left"/>
            </w:pPr>
            <w:r>
              <w:t xml:space="preserve">Correspondance politique et consulaire</w:t>
            </w:r>
          </w:p>
        </w:tc>
        <w:tc>
          <w:tcPr/>
          <w:p>
            <w:pPr>
              <w:pStyle w:val="Compact"/>
              <w:jc w:val="left"/>
            </w:pPr>
            <w:r>
              <w:t xml:space="preserve">Relations franco-marocaines</w:t>
            </w:r>
          </w:p>
        </w:tc>
      </w:tr>
      <w:tr>
        <w:tc>
          <w:tcPr/>
          <w:p>
            <w:pPr>
              <w:pStyle w:val="Compact"/>
              <w:jc w:val="left"/>
            </w:pPr>
            <w:r>
              <w:rPr>
                <w:bCs/>
                <w:b/>
              </w:rPr>
              <w:t xml:space="preserve">Torre do Tombo</w:t>
            </w:r>
            <w:r>
              <w:t xml:space="preserve"> </w:t>
            </w:r>
            <w:r>
              <w:t xml:space="preserve">(Lisbonne)</w:t>
            </w:r>
          </w:p>
        </w:tc>
        <w:tc>
          <w:tcPr/>
          <w:p>
            <w:pPr>
              <w:pStyle w:val="Compact"/>
              <w:jc w:val="left"/>
            </w:pPr>
            <w:r>
              <w:t xml:space="preserve">Cartes et documents portugais</w:t>
            </w:r>
          </w:p>
        </w:tc>
        <w:tc>
          <w:tcPr/>
          <w:p>
            <w:pPr>
              <w:pStyle w:val="Compact"/>
              <w:jc w:val="left"/>
            </w:pPr>
            <w:r>
              <w:t xml:space="preserve">Présence portugaise au Maroc</w:t>
            </w:r>
          </w:p>
        </w:tc>
      </w:tr>
    </w:tbl>
    <w:p>
      <w:r>
        <w:pict>
          <v:rect style="width:0;height:1.5pt" o:hralign="center" o:hrstd="t" o:hr="t"/>
        </w:pict>
      </w:r>
    </w:p>
    <w:p>
      <w:pPr>
        <w:pStyle w:val="FirstParagraph"/>
      </w:pPr>
      <w:r>
        <w:rPr>
          <w:iCs/>
          <w:i/>
        </w:rPr>
        <w:t xml:space="preserve">Document rédigé dans le cadre du Master Sciences Politiques</w:t>
      </w:r>
      <w:r>
        <w:t xml:space="preserve"> </w:t>
      </w:r>
      <w:r>
        <w:rPr>
          <w:iCs/>
          <w:i/>
        </w:rPr>
        <w:t xml:space="preserve">Module : Histoire Diplomatique du Maroc</w:t>
      </w:r>
      <w:r>
        <w:t xml:space="preserve"> </w:t>
      </w:r>
      <w:r>
        <w:rPr>
          <w:iCs/>
          <w:i/>
        </w:rPr>
        <w:t xml:space="preserve">30 janvier 2026</w:t>
      </w:r>
    </w:p>
    <w:bookmarkEnd w:id="145"/>
    <w:bookmarkEnd w:id="146"/>
    <w:bookmarkEnd w:id="147"/>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Michel Abitbol,</w:t>
      </w:r>
      <w:r>
        <w:t xml:space="preserve"> </w:t>
      </w:r>
      <w:r>
        <w:rPr>
          <w:iCs/>
          <w:i/>
        </w:rPr>
        <w:t xml:space="preserve">Histoire du Maroc</w:t>
      </w:r>
      <w:r>
        <w:t xml:space="preserve">, p. 986.</w:t>
      </w:r>
    </w:p>
  </w:footnote>
  <w:footnote w:id="22">
    <w:p>
      <w:pPr>
        <w:pStyle w:val="FootnoteText"/>
      </w:pPr>
      <w:r>
        <w:rPr>
          <w:rStyle w:val="FootnoteReference"/>
        </w:rPr>
        <w:footnoteRef/>
      </w:r>
      <w:r>
        <w:t xml:space="preserve"> </w:t>
      </w:r>
      <w:r>
        <w:t xml:space="preserve">Sur la capacité juridique de l’État chérifien, voir l’Avis de la CIJ sur le Sahara Occidental (1975), qui reconnaît l’existence de « liens juridiques d’allégeance », tout en précisant que ces liens ne modifient pas l’application du principe d’autodétermination.</w:t>
      </w:r>
    </w:p>
  </w:footnote>
  <w:footnote w:id="23">
    <w:p>
      <w:pPr>
        <w:pStyle w:val="FootnoteText"/>
      </w:pPr>
      <w:r>
        <w:rPr>
          <w:rStyle w:val="FootnoteReference"/>
        </w:rPr>
        <w:footnoteRef/>
      </w:r>
      <w:r>
        <w:t xml:space="preserve"> </w:t>
      </w:r>
      <w:r>
        <w:t xml:space="preserve">Le Traité de Marrakech (1786) est considéré comme le plus ancien traité ininterrompu dans l’histoire diplomatique américaine. Voir : U.S. Department of State,</w:t>
      </w:r>
      <w:r>
        <w:t xml:space="preserve"> </w:t>
      </w:r>
      <w:r>
        <w:rPr>
          <w:iCs/>
          <w:i/>
        </w:rPr>
        <w:t xml:space="preserve">Treaties in Force</w:t>
      </w:r>
      <w:r>
        <w:t xml:space="preserve">.</w:t>
      </w:r>
    </w:p>
  </w:footnote>
  <w:footnote w:id="24">
    <w:p>
      <w:pPr>
        <w:pStyle w:val="FootnoteText"/>
      </w:pPr>
      <w:r>
        <w:rPr>
          <w:rStyle w:val="FootnoteReference"/>
        </w:rPr>
        <w:footnoteRef/>
      </w:r>
      <w:r>
        <w:t xml:space="preserve"> </w:t>
      </w:r>
      <w:r>
        <w:rPr>
          <w:iCs/>
          <w:i/>
        </w:rPr>
        <w:t xml:space="preserve">Hespéris-Tamuda</w:t>
      </w:r>
      <w:r>
        <w:t xml:space="preserve">, vol. IV, 1963, p. 685-687 ;</w:t>
      </w:r>
      <w:r>
        <w:t xml:space="preserve"> </w:t>
      </w:r>
      <w:r>
        <w:rPr>
          <w:iCs/>
          <w:i/>
        </w:rPr>
        <w:t xml:space="preserve">Histoire du Maroc – réserves sur la PE des Alaouites</w:t>
      </w:r>
      <w:r>
        <w:t xml:space="preserve">, p. 839-840.</w:t>
      </w:r>
    </w:p>
  </w:footnote>
  <w:footnote w:id="27">
    <w:p>
      <w:pPr>
        <w:pStyle w:val="FootnoteText"/>
      </w:pPr>
      <w:r>
        <w:rPr>
          <w:rStyle w:val="FootnoteReference"/>
        </w:rPr>
        <w:footnoteRef/>
      </w:r>
      <w:r>
        <w:t xml:space="preserve"> </w:t>
      </w:r>
      <w:r>
        <w:t xml:space="preserve">Échange diplomatique entre les ambassadeurs turcs d’Alger et Moulay Mhammed (vers 1654), cité dans</w:t>
      </w:r>
      <w:r>
        <w:t xml:space="preserve"> </w:t>
      </w:r>
      <w:r>
        <w:rPr>
          <w:iCs/>
          <w:i/>
        </w:rPr>
        <w:t xml:space="preserve">Archives du Maroc – Chronique de la Dynastie Alaouie du Maroc</w:t>
      </w:r>
      <w:r>
        <w:t xml:space="preserve">, T1, p. 35-36.</w:t>
      </w:r>
    </w:p>
  </w:footnote>
  <w:footnote w:id="29">
    <w:p>
      <w:pPr>
        <w:pStyle w:val="FootnoteText"/>
      </w:pPr>
      <w:r>
        <w:rPr>
          <w:rStyle w:val="FootnoteReference"/>
        </w:rPr>
        <w:footnoteRef/>
      </w:r>
      <w:r>
        <w:t xml:space="preserve"> </w:t>
      </w:r>
      <w:r>
        <w:rPr>
          <w:iCs/>
          <w:i/>
        </w:rPr>
        <w:t xml:space="preserve">Archives du Maroc – Chronique de la Dynastie Alaouie</w:t>
      </w:r>
      <w:r>
        <w:t xml:space="preserve">, T9, p. 79.</w:t>
      </w:r>
    </w:p>
  </w:footnote>
  <w:footnote w:id="31">
    <w:p>
      <w:pPr>
        <w:pStyle w:val="FootnoteText"/>
      </w:pPr>
      <w:r>
        <w:rPr>
          <w:rStyle w:val="FootnoteReference"/>
        </w:rPr>
        <w:footnoteRef/>
      </w:r>
      <w:r>
        <w:t xml:space="preserve"> </w:t>
      </w:r>
      <w:r>
        <w:t xml:space="preserve">Michel Abitbol,</w:t>
      </w:r>
      <w:r>
        <w:t xml:space="preserve"> </w:t>
      </w:r>
      <w:r>
        <w:rPr>
          <w:iCs/>
          <w:i/>
        </w:rPr>
        <w:t xml:space="preserve">Histoire du Maroc</w:t>
      </w:r>
      <w:r>
        <w:t xml:space="preserve">, p. 986.</w:t>
      </w:r>
    </w:p>
  </w:footnote>
  <w:footnote w:id="33">
    <w:p>
      <w:pPr>
        <w:pStyle w:val="FootnoteText"/>
      </w:pPr>
      <w:r>
        <w:rPr>
          <w:rStyle w:val="FootnoteReference"/>
        </w:rPr>
        <w:footnoteRef/>
      </w:r>
      <w:r>
        <w:t xml:space="preserve"> </w:t>
      </w:r>
      <w:r>
        <w:t xml:space="preserve">Paul Dumont, « L’instrumentalisation de la religion dans l’Empire ottoman », analyse le recours au titre califal comme stratégie de « containment religieux » après le traité de Küçük Kaynarca (1774). Les Ottomans maintiennent une juridiction spirituelle (notamment la</w:t>
      </w:r>
      <w:r>
        <w:t xml:space="preserve"> </w:t>
      </w:r>
      <w:r>
        <w:rPr>
          <w:iCs/>
          <w:i/>
        </w:rPr>
        <w:t xml:space="preserve">khutba</w:t>
      </w:r>
      <w:r>
        <w:t xml:space="preserve">) sur les populations musulmanes des territoires perdus.</w:t>
      </w:r>
    </w:p>
  </w:footnote>
  <w:footnote w:id="37">
    <w:p>
      <w:pPr>
        <w:pStyle w:val="FootnoteText"/>
      </w:pPr>
      <w:r>
        <w:rPr>
          <w:rStyle w:val="FootnoteReference"/>
        </w:rPr>
        <w:footnoteRef/>
      </w:r>
      <w:r>
        <w:t xml:space="preserve"> </w:t>
      </w:r>
      <w:r>
        <w:t xml:space="preserve">CIJ,</w:t>
      </w:r>
      <w:r>
        <w:t xml:space="preserve"> </w:t>
      </w:r>
      <w:r>
        <w:rPr>
          <w:iCs/>
          <w:i/>
        </w:rPr>
        <w:t xml:space="preserve">Avis consultatif sur le Sahara Occidental</w:t>
      </w:r>
      <w:r>
        <w:t xml:space="preserve">, 16 octobre 1975, § 162. La Cour précise également (§ 129) que ces liens d’allégeance « ne sont nullement des liens de souveraineté territoriale » pouvant modifier l’application du principe d’autodétermination.</w:t>
      </w:r>
    </w:p>
  </w:footnote>
  <w:footnote w:id="39">
    <w:p>
      <w:pPr>
        <w:pStyle w:val="FootnoteText"/>
      </w:pPr>
      <w:r>
        <w:rPr>
          <w:rStyle w:val="FootnoteReference"/>
        </w:rPr>
        <w:footnoteRef/>
      </w:r>
      <w:r>
        <w:t xml:space="preserve"> </w:t>
      </w:r>
      <w:r>
        <w:t xml:space="preserve">Saloua El Oufir, « L’Identité à l’épreuve de la mobilité diplomatique des voyageurs marocains en Europe (1691-1919) », Université Mohammed V de Rabat. Citation clé : « dans la hiérarchie des référents identitaires, le Maroc survient après l’islam de la même manière qu’après Dieu, il y a le sultan. Celui-ci représente, en effet, le parfait point de jonction entre la patrie et la religion. »</w:t>
      </w:r>
    </w:p>
  </w:footnote>
  <w:footnote w:id="42">
    <w:p>
      <w:pPr>
        <w:pStyle w:val="FootnoteText"/>
      </w:pPr>
      <w:r>
        <w:rPr>
          <w:rStyle w:val="FootnoteReference"/>
        </w:rPr>
        <w:footnoteRef/>
      </w:r>
      <w:r>
        <w:t xml:space="preserve"> </w:t>
      </w:r>
      <w:r>
        <w:t xml:space="preserve">Sur la dialectique</w:t>
      </w:r>
      <w:r>
        <w:t xml:space="preserve"> </w:t>
      </w:r>
      <w:r>
        <w:rPr>
          <w:iCs/>
          <w:i/>
        </w:rPr>
        <w:t xml:space="preserve">Dar al-Islam</w:t>
      </w:r>
      <w:r>
        <w:t xml:space="preserve">/</w:t>
      </w:r>
      <w:r>
        <w:rPr>
          <w:iCs/>
          <w:i/>
        </w:rPr>
        <w:t xml:space="preserve">Dar al-Harb</w:t>
      </w:r>
      <w:r>
        <w:t xml:space="preserve"> </w:t>
      </w:r>
      <w:r>
        <w:t xml:space="preserve">et ses implications diplomatiques, voir l’analyse dans</w:t>
      </w:r>
      <w:r>
        <w:t xml:space="preserve"> </w:t>
      </w:r>
      <w:r>
        <w:rPr>
          <w:iCs/>
          <w:i/>
        </w:rPr>
        <w:t xml:space="preserve">Histoire diplomatique du Maroc</w:t>
      </w:r>
      <w:r>
        <w:t xml:space="preserve">, vol. 5, p. 1222.</w:t>
      </w:r>
    </w:p>
  </w:footnote>
  <w:footnote w:id="44">
    <w:p>
      <w:pPr>
        <w:pStyle w:val="FootnoteText"/>
      </w:pPr>
      <w:r>
        <w:rPr>
          <w:rStyle w:val="FootnoteReference"/>
        </w:rPr>
        <w:footnoteRef/>
      </w:r>
      <w:r>
        <w:t xml:space="preserve"> </w:t>
      </w:r>
      <w:r>
        <w:rPr>
          <w:iCs/>
          <w:i/>
        </w:rPr>
        <w:t xml:space="preserve">Kitab el-Istiqça</w:t>
      </w:r>
      <w:r>
        <w:t xml:space="preserve">, vol. 9, sur les mécanismes de négociation des traités.</w:t>
      </w:r>
    </w:p>
  </w:footnote>
  <w:footnote w:id="48">
    <w:p>
      <w:pPr>
        <w:pStyle w:val="FootnoteText"/>
      </w:pPr>
      <w:r>
        <w:rPr>
          <w:rStyle w:val="FootnoteReference"/>
        </w:rPr>
        <w:footnoteRef/>
      </w:r>
      <w:r>
        <w:t xml:space="preserve"> </w:t>
      </w:r>
      <w:r>
        <w:t xml:space="preserve">Daniel Rivet,</w:t>
      </w:r>
      <w:r>
        <w:t xml:space="preserve"> </w:t>
      </w:r>
      <w:r>
        <w:rPr>
          <w:iCs/>
          <w:i/>
        </w:rPr>
        <w:t xml:space="preserve">Histoire du Maroc</w:t>
      </w:r>
      <w:r>
        <w:t xml:space="preserve">, p. 1228 ; Michel Abitbol,</w:t>
      </w:r>
      <w:r>
        <w:t xml:space="preserve"> </w:t>
      </w:r>
      <w:r>
        <w:rPr>
          <w:iCs/>
          <w:i/>
        </w:rPr>
        <w:t xml:space="preserve">Histoire du Maroc</w:t>
      </w:r>
      <w:r>
        <w:t xml:space="preserve">, p. 985.</w:t>
      </w:r>
    </w:p>
  </w:footnote>
  <w:footnote w:id="50">
    <w:p>
      <w:pPr>
        <w:pStyle w:val="FootnoteText"/>
      </w:pPr>
      <w:r>
        <w:rPr>
          <w:rStyle w:val="FootnoteReference"/>
        </w:rPr>
        <w:footnoteRef/>
      </w:r>
      <w:r>
        <w:t xml:space="preserve"> </w:t>
      </w:r>
      <w:r>
        <w:rPr>
          <w:iCs/>
          <w:i/>
        </w:rPr>
        <w:t xml:space="preserve">Hespéris-Tamuda</w:t>
      </w:r>
      <w:r>
        <w:t xml:space="preserve">, 1963, p. 688, sur la famille Pallache.</w:t>
      </w:r>
    </w:p>
  </w:footnote>
  <w:footnote w:id="54">
    <w:p>
      <w:pPr>
        <w:pStyle w:val="FootnoteText"/>
      </w:pPr>
      <w:r>
        <w:rPr>
          <w:rStyle w:val="FootnoteReference"/>
        </w:rPr>
        <w:footnoteRef/>
      </w:r>
      <w:r>
        <w:t xml:space="preserve"> </w:t>
      </w:r>
      <w:r>
        <w:rPr>
          <w:iCs/>
          <w:i/>
        </w:rPr>
        <w:t xml:space="preserve">Histoire du Maroc – réserves</w:t>
      </w:r>
      <w:r>
        <w:t xml:space="preserve">, p. 839-840.</w:t>
      </w:r>
    </w:p>
  </w:footnote>
  <w:footnote w:id="56">
    <w:p>
      <w:pPr>
        <w:pStyle w:val="FootnoteText"/>
      </w:pPr>
      <w:r>
        <w:rPr>
          <w:rStyle w:val="FootnoteReference"/>
        </w:rPr>
        <w:footnoteRef/>
      </w:r>
      <w:r>
        <w:t xml:space="preserve"> </w:t>
      </w:r>
      <w:r>
        <w:t xml:space="preserve">Bernard Lugan,</w:t>
      </w:r>
      <w:r>
        <w:t xml:space="preserve"> </w:t>
      </w:r>
      <w:r>
        <w:rPr>
          <w:iCs/>
          <w:i/>
        </w:rPr>
        <w:t xml:space="preserve">Histoire de l’Afrique du Nord</w:t>
      </w:r>
      <w:r>
        <w:t xml:space="preserve">, sur la saisie du</w:t>
      </w:r>
      <w:r>
        <w:t xml:space="preserve"> </w:t>
      </w:r>
      <w:r>
        <w:rPr>
          <w:iCs/>
          <w:i/>
        </w:rPr>
        <w:t xml:space="preserve">Betsey</w:t>
      </w:r>
      <w:r>
        <w:t xml:space="preserve">.</w:t>
      </w:r>
    </w:p>
  </w:footnote>
  <w:footnote w:id="57">
    <w:p>
      <w:pPr>
        <w:pStyle w:val="FootnoteText"/>
      </w:pPr>
      <w:r>
        <w:rPr>
          <w:rStyle w:val="FootnoteReference"/>
        </w:rPr>
        <w:footnoteRef/>
      </w:r>
      <w:r>
        <w:t xml:space="preserve"> </w:t>
      </w:r>
      <w:r>
        <w:rPr>
          <w:iCs/>
          <w:i/>
        </w:rPr>
        <w:t xml:space="preserve">Description et Histoire du Maroc</w:t>
      </w:r>
      <w:r>
        <w:t xml:space="preserve">, sur les tributs danois.</w:t>
      </w:r>
    </w:p>
  </w:footnote>
  <w:footnote w:id="58">
    <w:p>
      <w:pPr>
        <w:pStyle w:val="FootnoteText"/>
      </w:pPr>
      <w:r>
        <w:rPr>
          <w:rStyle w:val="FootnoteReference"/>
        </w:rPr>
        <w:footnoteRef/>
      </w:r>
      <w:r>
        <w:t xml:space="preserve"> </w:t>
      </w:r>
      <w:r>
        <w:rPr>
          <w:iCs/>
          <w:i/>
        </w:rPr>
        <w:t xml:space="preserve">Hespéris-Tamuda</w:t>
      </w:r>
      <w:r>
        <w:t xml:space="preserve">, 1963, p. 682-683.</w:t>
      </w:r>
    </w:p>
  </w:footnote>
  <w:footnote w:id="60">
    <w:p>
      <w:pPr>
        <w:pStyle w:val="FootnoteText"/>
      </w:pPr>
      <w:r>
        <w:rPr>
          <w:rStyle w:val="FootnoteReference"/>
        </w:rPr>
        <w:footnoteRef/>
      </w:r>
      <w:r>
        <w:t xml:space="preserve"> </w:t>
      </w:r>
      <w:r>
        <w:rPr>
          <w:iCs/>
          <w:i/>
        </w:rPr>
        <w:t xml:space="preserve">Description et Histoire du Maroc</w:t>
      </w:r>
      <w:r>
        <w:t xml:space="preserve">, sur les variations des prix de rachat.</w:t>
      </w:r>
    </w:p>
  </w:footnote>
  <w:footnote w:id="61">
    <w:p>
      <w:pPr>
        <w:pStyle w:val="FootnoteText"/>
      </w:pPr>
      <w:r>
        <w:rPr>
          <w:rStyle w:val="FootnoteReference"/>
        </w:rPr>
        <w:footnoteRef/>
      </w:r>
      <w:r>
        <w:t xml:space="preserve"> </w:t>
      </w:r>
      <w:r>
        <w:t xml:space="preserve">Michel Abitbol,</w:t>
      </w:r>
      <w:r>
        <w:t xml:space="preserve"> </w:t>
      </w:r>
      <w:r>
        <w:rPr>
          <w:iCs/>
          <w:i/>
        </w:rPr>
        <w:t xml:space="preserve">Histoire du Maroc</w:t>
      </w:r>
      <w:r>
        <w:t xml:space="preserve">, p. 985 ; Bernard Lugan,</w:t>
      </w:r>
      <w:r>
        <w:t xml:space="preserve"> </w:t>
      </w:r>
      <w:r>
        <w:rPr>
          <w:iCs/>
          <w:i/>
        </w:rPr>
        <w:t xml:space="preserve">Histoire de l’Afrique du Nord</w:t>
      </w:r>
      <w:r>
        <w:t xml:space="preserve">, p. 366.</w:t>
      </w:r>
    </w:p>
  </w:footnote>
  <w:footnote w:id="63">
    <w:p>
      <w:pPr>
        <w:pStyle w:val="FootnoteText"/>
      </w:pPr>
      <w:r>
        <w:rPr>
          <w:rStyle w:val="FootnoteReference"/>
        </w:rPr>
        <w:footnoteRef/>
      </w:r>
      <w:r>
        <w:t xml:space="preserve"> </w:t>
      </w:r>
      <w:r>
        <w:t xml:space="preserve">Michel Abitbol,</w:t>
      </w:r>
      <w:r>
        <w:t xml:space="preserve"> </w:t>
      </w:r>
      <w:r>
        <w:rPr>
          <w:iCs/>
          <w:i/>
        </w:rPr>
        <w:t xml:space="preserve">Histoire du Maroc</w:t>
      </w:r>
      <w:r>
        <w:t xml:space="preserve">, sur le désarmement de la flotte par Moulay Slimane.</w:t>
      </w:r>
    </w:p>
  </w:footnote>
  <w:footnote w:id="66">
    <w:p>
      <w:pPr>
        <w:pStyle w:val="FootnoteText"/>
      </w:pPr>
      <w:r>
        <w:rPr>
          <w:rStyle w:val="FootnoteReference"/>
        </w:rPr>
        <w:footnoteRef/>
      </w:r>
      <w:r>
        <w:t xml:space="preserve"> </w:t>
      </w:r>
      <w:r>
        <w:t xml:space="preserve">Daniel Rivet,</w:t>
      </w:r>
      <w:r>
        <w:t xml:space="preserve"> </w:t>
      </w:r>
      <w:r>
        <w:rPr>
          <w:iCs/>
          <w:i/>
        </w:rPr>
        <w:t xml:space="preserve">Histoire du Maroc</w:t>
      </w:r>
      <w:r>
        <w:t xml:space="preserve">, sur la fondation d’Essaouira ;</w:t>
      </w:r>
      <w:r>
        <w:t xml:space="preserve"> </w:t>
      </w:r>
      <w:r>
        <w:rPr>
          <w:iCs/>
          <w:i/>
        </w:rPr>
        <w:t xml:space="preserve">Kitab el-Istiqça</w:t>
      </w:r>
      <w:r>
        <w:t xml:space="preserve">.</w:t>
      </w:r>
    </w:p>
  </w:footnote>
  <w:footnote w:id="68">
    <w:p>
      <w:pPr>
        <w:pStyle w:val="FootnoteText"/>
      </w:pPr>
      <w:r>
        <w:rPr>
          <w:rStyle w:val="FootnoteReference"/>
        </w:rPr>
        <w:footnoteRef/>
      </w:r>
      <w:r>
        <w:t xml:space="preserve"> </w:t>
      </w:r>
      <w:r>
        <w:rPr>
          <w:iCs/>
          <w:i/>
        </w:rPr>
        <w:t xml:space="preserve">Histoire diplomatique du Maroc</w:t>
      </w:r>
      <w:r>
        <w:t xml:space="preserve">, vol. 5, p. 1222.</w:t>
      </w:r>
    </w:p>
  </w:footnote>
  <w:footnote w:id="70">
    <w:p>
      <w:pPr>
        <w:pStyle w:val="FootnoteText"/>
      </w:pPr>
      <w:r>
        <w:rPr>
          <w:rStyle w:val="FootnoteReference"/>
        </w:rPr>
        <w:footnoteRef/>
      </w:r>
      <w:r>
        <w:t xml:space="preserve"> </w:t>
      </w:r>
      <w:r>
        <w:t xml:space="preserve">Michel Abitbol,</w:t>
      </w:r>
      <w:r>
        <w:t xml:space="preserve"> </w:t>
      </w:r>
      <w:r>
        <w:rPr>
          <w:iCs/>
          <w:i/>
        </w:rPr>
        <w:t xml:space="preserve">Histoire du Maroc</w:t>
      </w:r>
      <w:r>
        <w:t xml:space="preserve">, p. 986.</w:t>
      </w:r>
    </w:p>
  </w:footnote>
  <w:footnote w:id="72">
    <w:p>
      <w:pPr>
        <w:pStyle w:val="FootnoteText"/>
      </w:pPr>
      <w:r>
        <w:rPr>
          <w:rStyle w:val="FootnoteReference"/>
        </w:rPr>
        <w:footnoteRef/>
      </w:r>
      <w:r>
        <w:t xml:space="preserve"> </w:t>
      </w:r>
      <w:r>
        <w:t xml:space="preserve">Ibid.</w:t>
      </w:r>
    </w:p>
  </w:footnote>
  <w:footnote w:id="78">
    <w:p>
      <w:pPr>
        <w:pStyle w:val="FootnoteText"/>
      </w:pPr>
      <w:r>
        <w:rPr>
          <w:rStyle w:val="FootnoteReference"/>
        </w:rPr>
        <w:footnoteRef/>
      </w:r>
      <w:r>
        <w:t xml:space="preserve"> </w:t>
      </w:r>
      <w:r>
        <w:t xml:space="preserve">Bernard Lugan,</w:t>
      </w:r>
      <w:r>
        <w:t xml:space="preserve"> </w:t>
      </w:r>
      <w:r>
        <w:rPr>
          <w:iCs/>
          <w:i/>
        </w:rPr>
        <w:t xml:space="preserve">Histoire de l’Afrique du Nord</w:t>
      </w:r>
      <w:r>
        <w:t xml:space="preserve">, p. 301-302.</w:t>
      </w:r>
    </w:p>
  </w:footnote>
  <w:footnote w:id="79">
    <w:p>
      <w:pPr>
        <w:pStyle w:val="FootnoteText"/>
      </w:pPr>
      <w:r>
        <w:rPr>
          <w:rStyle w:val="FootnoteReference"/>
        </w:rPr>
        <w:footnoteRef/>
      </w:r>
      <w:r>
        <w:t xml:space="preserve"> </w:t>
      </w:r>
      <w:r>
        <w:t xml:space="preserve">Traité de Lalla Maghnia (1845), texte in Bernard Lugan, p. 348.</w:t>
      </w:r>
    </w:p>
  </w:footnote>
  <w:footnote w:id="81">
    <w:p>
      <w:pPr>
        <w:pStyle w:val="FootnoteText"/>
      </w:pPr>
      <w:r>
        <w:rPr>
          <w:rStyle w:val="FootnoteReference"/>
        </w:rPr>
        <w:footnoteRef/>
      </w:r>
      <w:r>
        <w:t xml:space="preserve"> </w:t>
      </w:r>
      <w:r>
        <w:t xml:space="preserve">Bernard Lugan,</w:t>
      </w:r>
      <w:r>
        <w:t xml:space="preserve"> </w:t>
      </w:r>
      <w:r>
        <w:rPr>
          <w:iCs/>
          <w:i/>
        </w:rPr>
        <w:t xml:space="preserve">Histoire de l’Afrique du Nord</w:t>
      </w:r>
      <w:r>
        <w:t xml:space="preserve">, p. 301-302.</w:t>
      </w:r>
    </w:p>
  </w:footnote>
  <w:footnote w:id="84">
    <w:p>
      <w:pPr>
        <w:pStyle w:val="FootnoteText"/>
      </w:pPr>
      <w:r>
        <w:rPr>
          <w:rStyle w:val="FootnoteReference"/>
        </w:rPr>
        <w:footnoteRef/>
      </w:r>
      <w:r>
        <w:t xml:space="preserve"> </w:t>
      </w:r>
      <w:r>
        <w:t xml:space="preserve">Michel Abitbol,</w:t>
      </w:r>
      <w:r>
        <w:t xml:space="preserve"> </w:t>
      </w:r>
      <w:r>
        <w:rPr>
          <w:iCs/>
          <w:i/>
        </w:rPr>
        <w:t xml:space="preserve">Histoire du Maroc</w:t>
      </w:r>
      <w:r>
        <w:t xml:space="preserve">, sur le système des protections.</w:t>
      </w:r>
    </w:p>
  </w:footnote>
  <w:footnote w:id="86">
    <w:p>
      <w:pPr>
        <w:pStyle w:val="FootnoteText"/>
      </w:pPr>
      <w:r>
        <w:rPr>
          <w:rStyle w:val="FootnoteReference"/>
        </w:rPr>
        <w:footnoteRef/>
      </w:r>
      <w:r>
        <w:t xml:space="preserve"> </w:t>
      </w:r>
      <w:r>
        <w:rPr>
          <w:iCs/>
          <w:i/>
        </w:rPr>
        <w:t xml:space="preserve">Documents Diplomatiques – Affaires du Maroc</w:t>
      </w:r>
      <w:r>
        <w:t xml:space="preserve">, p. 252 ; Michel Abitbol,</w:t>
      </w:r>
      <w:r>
        <w:t xml:space="preserve"> </w:t>
      </w:r>
      <w:r>
        <w:rPr>
          <w:iCs/>
          <w:i/>
        </w:rPr>
        <w:t xml:space="preserve">Histoire du Maroc</w:t>
      </w:r>
      <w:r>
        <w:t xml:space="preserve">, p. 278.</w:t>
      </w:r>
    </w:p>
  </w:footnote>
  <w:footnote w:id="89">
    <w:p>
      <w:pPr>
        <w:pStyle w:val="FootnoteText"/>
      </w:pPr>
      <w:r>
        <w:rPr>
          <w:rStyle w:val="FootnoteReference"/>
        </w:rPr>
        <w:footnoteRef/>
      </w:r>
      <w:r>
        <w:t xml:space="preserve"> </w:t>
      </w:r>
      <w:r>
        <w:t xml:space="preserve">Khalid Ben-Srhir,</w:t>
      </w:r>
      <w:r>
        <w:t xml:space="preserve"> </w:t>
      </w:r>
      <w:r>
        <w:rPr>
          <w:iCs/>
          <w:i/>
        </w:rPr>
        <w:t xml:space="preserve">Britain and Morocco During the Embassy of John Drummond Hay, 1845-1886</w:t>
      </w:r>
      <w:r>
        <w:t xml:space="preserve">, London, Routledge, 2005. L’auteur soutient que c’est la Grande-Bretagne qui a « pavé la voie à la perte d’indépendance du Maroc » en ouvrant le pays à une pénétration commerciale incontrôlable et en incitant le Makhzen à des réformes coûteuses qui ont drainé le trésor bien avant l’occupation militaire.</w:t>
      </w:r>
    </w:p>
  </w:footnote>
  <w:footnote w:id="90">
    <w:p>
      <w:pPr>
        <w:pStyle w:val="FootnoteText"/>
      </w:pPr>
      <w:r>
        <w:rPr>
          <w:rStyle w:val="FootnoteReference"/>
        </w:rPr>
        <w:footnoteRef/>
      </w:r>
      <w:r>
        <w:t xml:space="preserve"> </w:t>
      </w:r>
      <w:r>
        <w:t xml:space="preserve">Michel Abitbol,</w:t>
      </w:r>
      <w:r>
        <w:t xml:space="preserve"> </w:t>
      </w:r>
      <w:r>
        <w:rPr>
          <w:iCs/>
          <w:i/>
        </w:rPr>
        <w:t xml:space="preserve">Histoire du Maroc</w:t>
      </w:r>
      <w:r>
        <w:t xml:space="preserve">, sur le traité de 1856.</w:t>
      </w:r>
    </w:p>
  </w:footnote>
  <w:footnote w:id="96">
    <w:p>
      <w:pPr>
        <w:pStyle w:val="FootnoteText"/>
      </w:pPr>
      <w:r>
        <w:rPr>
          <w:rStyle w:val="FootnoteReference"/>
        </w:rPr>
        <w:footnoteRef/>
      </w:r>
      <w:r>
        <w:t xml:space="preserve"> </w:t>
      </w:r>
      <w:r>
        <w:rPr>
          <w:iCs/>
          <w:i/>
        </w:rPr>
        <w:t xml:space="preserve">Documents Diplomatiques – Affaires du Maroc</w:t>
      </w:r>
      <w:r>
        <w:t xml:space="preserve">, p. 374, 383, 419 ; Michel Abitbol, p. 1018-1025.</w:t>
      </w:r>
    </w:p>
  </w:footnote>
  <w:footnote w:id="98">
    <w:p>
      <w:pPr>
        <w:pStyle w:val="FootnoteText"/>
      </w:pPr>
      <w:r>
        <w:rPr>
          <w:rStyle w:val="FootnoteReference"/>
        </w:rPr>
        <w:footnoteRef/>
      </w:r>
      <w:r>
        <w:t xml:space="preserve"> </w:t>
      </w:r>
      <w:r>
        <w:t xml:space="preserve">Bernard Lugan,</w:t>
      </w:r>
      <w:r>
        <w:t xml:space="preserve"> </w:t>
      </w:r>
      <w:r>
        <w:rPr>
          <w:iCs/>
          <w:i/>
        </w:rPr>
        <w:t xml:space="preserve">Histoire de l’Afrique du Nord</w:t>
      </w:r>
      <w:r>
        <w:t xml:space="preserve">, p. 88-89.</w:t>
      </w:r>
    </w:p>
  </w:footnote>
  <w:footnote w:id="100">
    <w:p>
      <w:pPr>
        <w:pStyle w:val="FootnoteText"/>
      </w:pPr>
      <w:r>
        <w:rPr>
          <w:rStyle w:val="FootnoteReference"/>
        </w:rPr>
        <w:footnoteRef/>
      </w:r>
      <w:r>
        <w:t xml:space="preserve"> </w:t>
      </w:r>
      <w:r>
        <w:rPr>
          <w:iCs/>
          <w:i/>
        </w:rPr>
        <w:t xml:space="preserve">Documents Diplomatiques – Affaires du Maroc</w:t>
      </w:r>
      <w:r>
        <w:t xml:space="preserve">, p. 498-500, Lettre du Makhzen du 27 mai 1905.</w:t>
      </w:r>
    </w:p>
  </w:footnote>
  <w:footnote w:id="102">
    <w:p>
      <w:pPr>
        <w:pStyle w:val="FootnoteText"/>
      </w:pPr>
      <w:r>
        <w:rPr>
          <w:rStyle w:val="FootnoteReference"/>
        </w:rPr>
        <w:footnoteRef/>
      </w:r>
      <w:r>
        <w:t xml:space="preserve"> </w:t>
      </w:r>
      <w:r>
        <w:t xml:space="preserve">Bernard Lugan,</w:t>
      </w:r>
      <w:r>
        <w:t xml:space="preserve"> </w:t>
      </w:r>
      <w:r>
        <w:rPr>
          <w:iCs/>
          <w:i/>
        </w:rPr>
        <w:t xml:space="preserve">Histoire de l’Afrique du Nord</w:t>
      </w:r>
      <w:r>
        <w:t xml:space="preserve">, p. 88-89 ; Michel Abitbol,</w:t>
      </w:r>
      <w:r>
        <w:t xml:space="preserve"> </w:t>
      </w:r>
      <w:r>
        <w:rPr>
          <w:iCs/>
          <w:i/>
        </w:rPr>
        <w:t xml:space="preserve">Histoire du Maroc</w:t>
      </w:r>
      <w:r>
        <w:t xml:space="preserve">, p. 1030-1033.</w:t>
      </w:r>
    </w:p>
  </w:footnote>
  <w:footnote w:id="107">
    <w:p>
      <w:pPr>
        <w:pStyle w:val="FootnoteText"/>
      </w:pPr>
      <w:r>
        <w:rPr>
          <w:rStyle w:val="FootnoteReference"/>
        </w:rPr>
        <w:footnoteRef/>
      </w:r>
      <w:r>
        <w:t xml:space="preserve"> </w:t>
      </w:r>
      <w:r>
        <w:t xml:space="preserve">Lyautey, Discours du 7 mars 1916, cité dans Bernard Lugan, p. 109.</w:t>
      </w:r>
    </w:p>
  </w:footnote>
  <w:footnote w:id="108">
    <w:p>
      <w:pPr>
        <w:pStyle w:val="FootnoteText"/>
      </w:pPr>
      <w:r>
        <w:rPr>
          <w:rStyle w:val="FootnoteReference"/>
        </w:rPr>
        <w:footnoteRef/>
      </w:r>
      <w:r>
        <w:t xml:space="preserve"> </w:t>
      </w:r>
      <w:r>
        <w:t xml:space="preserve">CIJ,</w:t>
      </w:r>
      <w:r>
        <w:t xml:space="preserve"> </w:t>
      </w:r>
      <w:r>
        <w:rPr>
          <w:iCs/>
          <w:i/>
        </w:rPr>
        <w:t xml:space="preserve">Affaire relative aux droits des ressortissants des États-Unis d’Amérique au Maroc</w:t>
      </w:r>
      <w:r>
        <w:t xml:space="preserve">, Arrêt du 27 août 1952.</w:t>
      </w:r>
    </w:p>
  </w:footnote>
  <w:footnote w:id="111">
    <w:p>
      <w:pPr>
        <w:pStyle w:val="FootnoteText"/>
      </w:pPr>
      <w:r>
        <w:rPr>
          <w:rStyle w:val="FootnoteReference"/>
        </w:rPr>
        <w:footnoteRef/>
      </w:r>
      <w:r>
        <w:t xml:space="preserve"> </w:t>
      </w:r>
      <w:r>
        <w:rPr>
          <w:iCs/>
          <w:i/>
        </w:rPr>
        <w:t xml:space="preserve">Documents Diplomatiques</w:t>
      </w:r>
      <w:r>
        <w:t xml:space="preserve">, sur la crise de légitimité de 1912.</w:t>
      </w:r>
    </w:p>
  </w:footnote>
  <w:footnote w:id="121">
    <w:p>
      <w:pPr>
        <w:pStyle w:val="FootnoteText"/>
      </w:pPr>
      <w:r>
        <w:rPr>
          <w:rStyle w:val="FootnoteReference"/>
        </w:rPr>
        <w:footnoteRef/>
      </w:r>
      <w:r>
        <w:t xml:space="preserve"> </w:t>
      </w:r>
      <w:r>
        <w:t xml:space="preserve">Julien Durand de Sanctis et Jean-Noël Ferrié, « Morocco–French Relations and Foreign Policy in Africa: Postcolonial Legacy and Disruptions »,</w:t>
      </w:r>
      <w:r>
        <w:t xml:space="preserve"> </w:t>
      </w:r>
      <w:r>
        <w:rPr>
          <w:iCs/>
          <w:i/>
        </w:rPr>
        <w:t xml:space="preserve">Journal of North African Studies</w:t>
      </w:r>
      <w:r>
        <w:t xml:space="preserve">, 2025. Les auteurs démontrent que la politique africaine actuelle du Maroc réactive les substrats diplomatiques précoloniaux : réseaux commerciaux transsahariens, soft power religieux via la Tijaniyya, et légitimité du Commandeur des Croyants.</w:t>
      </w:r>
    </w:p>
  </w:footnote>
  <w:footnote w:id="122">
    <w:p>
      <w:pPr>
        <w:pStyle w:val="FootnoteText"/>
      </w:pPr>
      <w:r>
        <w:rPr>
          <w:rStyle w:val="FootnoteReference"/>
        </w:rPr>
        <w:footnoteRef/>
      </w:r>
      <w:r>
        <w:t xml:space="preserve"> </w:t>
      </w:r>
      <w:r>
        <w:t xml:space="preserve">Constitution du Royaume du Maroc (2011), articles 41 et 42.</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2026-01-31T19:46:25Z</dcterms:created>
  <dcterms:modified xsi:type="dcterms:W3CDTF">2026-01-31T19:46:25Z</dcterms:modified>
</cp:coreProperties>
</file>

<file path=docProps/custom.xml><?xml version="1.0" encoding="utf-8"?>
<Properties xmlns="http://schemas.openxmlformats.org/officeDocument/2006/custom-properties" xmlns:vt="http://schemas.openxmlformats.org/officeDocument/2006/docPropsVTypes"/>
</file>