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jc w:val="center"/>
      </w:pPr>
      <w:r>
        <w:rPr>
          <w:b/>
          <w:color w:val="C8102E"/>
          <w:sz w:val="40"/>
        </w:rPr>
        <w:t>MALAGASY</w:t>
      </w:r>
      <w:r>
        <w:rPr>
          <w:b/>
          <w:color w:val="007A3D"/>
          <w:sz w:val="40"/>
        </w:rPr>
        <w:t xml:space="preserve"> EVENTS</w:t>
      </w:r>
    </w:p>
    <w:p>
      <w:pPr>
        <w:spacing w:after="920"/>
      </w:pPr>
    </w:p>
    <w:p>
      <w:pPr>
        <w:spacing w:after="280"/>
        <w:jc w:val="center"/>
      </w:pPr>
      <w:r>
        <w:rPr>
          <w:rFonts w:ascii="Calibri" w:hAnsi="Calibri"/>
          <w:b/>
          <w:color w:val="202124"/>
          <w:sz w:val="62"/>
        </w:rPr>
        <w:t>Guide des fonctionnalités</w:t>
        <w:br/>
        <w:t>et des niveaux d’accès</w:t>
      </w:r>
    </w:p>
    <w:p>
      <w:pPr>
        <w:spacing w:after="560"/>
        <w:jc w:val="center"/>
      </w:pPr>
      <w:r>
        <w:rPr>
          <w:color w:val="666666"/>
          <w:sz w:val="28"/>
        </w:rPr>
        <w:t>Public  •  Inscrit  •  Premium  •  Organisateur</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tcMar>
              <w:top w:w="80" w:type="dxa"/>
              <w:start w:w="120" w:type="dxa"/>
              <w:bottom w:w="80" w:type="dxa"/>
              <w:end w:w="120" w:type="dxa"/>
            </w:tcMar>
            <w:vAlign w:val="center"/>
            <w:shd w:fill="FFFFFF"/>
          </w:tcPr>
          <w:p/>
        </w:tc>
        <w:tc>
          <w:tcPr>
            <w:tcW w:type="dxa" w:w="3120"/>
            <w:tcMar>
              <w:top w:w="80" w:type="dxa"/>
              <w:start w:w="120" w:type="dxa"/>
              <w:bottom w:w="80" w:type="dxa"/>
              <w:end w:w="120" w:type="dxa"/>
            </w:tcMar>
            <w:vAlign w:val="center"/>
            <w:shd w:fill="C8102E"/>
          </w:tcPr>
          <w:p/>
        </w:tc>
        <w:tc>
          <w:tcPr>
            <w:tcW w:type="dxa" w:w="3120"/>
            <w:tcMar>
              <w:top w:w="80" w:type="dxa"/>
              <w:start w:w="120" w:type="dxa"/>
              <w:bottom w:w="80" w:type="dxa"/>
              <w:end w:w="120" w:type="dxa"/>
            </w:tcMar>
            <w:vAlign w:val="center"/>
            <w:shd w:fill="007A3D"/>
          </w:tcPr>
          <w:p/>
        </w:tc>
      </w:tr>
    </w:tbl>
    <w:p>
      <w:pPr>
        <w:spacing w:after="1200"/>
      </w:pP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Mar>
              <w:top w:w="150" w:type="dxa"/>
              <w:start w:w="180" w:type="dxa"/>
              <w:bottom w:w="150" w:type="dxa"/>
              <w:end w:w="180" w:type="dxa"/>
            </w:tcMar>
            <w:vAlign w:val="center"/>
            <w:shd w:fill="F5F6F7"/>
          </w:tcPr>
          <w:p>
            <w:pPr>
              <w:spacing w:after="60"/>
            </w:pPr>
            <w:r>
              <w:rPr>
                <w:b/>
                <w:color w:val="007A3D"/>
                <w:sz w:val="17"/>
              </w:rPr>
              <w:t>OBJET DU DOCUMENT</w:t>
            </w:r>
          </w:p>
          <w:p>
            <w:pPr>
              <w:spacing w:after="0" w:line="269" w:lineRule="auto"/>
            </w:pPr>
            <w:r>
              <w:rPr>
                <w:color w:val="202124"/>
                <w:sz w:val="20"/>
              </w:rPr>
              <w:t>Présenter, onglet par onglet, ce que chaque type d’utilisateur peut consulter, faire et gérer sur Malagasy Events. Les fonctions encore en préparation sont signalées pour éviter toute confusion.</w:t>
            </w:r>
          </w:p>
        </w:tc>
      </w:tr>
    </w:tbl>
    <w:p>
      <w:pPr>
        <w:spacing w:after="0"/>
      </w:pPr>
    </w:p>
    <w:p>
      <w:pPr>
        <w:spacing w:before="440"/>
        <w:jc w:val="center"/>
      </w:pPr>
      <w:r>
        <w:rPr>
          <w:color w:val="666666"/>
          <w:sz w:val="18"/>
        </w:rPr>
        <w:t>Version 1.0  •  26 juillet 2026  •  France</w:t>
      </w:r>
    </w:p>
    <w:p>
      <w:r>
        <w:br w:type="page"/>
      </w:r>
    </w:p>
    <w:p>
      <w:pPr>
        <w:spacing w:after="80"/>
      </w:pPr>
      <w:r>
        <w:rPr>
          <w:rFonts w:ascii="Calibri" w:hAnsi="Calibri"/>
          <w:b/>
          <w:color w:val="007A3D"/>
          <w:sz w:val="18"/>
        </w:rPr>
        <w:t>MODE D’EMPLOI</w:t>
      </w:r>
    </w:p>
    <w:p>
      <w:pPr>
        <w:pStyle w:val="Title"/>
      </w:pPr>
      <w:r>
        <w:t>Les quatre niveaux d’accès</w:t>
      </w:r>
    </w:p>
    <w:p>
      <w:pPr>
        <w:pStyle w:val="Lead"/>
        <w:spacing w:after="240"/>
      </w:pPr>
      <w:r>
        <w:t>Les droits s’additionnent : un compte Premium conserve toutes les fonctions d’un compte inscrit ; un compte Organisateur dispose des fonctions membres et ajoute les outils de gestion professionnelle.</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c>
          <w:tcPr>
            <w:tcW w:type="dxa" w:w="2340"/>
            <w:tcMar>
              <w:top w:w="150" w:type="dxa"/>
              <w:start w:w="140" w:type="dxa"/>
              <w:bottom w:w="150" w:type="dxa"/>
              <w:end w:w="140" w:type="dxa"/>
            </w:tcMar>
            <w:vAlign w:val="center"/>
            <w:shd w:fill="EAF6EF"/>
          </w:tcPr>
          <w:p>
            <w:pPr>
              <w:spacing w:after="0" w:line="252" w:lineRule="auto"/>
            </w:pPr>
            <w:r/>
            <w:r>
              <w:rPr>
                <w:rFonts w:ascii="Calibri" w:hAnsi="Calibri"/>
                <w:b/>
                <w:color w:val="007A3D"/>
                <w:sz w:val="19"/>
              </w:rPr>
              <w:t>PUBLIC</w:t>
            </w:r>
          </w:p>
          <w:p>
            <w:pPr>
              <w:spacing w:after="80"/>
            </w:pPr>
            <w:r>
              <w:rPr>
                <w:b/>
                <w:color w:val="202124"/>
                <w:sz w:val="18"/>
              </w:rPr>
              <w:t>Sans compte</w:t>
            </w:r>
          </w:p>
          <w:p>
            <w:pPr>
              <w:spacing w:after="0" w:line="259" w:lineRule="auto"/>
            </w:pPr>
            <w:r>
              <w:rPr>
                <w:color w:val="666666"/>
                <w:sz w:val="16"/>
              </w:rPr>
              <w:t>Consulter, chercher, filtrer et partager les contenus publics.</w:t>
            </w:r>
          </w:p>
        </w:tc>
        <w:tc>
          <w:tcPr>
            <w:tcW w:type="dxa" w:w="2340"/>
            <w:tcMar>
              <w:top w:w="150" w:type="dxa"/>
              <w:start w:w="140" w:type="dxa"/>
              <w:bottom w:w="150" w:type="dxa"/>
              <w:end w:w="140" w:type="dxa"/>
            </w:tcMar>
            <w:vAlign w:val="center"/>
            <w:shd w:fill="FDECEF"/>
          </w:tcPr>
          <w:p>
            <w:pPr>
              <w:spacing w:after="0" w:line="252" w:lineRule="auto"/>
            </w:pPr>
            <w:r/>
            <w:r>
              <w:rPr>
                <w:rFonts w:ascii="Calibri" w:hAnsi="Calibri"/>
                <w:b/>
                <w:color w:val="C8102E"/>
                <w:sz w:val="19"/>
              </w:rPr>
              <w:t>INSCRIT</w:t>
            </w:r>
          </w:p>
          <w:p>
            <w:pPr>
              <w:spacing w:after="80"/>
            </w:pPr>
            <w:r>
              <w:rPr>
                <w:b/>
                <w:color w:val="202124"/>
                <w:sz w:val="18"/>
              </w:rPr>
              <w:t>Compte gratuit</w:t>
            </w:r>
          </w:p>
          <w:p>
            <w:pPr>
              <w:spacing w:after="0" w:line="259" w:lineRule="auto"/>
            </w:pPr>
            <w:r>
              <w:rPr>
                <w:color w:val="666666"/>
                <w:sz w:val="16"/>
              </w:rPr>
              <w:t>Interagir, publier, suivre, commenter, recevoir des notifications.</w:t>
            </w:r>
          </w:p>
        </w:tc>
        <w:tc>
          <w:tcPr>
            <w:tcW w:type="dxa" w:w="2340"/>
            <w:tcMar>
              <w:top w:w="150" w:type="dxa"/>
              <w:start w:w="140" w:type="dxa"/>
              <w:bottom w:w="150" w:type="dxa"/>
              <w:end w:w="140" w:type="dxa"/>
            </w:tcMar>
            <w:vAlign w:val="center"/>
            <w:shd w:fill="F0EDFF"/>
          </w:tcPr>
          <w:p>
            <w:pPr>
              <w:spacing w:after="0" w:line="252" w:lineRule="auto"/>
            </w:pPr>
            <w:r/>
            <w:r>
              <w:rPr>
                <w:rFonts w:ascii="Calibri" w:hAnsi="Calibri"/>
                <w:b/>
                <w:color w:val="3C3489"/>
                <w:sz w:val="19"/>
              </w:rPr>
              <w:t>PREMIUM</w:t>
            </w:r>
          </w:p>
          <w:p>
            <w:pPr>
              <w:spacing w:after="80"/>
            </w:pPr>
            <w:r>
              <w:rPr>
                <w:b/>
                <w:color w:val="202124"/>
                <w:sz w:val="18"/>
              </w:rPr>
              <w:t>2,50 € / mois</w:t>
            </w:r>
          </w:p>
          <w:p>
            <w:pPr>
              <w:spacing w:after="0" w:line="259" w:lineRule="auto"/>
            </w:pPr>
            <w:r>
              <w:rPr>
                <w:color w:val="666666"/>
                <w:sz w:val="16"/>
              </w:rPr>
              <w:t>Profiter des avantages et d’une visibilité renforcée.</w:t>
            </w:r>
          </w:p>
        </w:tc>
        <w:tc>
          <w:tcPr>
            <w:tcW w:type="dxa" w:w="2340"/>
            <w:tcMar>
              <w:top w:w="150" w:type="dxa"/>
              <w:start w:w="140" w:type="dxa"/>
              <w:bottom w:w="150" w:type="dxa"/>
              <w:end w:w="140" w:type="dxa"/>
            </w:tcMar>
            <w:vAlign w:val="center"/>
            <w:shd w:fill="FFF7DA"/>
          </w:tcPr>
          <w:p>
            <w:pPr>
              <w:spacing w:after="0" w:line="252" w:lineRule="auto"/>
            </w:pPr>
            <w:r/>
            <w:r>
              <w:rPr>
                <w:rFonts w:ascii="Calibri" w:hAnsi="Calibri"/>
                <w:b/>
                <w:color w:val="B8860B"/>
                <w:sz w:val="19"/>
              </w:rPr>
              <w:t>ORGANISATEUR</w:t>
            </w:r>
          </w:p>
          <w:p>
            <w:pPr>
              <w:spacing w:after="80"/>
            </w:pPr>
            <w:r>
              <w:rPr>
                <w:b/>
                <w:color w:val="202124"/>
                <w:sz w:val="18"/>
              </w:rPr>
              <w:t>15 € / mois</w:t>
            </w:r>
          </w:p>
          <w:p>
            <w:pPr>
              <w:spacing w:after="0" w:line="259" w:lineRule="auto"/>
            </w:pPr>
            <w:r>
              <w:rPr>
                <w:color w:val="666666"/>
                <w:sz w:val="16"/>
              </w:rPr>
              <w:t>Gérer une fiche, publier directement et animer sa communauté.</w:t>
            </w:r>
          </w:p>
        </w:tc>
      </w:tr>
    </w:tbl>
    <w:p/>
    <w:p>
      <w:pPr>
        <w:pStyle w:val="Heading1"/>
      </w:pPr>
      <w:r>
        <w:t>Repères utilisés dans ce guide</w:t>
      </w:r>
    </w:p>
    <w:p>
      <w:pPr>
        <w:pStyle w:val="ListBullet"/>
        <w:spacing w:after="60"/>
      </w:pPr>
      <w:r>
        <w:rPr>
          <w:color w:val="202124"/>
        </w:rPr>
        <w:t>Disponible : la fonction est utilisable dans la version actuelle du site.</w:t>
      </w:r>
    </w:p>
    <w:p>
      <w:pPr>
        <w:pStyle w:val="ListBullet"/>
        <w:spacing w:after="60"/>
      </w:pPr>
      <w:r>
        <w:rPr>
          <w:color w:val="202124"/>
        </w:rPr>
        <w:t>Connexion requise : le contenu ou l’action est réservé aux membres.</w:t>
      </w:r>
    </w:p>
    <w:p>
      <w:pPr>
        <w:pStyle w:val="ListBullet"/>
        <w:spacing w:after="60"/>
      </w:pPr>
      <w:r>
        <w:rPr>
          <w:color w:val="202124"/>
        </w:rPr>
        <w:t>Réservé Premium / Organisateur : l’accès dépend du forfait actif.</w:t>
      </w:r>
    </w:p>
    <w:p>
      <w:pPr>
        <w:pStyle w:val="ListBullet"/>
        <w:spacing w:after="60"/>
      </w:pPr>
      <w:r>
        <w:rPr>
          <w:color w:val="202124"/>
        </w:rPr>
        <w:t>Bientôt : l’interface ou l’avantage est annoncé, mais dépend encore d’une activation, d’un paiement ou d’un partenaire.</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Mar>
              <w:top w:w="150" w:type="dxa"/>
              <w:start w:w="180" w:type="dxa"/>
              <w:bottom w:w="150" w:type="dxa"/>
              <w:end w:w="180" w:type="dxa"/>
            </w:tcMar>
            <w:vAlign w:val="center"/>
            <w:shd w:fill="EAF6EF"/>
          </w:tcPr>
          <w:p>
            <w:pPr>
              <w:spacing w:after="60"/>
            </w:pPr>
            <w:r>
              <w:rPr>
                <w:b/>
                <w:color w:val="007A3D"/>
                <w:sz w:val="17"/>
              </w:rPr>
              <w:t>PRINCIPE GÉNÉRAL</w:t>
            </w:r>
          </w:p>
          <w:p>
            <w:pPr>
              <w:spacing w:after="0" w:line="269" w:lineRule="auto"/>
            </w:pPr>
            <w:r>
              <w:rPr>
                <w:color w:val="202124"/>
                <w:sz w:val="20"/>
              </w:rPr>
              <w:t>Les pages d’information et les annuaires restent largement publics pour favoriser le référencement Google. Les fonctions sociales, personnelles et de gestion demandent une connexion.</w:t>
            </w:r>
          </w:p>
        </w:tc>
      </w:tr>
    </w:tbl>
    <w:p>
      <w:pPr>
        <w:spacing w:after="0"/>
      </w:pPr>
    </w:p>
    <w:p>
      <w:r>
        <w:br w:type="page"/>
      </w:r>
    </w:p>
    <w:p>
      <w:pPr>
        <w:spacing w:after="80"/>
      </w:pPr>
      <w:r>
        <w:rPr>
          <w:rFonts w:ascii="Calibri" w:hAnsi="Calibri"/>
          <w:b/>
          <w:color w:val="007A3D"/>
          <w:sz w:val="18"/>
        </w:rPr>
        <w:t>MATRICE DES ACCÈS</w:t>
      </w:r>
    </w:p>
    <w:p>
      <w:pPr>
        <w:pStyle w:val="Title"/>
      </w:pPr>
      <w:r>
        <w:t>Vue d’ensemble par onglet</w:t>
      </w:r>
    </w:p>
    <w:p>
      <w:pPr>
        <w:pStyle w:val="Lead"/>
        <w:spacing w:after="240"/>
      </w:pPr>
      <w:r>
        <w:t>Cette matrice donne le niveau d’action principal. Les pages suivantes détaillent les fonctions et les limites de chaque onglet.</w:t>
      </w:r>
    </w:p>
    <w:tbl>
      <w:tblPr>
        <w:tblStyle w:val="TableGrid"/>
        <w:tblW w:type="dxa" w:w="9360"/>
        <w:jc w:val="center"/>
        <w:tblLayout w:type="fixed"/>
        <w:tblLook w:firstColumn="1" w:firstRow="1" w:lastColumn="0" w:lastRow="0" w:noHBand="0" w:noVBand="1" w:val="04A0"/>
      </w:tblPr>
      <w:tblGrid>
        <w:gridCol w:w="1900"/>
        <w:gridCol w:w="1765"/>
        <w:gridCol w:w="1895"/>
        <w:gridCol w:w="1850"/>
        <w:gridCol w:w="1950"/>
      </w:tblGrid>
      <w:tr>
        <w:trPr>
          <w:tblHeader w:val="true"/>
        </w:trPr>
        <w:tc>
          <w:tcPr>
            <w:tcW w:type="dxa" w:w="1900"/>
            <w:tcMar>
              <w:top w:w="80" w:type="dxa"/>
              <w:start w:w="120" w:type="dxa"/>
              <w:bottom w:w="80" w:type="dxa"/>
              <w:end w:w="120" w:type="dxa"/>
            </w:tcMar>
            <w:vAlign w:val="center"/>
            <w:shd w:fill="202124"/>
          </w:tcPr>
          <w:p>
            <w:pPr>
              <w:spacing w:after="0" w:line="252" w:lineRule="auto"/>
              <w:jc w:val="center"/>
            </w:pPr>
            <w:r/>
            <w:r>
              <w:rPr>
                <w:rFonts w:ascii="Calibri" w:hAnsi="Calibri"/>
                <w:b/>
                <w:color w:val="FFFFFF"/>
                <w:sz w:val="17"/>
              </w:rPr>
              <w:t>Onglet</w:t>
            </w:r>
          </w:p>
        </w:tc>
        <w:tc>
          <w:tcPr>
            <w:tcW w:type="dxa" w:w="1765"/>
            <w:tcMar>
              <w:top w:w="80" w:type="dxa"/>
              <w:start w:w="120" w:type="dxa"/>
              <w:bottom w:w="80" w:type="dxa"/>
              <w:end w:w="120" w:type="dxa"/>
            </w:tcMar>
            <w:vAlign w:val="center"/>
            <w:shd w:fill="007A3D"/>
          </w:tcPr>
          <w:p>
            <w:pPr>
              <w:spacing w:after="0" w:line="252" w:lineRule="auto"/>
              <w:jc w:val="center"/>
            </w:pPr>
            <w:r/>
            <w:r>
              <w:rPr>
                <w:rFonts w:ascii="Calibri" w:hAnsi="Calibri"/>
                <w:b/>
                <w:color w:val="FFFFFF"/>
                <w:sz w:val="17"/>
              </w:rPr>
              <w:t>Public</w:t>
            </w:r>
          </w:p>
        </w:tc>
        <w:tc>
          <w:tcPr>
            <w:tcW w:type="dxa" w:w="1895"/>
            <w:tcMar>
              <w:top w:w="80" w:type="dxa"/>
              <w:start w:w="120" w:type="dxa"/>
              <w:bottom w:w="80" w:type="dxa"/>
              <w:end w:w="120" w:type="dxa"/>
            </w:tcMar>
            <w:vAlign w:val="center"/>
            <w:shd w:fill="C8102E"/>
          </w:tcPr>
          <w:p>
            <w:pPr>
              <w:spacing w:after="0" w:line="252" w:lineRule="auto"/>
              <w:jc w:val="center"/>
            </w:pPr>
            <w:r/>
            <w:r>
              <w:rPr>
                <w:rFonts w:ascii="Calibri" w:hAnsi="Calibri"/>
                <w:b/>
                <w:color w:val="FFFFFF"/>
                <w:sz w:val="17"/>
              </w:rPr>
              <w:t>Inscrit</w:t>
            </w:r>
          </w:p>
        </w:tc>
        <w:tc>
          <w:tcPr>
            <w:tcW w:type="dxa" w:w="1850"/>
            <w:tcMar>
              <w:top w:w="80" w:type="dxa"/>
              <w:start w:w="120" w:type="dxa"/>
              <w:bottom w:w="80" w:type="dxa"/>
              <w:end w:w="120" w:type="dxa"/>
            </w:tcMar>
            <w:vAlign w:val="center"/>
            <w:shd w:fill="3C3489"/>
          </w:tcPr>
          <w:p>
            <w:pPr>
              <w:spacing w:after="0" w:line="252" w:lineRule="auto"/>
              <w:jc w:val="center"/>
            </w:pPr>
            <w:r/>
            <w:r>
              <w:rPr>
                <w:rFonts w:ascii="Calibri" w:hAnsi="Calibri"/>
                <w:b/>
                <w:color w:val="FFFFFF"/>
                <w:sz w:val="17"/>
              </w:rPr>
              <w:t>Premium</w:t>
            </w:r>
          </w:p>
        </w:tc>
        <w:tc>
          <w:tcPr>
            <w:tcW w:type="dxa" w:w="1950"/>
            <w:tcMar>
              <w:top w:w="80" w:type="dxa"/>
              <w:start w:w="120" w:type="dxa"/>
              <w:bottom w:w="80" w:type="dxa"/>
              <w:end w:w="120" w:type="dxa"/>
            </w:tcMar>
            <w:vAlign w:val="center"/>
            <w:shd w:fill="B8860B"/>
          </w:tcPr>
          <w:p>
            <w:pPr>
              <w:spacing w:after="0" w:line="252" w:lineRule="auto"/>
              <w:jc w:val="center"/>
            </w:pPr>
            <w:r/>
            <w:r>
              <w:rPr>
                <w:rFonts w:ascii="Calibri" w:hAnsi="Calibri"/>
                <w:b/>
                <w:color w:val="FFFFFF"/>
                <w:sz w:val="17"/>
              </w:rPr>
              <w:t>Organisateur</w:t>
            </w:r>
          </w:p>
        </w:tc>
      </w:tr>
      <w:tr>
        <w:tc>
          <w:tcPr>
            <w:tcW w:type="dxa" w:w="1900"/>
            <w:shd w:fill="FFFFFF"/>
          </w:tcPr>
          <w:p>
            <w:pPr>
              <w:spacing w:after="0" w:line="252" w:lineRule="auto"/>
            </w:pPr>
            <w:r/>
            <w:r>
              <w:rPr>
                <w:rFonts w:ascii="Calibri" w:hAnsi="Calibri"/>
                <w:b/>
                <w:color w:val="202124"/>
                <w:sz w:val="16"/>
              </w:rPr>
              <w:t>Événements</w:t>
            </w:r>
          </w:p>
        </w:tc>
        <w:tc>
          <w:tcPr>
            <w:tcW w:type="dxa" w:w="1765"/>
            <w:shd w:fill="FFFFFF"/>
          </w:tcPr>
          <w:p>
            <w:pPr>
              <w:spacing w:after="0" w:line="252" w:lineRule="auto"/>
            </w:pPr>
            <w:r/>
            <w:r>
              <w:rPr>
                <w:rFonts w:ascii="Calibri" w:hAnsi="Calibri"/>
                <w:b w:val="0"/>
                <w:color w:val="202124"/>
                <w:sz w:val="16"/>
              </w:rPr>
              <w:t>Lire / filtrer</w:t>
            </w:r>
          </w:p>
        </w:tc>
        <w:tc>
          <w:tcPr>
            <w:tcW w:type="dxa" w:w="1895"/>
            <w:shd w:fill="FFFFFF"/>
          </w:tcPr>
          <w:p>
            <w:pPr>
              <w:spacing w:after="0" w:line="252" w:lineRule="auto"/>
            </w:pPr>
            <w:r/>
            <w:r>
              <w:rPr>
                <w:rFonts w:ascii="Calibri" w:hAnsi="Calibri"/>
                <w:b w:val="0"/>
                <w:color w:val="202124"/>
                <w:sz w:val="16"/>
              </w:rPr>
              <w:t>Interagir / proposer</w:t>
            </w:r>
          </w:p>
        </w:tc>
        <w:tc>
          <w:tcPr>
            <w:tcW w:type="dxa" w:w="1850"/>
            <w:shd w:fill="FFFFFF"/>
          </w:tcPr>
          <w:p>
            <w:pPr>
              <w:spacing w:after="0" w:line="252" w:lineRule="auto"/>
            </w:pPr>
            <w:r/>
            <w:r>
              <w:rPr>
                <w:rFonts w:ascii="Calibri" w:hAnsi="Calibri"/>
                <w:b w:val="0"/>
                <w:color w:val="202124"/>
                <w:sz w:val="16"/>
              </w:rPr>
              <w:t>Même accès + badge</w:t>
            </w:r>
          </w:p>
        </w:tc>
        <w:tc>
          <w:tcPr>
            <w:tcW w:type="dxa" w:w="1950"/>
            <w:shd w:fill="FFFFFF"/>
          </w:tcPr>
          <w:p>
            <w:pPr>
              <w:spacing w:after="0" w:line="252" w:lineRule="auto"/>
            </w:pPr>
            <w:r/>
            <w:r>
              <w:rPr>
                <w:rFonts w:ascii="Calibri" w:hAnsi="Calibri"/>
                <w:b w:val="0"/>
                <w:color w:val="202124"/>
                <w:sz w:val="16"/>
              </w:rPr>
              <w:t>Publier / gérer</w:t>
            </w:r>
          </w:p>
        </w:tc>
      </w:tr>
      <w:tr>
        <w:tc>
          <w:tcPr>
            <w:tcW w:type="dxa" w:w="1900"/>
            <w:shd w:fill="F5F6F7"/>
          </w:tcPr>
          <w:p>
            <w:pPr>
              <w:spacing w:after="0" w:line="252" w:lineRule="auto"/>
            </w:pPr>
            <w:r/>
            <w:r>
              <w:rPr>
                <w:rFonts w:ascii="Calibri" w:hAnsi="Calibri"/>
                <w:b/>
                <w:color w:val="202124"/>
                <w:sz w:val="16"/>
              </w:rPr>
              <w:t>Diaspora</w:t>
            </w:r>
          </w:p>
        </w:tc>
        <w:tc>
          <w:tcPr>
            <w:tcW w:type="dxa" w:w="1765"/>
            <w:shd w:fill="F5F6F7"/>
          </w:tcPr>
          <w:p>
            <w:pPr>
              <w:spacing w:after="0" w:line="252" w:lineRule="auto"/>
            </w:pPr>
            <w:r/>
            <w:r>
              <w:rPr>
                <w:rFonts w:ascii="Calibri" w:hAnsi="Calibri"/>
                <w:b w:val="0"/>
                <w:color w:val="202124"/>
                <w:sz w:val="16"/>
              </w:rPr>
              <w:t>Accès complet</w:t>
            </w:r>
          </w:p>
        </w:tc>
        <w:tc>
          <w:tcPr>
            <w:tcW w:type="dxa" w:w="1895"/>
            <w:shd w:fill="F5F6F7"/>
          </w:tcPr>
          <w:p>
            <w:pPr>
              <w:spacing w:after="0" w:line="252" w:lineRule="auto"/>
            </w:pPr>
            <w:r/>
            <w:r>
              <w:rPr>
                <w:rFonts w:ascii="Calibri" w:hAnsi="Calibri"/>
                <w:b w:val="0"/>
                <w:color w:val="202124"/>
                <w:sz w:val="16"/>
              </w:rPr>
              <w:t>Accès complet</w:t>
            </w:r>
          </w:p>
        </w:tc>
        <w:tc>
          <w:tcPr>
            <w:tcW w:type="dxa" w:w="1850"/>
            <w:shd w:fill="F5F6F7"/>
          </w:tcPr>
          <w:p>
            <w:pPr>
              <w:spacing w:after="0" w:line="252" w:lineRule="auto"/>
            </w:pPr>
            <w:r/>
            <w:r>
              <w:rPr>
                <w:rFonts w:ascii="Calibri" w:hAnsi="Calibri"/>
                <w:b w:val="0"/>
                <w:color w:val="202124"/>
                <w:sz w:val="16"/>
              </w:rPr>
              <w:t>Accès complet</w:t>
            </w:r>
          </w:p>
        </w:tc>
        <w:tc>
          <w:tcPr>
            <w:tcW w:type="dxa" w:w="1950"/>
            <w:shd w:fill="F5F6F7"/>
          </w:tcPr>
          <w:p>
            <w:pPr>
              <w:spacing w:after="0" w:line="252" w:lineRule="auto"/>
            </w:pPr>
            <w:r/>
            <w:r>
              <w:rPr>
                <w:rFonts w:ascii="Calibri" w:hAnsi="Calibri"/>
                <w:b w:val="0"/>
                <w:color w:val="202124"/>
                <w:sz w:val="16"/>
              </w:rPr>
              <w:t>Accès complet</w:t>
            </w:r>
          </w:p>
        </w:tc>
      </w:tr>
      <w:tr>
        <w:tc>
          <w:tcPr>
            <w:tcW w:type="dxa" w:w="1900"/>
            <w:shd w:fill="FFFFFF"/>
          </w:tcPr>
          <w:p>
            <w:pPr>
              <w:spacing w:after="0" w:line="252" w:lineRule="auto"/>
            </w:pPr>
            <w:r/>
            <w:r>
              <w:rPr>
                <w:rFonts w:ascii="Calibri" w:hAnsi="Calibri"/>
                <w:b/>
                <w:color w:val="202124"/>
                <w:sz w:val="16"/>
              </w:rPr>
              <w:t>Gastronomie</w:t>
            </w:r>
          </w:p>
        </w:tc>
        <w:tc>
          <w:tcPr>
            <w:tcW w:type="dxa" w:w="1765"/>
            <w:shd w:fill="FFFFFF"/>
          </w:tcPr>
          <w:p>
            <w:pPr>
              <w:spacing w:after="0" w:line="252" w:lineRule="auto"/>
            </w:pPr>
            <w:r/>
            <w:r>
              <w:rPr>
                <w:rFonts w:ascii="Calibri" w:hAnsi="Calibri"/>
                <w:b w:val="0"/>
                <w:color w:val="202124"/>
                <w:sz w:val="16"/>
              </w:rPr>
              <w:t>Annuaire / carte</w:t>
            </w:r>
          </w:p>
        </w:tc>
        <w:tc>
          <w:tcPr>
            <w:tcW w:type="dxa" w:w="1895"/>
            <w:shd w:fill="FFFFFF"/>
          </w:tcPr>
          <w:p>
            <w:pPr>
              <w:spacing w:after="0" w:line="252" w:lineRule="auto"/>
            </w:pPr>
            <w:r/>
            <w:r>
              <w:rPr>
                <w:rFonts w:ascii="Calibri" w:hAnsi="Calibri"/>
                <w:b w:val="0"/>
                <w:color w:val="202124"/>
                <w:sz w:val="16"/>
              </w:rPr>
              <w:t>Annuaire / carte</w:t>
            </w:r>
          </w:p>
        </w:tc>
        <w:tc>
          <w:tcPr>
            <w:tcW w:type="dxa" w:w="1850"/>
            <w:shd w:fill="FFFFFF"/>
          </w:tcPr>
          <w:p>
            <w:pPr>
              <w:spacing w:after="0" w:line="252" w:lineRule="auto"/>
            </w:pPr>
            <w:r/>
            <w:r>
              <w:rPr>
                <w:rFonts w:ascii="Calibri" w:hAnsi="Calibri"/>
                <w:b w:val="0"/>
                <w:color w:val="202124"/>
                <w:sz w:val="16"/>
              </w:rPr>
              <w:t>Avantages partenaires</w:t>
            </w:r>
          </w:p>
        </w:tc>
        <w:tc>
          <w:tcPr>
            <w:tcW w:type="dxa" w:w="1950"/>
            <w:shd w:fill="FFFFFF"/>
          </w:tcPr>
          <w:p>
            <w:pPr>
              <w:spacing w:after="0" w:line="252" w:lineRule="auto"/>
            </w:pPr>
            <w:r/>
            <w:r>
              <w:rPr>
                <w:rFonts w:ascii="Calibri" w:hAnsi="Calibri"/>
                <w:b w:val="0"/>
                <w:color w:val="202124"/>
                <w:sz w:val="16"/>
              </w:rPr>
              <w:t>Référencement pro</w:t>
            </w:r>
          </w:p>
        </w:tc>
      </w:tr>
      <w:tr>
        <w:tc>
          <w:tcPr>
            <w:tcW w:type="dxa" w:w="1900"/>
            <w:shd w:fill="F5F6F7"/>
          </w:tcPr>
          <w:p>
            <w:pPr>
              <w:spacing w:after="0" w:line="252" w:lineRule="auto"/>
            </w:pPr>
            <w:r/>
            <w:r>
              <w:rPr>
                <w:rFonts w:ascii="Calibri" w:hAnsi="Calibri"/>
                <w:b/>
                <w:color w:val="202124"/>
                <w:sz w:val="16"/>
              </w:rPr>
              <w:t>Professionnels</w:t>
            </w:r>
          </w:p>
        </w:tc>
        <w:tc>
          <w:tcPr>
            <w:tcW w:type="dxa" w:w="1765"/>
            <w:shd w:fill="F5F6F7"/>
          </w:tcPr>
          <w:p>
            <w:pPr>
              <w:spacing w:after="0" w:line="252" w:lineRule="auto"/>
            </w:pPr>
            <w:r/>
            <w:r>
              <w:rPr>
                <w:rFonts w:ascii="Calibri" w:hAnsi="Calibri"/>
                <w:b w:val="0"/>
                <w:color w:val="202124"/>
                <w:sz w:val="16"/>
              </w:rPr>
              <w:t>Annuaire / fiches</w:t>
            </w:r>
          </w:p>
        </w:tc>
        <w:tc>
          <w:tcPr>
            <w:tcW w:type="dxa" w:w="1895"/>
            <w:shd w:fill="F5F6F7"/>
          </w:tcPr>
          <w:p>
            <w:pPr>
              <w:spacing w:after="0" w:line="252" w:lineRule="auto"/>
            </w:pPr>
            <w:r/>
            <w:r>
              <w:rPr>
                <w:rFonts w:ascii="Calibri" w:hAnsi="Calibri"/>
                <w:b w:val="0"/>
                <w:color w:val="202124"/>
                <w:sz w:val="16"/>
              </w:rPr>
              <w:t>Suivre / contacter</w:t>
            </w:r>
          </w:p>
        </w:tc>
        <w:tc>
          <w:tcPr>
            <w:tcW w:type="dxa" w:w="1850"/>
            <w:shd w:fill="F5F6F7"/>
          </w:tcPr>
          <w:p>
            <w:pPr>
              <w:spacing w:after="0" w:line="252" w:lineRule="auto"/>
            </w:pPr>
            <w:r/>
            <w:r>
              <w:rPr>
                <w:rFonts w:ascii="Calibri" w:hAnsi="Calibri"/>
                <w:b w:val="0"/>
                <w:color w:val="202124"/>
                <w:sz w:val="16"/>
              </w:rPr>
              <w:t>Accès complet</w:t>
            </w:r>
          </w:p>
        </w:tc>
        <w:tc>
          <w:tcPr>
            <w:tcW w:type="dxa" w:w="1950"/>
            <w:shd w:fill="F5F6F7"/>
          </w:tcPr>
          <w:p>
            <w:pPr>
              <w:spacing w:after="0" w:line="252" w:lineRule="auto"/>
            </w:pPr>
            <w:r/>
            <w:r>
              <w:rPr>
                <w:rFonts w:ascii="Calibri" w:hAnsi="Calibri"/>
                <w:b w:val="0"/>
                <w:color w:val="202124"/>
                <w:sz w:val="16"/>
              </w:rPr>
              <w:t>Gérer sa fiche</w:t>
            </w:r>
          </w:p>
        </w:tc>
      </w:tr>
      <w:tr>
        <w:tc>
          <w:tcPr>
            <w:tcW w:type="dxa" w:w="1900"/>
            <w:shd w:fill="FFFFFF"/>
          </w:tcPr>
          <w:p>
            <w:pPr>
              <w:spacing w:after="0" w:line="252" w:lineRule="auto"/>
            </w:pPr>
            <w:r/>
            <w:r>
              <w:rPr>
                <w:rFonts w:ascii="Calibri" w:hAnsi="Calibri"/>
                <w:b/>
                <w:color w:val="202124"/>
                <w:sz w:val="16"/>
              </w:rPr>
              <w:t>Églises</w:t>
            </w:r>
          </w:p>
        </w:tc>
        <w:tc>
          <w:tcPr>
            <w:tcW w:type="dxa" w:w="1765"/>
            <w:shd w:fill="FFFFFF"/>
          </w:tcPr>
          <w:p>
            <w:pPr>
              <w:spacing w:after="0" w:line="252" w:lineRule="auto"/>
            </w:pPr>
            <w:r/>
            <w:r>
              <w:rPr>
                <w:rFonts w:ascii="Calibri" w:hAnsi="Calibri"/>
                <w:b w:val="0"/>
                <w:color w:val="202124"/>
                <w:sz w:val="16"/>
              </w:rPr>
              <w:t>Annuaire / carte</w:t>
            </w:r>
          </w:p>
        </w:tc>
        <w:tc>
          <w:tcPr>
            <w:tcW w:type="dxa" w:w="1895"/>
            <w:shd w:fill="FFFFFF"/>
          </w:tcPr>
          <w:p>
            <w:pPr>
              <w:spacing w:after="0" w:line="252" w:lineRule="auto"/>
            </w:pPr>
            <w:r/>
            <w:r>
              <w:rPr>
                <w:rFonts w:ascii="Calibri" w:hAnsi="Calibri"/>
                <w:b w:val="0"/>
                <w:color w:val="202124"/>
                <w:sz w:val="16"/>
              </w:rPr>
              <w:t>Accès complet</w:t>
            </w:r>
          </w:p>
        </w:tc>
        <w:tc>
          <w:tcPr>
            <w:tcW w:type="dxa" w:w="1850"/>
            <w:shd w:fill="FFFFFF"/>
          </w:tcPr>
          <w:p>
            <w:pPr>
              <w:spacing w:after="0" w:line="252" w:lineRule="auto"/>
            </w:pPr>
            <w:r/>
            <w:r>
              <w:rPr>
                <w:rFonts w:ascii="Calibri" w:hAnsi="Calibri"/>
                <w:b w:val="0"/>
                <w:color w:val="202124"/>
                <w:sz w:val="16"/>
              </w:rPr>
              <w:t>Accès complet</w:t>
            </w:r>
          </w:p>
        </w:tc>
        <w:tc>
          <w:tcPr>
            <w:tcW w:type="dxa" w:w="1950"/>
            <w:shd w:fill="FFFFFF"/>
          </w:tcPr>
          <w:p>
            <w:pPr>
              <w:spacing w:after="0" w:line="252" w:lineRule="auto"/>
            </w:pPr>
            <w:r/>
            <w:r>
              <w:rPr>
                <w:rFonts w:ascii="Calibri" w:hAnsi="Calibri"/>
                <w:b w:val="0"/>
                <w:color w:val="202124"/>
                <w:sz w:val="16"/>
              </w:rPr>
              <w:t>Référencement</w:t>
            </w:r>
          </w:p>
        </w:tc>
      </w:tr>
      <w:tr>
        <w:tc>
          <w:tcPr>
            <w:tcW w:type="dxa" w:w="1900"/>
            <w:shd w:fill="F5F6F7"/>
          </w:tcPr>
          <w:p>
            <w:pPr>
              <w:spacing w:after="0" w:line="252" w:lineRule="auto"/>
            </w:pPr>
            <w:r/>
            <w:r>
              <w:rPr>
                <w:rFonts w:ascii="Calibri" w:hAnsi="Calibri"/>
                <w:b/>
                <w:color w:val="202124"/>
                <w:sz w:val="16"/>
              </w:rPr>
              <w:t>Sportifs</w:t>
            </w:r>
          </w:p>
        </w:tc>
        <w:tc>
          <w:tcPr>
            <w:tcW w:type="dxa" w:w="1765"/>
            <w:shd w:fill="F5F6F7"/>
          </w:tcPr>
          <w:p>
            <w:pPr>
              <w:spacing w:after="0" w:line="252" w:lineRule="auto"/>
            </w:pPr>
            <w:r/>
            <w:r>
              <w:rPr>
                <w:rFonts w:ascii="Calibri" w:hAnsi="Calibri"/>
                <w:b w:val="0"/>
                <w:color w:val="202124"/>
                <w:sz w:val="16"/>
              </w:rPr>
              <w:t>Clubs + événements</w:t>
            </w:r>
          </w:p>
        </w:tc>
        <w:tc>
          <w:tcPr>
            <w:tcW w:type="dxa" w:w="1895"/>
            <w:shd w:fill="F5F6F7"/>
          </w:tcPr>
          <w:p>
            <w:pPr>
              <w:spacing w:after="0" w:line="252" w:lineRule="auto"/>
            </w:pPr>
            <w:r/>
            <w:r>
              <w:rPr>
                <w:rFonts w:ascii="Calibri" w:hAnsi="Calibri"/>
                <w:b w:val="0"/>
                <w:color w:val="202124"/>
                <w:sz w:val="16"/>
              </w:rPr>
              <w:t>Suivre / interagir</w:t>
            </w:r>
          </w:p>
        </w:tc>
        <w:tc>
          <w:tcPr>
            <w:tcW w:type="dxa" w:w="1850"/>
            <w:shd w:fill="F5F6F7"/>
          </w:tcPr>
          <w:p>
            <w:pPr>
              <w:spacing w:after="0" w:line="252" w:lineRule="auto"/>
            </w:pPr>
            <w:r/>
            <w:r>
              <w:rPr>
                <w:rFonts w:ascii="Calibri" w:hAnsi="Calibri"/>
                <w:b w:val="0"/>
                <w:color w:val="202124"/>
                <w:sz w:val="16"/>
              </w:rPr>
              <w:t>Accès complet</w:t>
            </w:r>
          </w:p>
        </w:tc>
        <w:tc>
          <w:tcPr>
            <w:tcW w:type="dxa" w:w="1950"/>
            <w:shd w:fill="F5F6F7"/>
          </w:tcPr>
          <w:p>
            <w:pPr>
              <w:spacing w:after="0" w:line="252" w:lineRule="auto"/>
            </w:pPr>
            <w:r/>
            <w:r>
              <w:rPr>
                <w:rFonts w:ascii="Calibri" w:hAnsi="Calibri"/>
                <w:b w:val="0"/>
                <w:color w:val="202124"/>
                <w:sz w:val="16"/>
              </w:rPr>
              <w:t>Gérer sa fiche</w:t>
            </w:r>
          </w:p>
        </w:tc>
      </w:tr>
      <w:tr>
        <w:tc>
          <w:tcPr>
            <w:tcW w:type="dxa" w:w="1900"/>
            <w:shd w:fill="FFFFFF"/>
          </w:tcPr>
          <w:p>
            <w:pPr>
              <w:spacing w:after="0" w:line="252" w:lineRule="auto"/>
            </w:pPr>
            <w:r/>
            <w:r>
              <w:rPr>
                <w:rFonts w:ascii="Calibri" w:hAnsi="Calibri"/>
                <w:b/>
                <w:color w:val="202124"/>
                <w:sz w:val="16"/>
              </w:rPr>
              <w:t>Boutiques</w:t>
            </w:r>
          </w:p>
        </w:tc>
        <w:tc>
          <w:tcPr>
            <w:tcW w:type="dxa" w:w="1765"/>
            <w:shd w:fill="FFFFFF"/>
          </w:tcPr>
          <w:p>
            <w:pPr>
              <w:spacing w:after="0" w:line="252" w:lineRule="auto"/>
            </w:pPr>
            <w:r/>
            <w:r>
              <w:rPr>
                <w:rFonts w:ascii="Calibri" w:hAnsi="Calibri"/>
                <w:b w:val="0"/>
                <w:color w:val="202124"/>
                <w:sz w:val="16"/>
              </w:rPr>
              <w:t>Annuaire / carte</w:t>
            </w:r>
          </w:p>
        </w:tc>
        <w:tc>
          <w:tcPr>
            <w:tcW w:type="dxa" w:w="1895"/>
            <w:shd w:fill="FFFFFF"/>
          </w:tcPr>
          <w:p>
            <w:pPr>
              <w:spacing w:after="0" w:line="252" w:lineRule="auto"/>
            </w:pPr>
            <w:r/>
            <w:r>
              <w:rPr>
                <w:rFonts w:ascii="Calibri" w:hAnsi="Calibri"/>
                <w:b w:val="0"/>
                <w:color w:val="202124"/>
                <w:sz w:val="16"/>
              </w:rPr>
              <w:t>Accès complet</w:t>
            </w:r>
          </w:p>
        </w:tc>
        <w:tc>
          <w:tcPr>
            <w:tcW w:type="dxa" w:w="1850"/>
            <w:shd w:fill="FFFFFF"/>
          </w:tcPr>
          <w:p>
            <w:pPr>
              <w:spacing w:after="0" w:line="252" w:lineRule="auto"/>
            </w:pPr>
            <w:r/>
            <w:r>
              <w:rPr>
                <w:rFonts w:ascii="Calibri" w:hAnsi="Calibri"/>
                <w:b w:val="0"/>
                <w:color w:val="202124"/>
                <w:sz w:val="16"/>
              </w:rPr>
              <w:t>Réductions partenaires</w:t>
            </w:r>
          </w:p>
        </w:tc>
        <w:tc>
          <w:tcPr>
            <w:tcW w:type="dxa" w:w="1950"/>
            <w:shd w:fill="FFFFFF"/>
          </w:tcPr>
          <w:p>
            <w:pPr>
              <w:spacing w:after="0" w:line="252" w:lineRule="auto"/>
            </w:pPr>
            <w:r/>
            <w:r>
              <w:rPr>
                <w:rFonts w:ascii="Calibri" w:hAnsi="Calibri"/>
                <w:b w:val="0"/>
                <w:color w:val="202124"/>
                <w:sz w:val="16"/>
              </w:rPr>
              <w:t>Fiche Premium possible</w:t>
            </w:r>
          </w:p>
        </w:tc>
      </w:tr>
      <w:tr>
        <w:tc>
          <w:tcPr>
            <w:tcW w:type="dxa" w:w="1900"/>
            <w:shd w:fill="F5F6F7"/>
          </w:tcPr>
          <w:p>
            <w:pPr>
              <w:spacing w:after="0" w:line="252" w:lineRule="auto"/>
            </w:pPr>
            <w:r/>
            <w:r>
              <w:rPr>
                <w:rFonts w:ascii="Calibri" w:hAnsi="Calibri"/>
                <w:b/>
                <w:color w:val="202124"/>
                <w:sz w:val="16"/>
              </w:rPr>
              <w:t>Guide France</w:t>
            </w:r>
          </w:p>
        </w:tc>
        <w:tc>
          <w:tcPr>
            <w:tcW w:type="dxa" w:w="1765"/>
            <w:shd w:fill="F5F6F7"/>
          </w:tcPr>
          <w:p>
            <w:pPr>
              <w:spacing w:after="0" w:line="252" w:lineRule="auto"/>
            </w:pPr>
            <w:r/>
            <w:r>
              <w:rPr>
                <w:rFonts w:ascii="Calibri" w:hAnsi="Calibri"/>
                <w:b w:val="0"/>
                <w:color w:val="202124"/>
                <w:sz w:val="16"/>
              </w:rPr>
              <w:t>Accès complet</w:t>
            </w:r>
          </w:p>
        </w:tc>
        <w:tc>
          <w:tcPr>
            <w:tcW w:type="dxa" w:w="1895"/>
            <w:shd w:fill="F5F6F7"/>
          </w:tcPr>
          <w:p>
            <w:pPr>
              <w:spacing w:after="0" w:line="252" w:lineRule="auto"/>
            </w:pPr>
            <w:r/>
            <w:r>
              <w:rPr>
                <w:rFonts w:ascii="Calibri" w:hAnsi="Calibri"/>
                <w:b w:val="0"/>
                <w:color w:val="202124"/>
                <w:sz w:val="16"/>
              </w:rPr>
              <w:t>Accès complet</w:t>
            </w:r>
          </w:p>
        </w:tc>
        <w:tc>
          <w:tcPr>
            <w:tcW w:type="dxa" w:w="1850"/>
            <w:shd w:fill="F5F6F7"/>
          </w:tcPr>
          <w:p>
            <w:pPr>
              <w:spacing w:after="0" w:line="252" w:lineRule="auto"/>
            </w:pPr>
            <w:r/>
            <w:r>
              <w:rPr>
                <w:rFonts w:ascii="Calibri" w:hAnsi="Calibri"/>
                <w:b w:val="0"/>
                <w:color w:val="202124"/>
                <w:sz w:val="16"/>
              </w:rPr>
              <w:t>Accès complet</w:t>
            </w:r>
          </w:p>
        </w:tc>
        <w:tc>
          <w:tcPr>
            <w:tcW w:type="dxa" w:w="1950"/>
            <w:shd w:fill="F5F6F7"/>
          </w:tcPr>
          <w:p>
            <w:pPr>
              <w:spacing w:after="0" w:line="252" w:lineRule="auto"/>
            </w:pPr>
            <w:r/>
            <w:r>
              <w:rPr>
                <w:rFonts w:ascii="Calibri" w:hAnsi="Calibri"/>
                <w:b w:val="0"/>
                <w:color w:val="202124"/>
                <w:sz w:val="16"/>
              </w:rPr>
              <w:t>Accès complet</w:t>
            </w:r>
          </w:p>
        </w:tc>
      </w:tr>
      <w:tr>
        <w:tc>
          <w:tcPr>
            <w:tcW w:type="dxa" w:w="1900"/>
            <w:shd w:fill="FFFFFF"/>
          </w:tcPr>
          <w:p>
            <w:pPr>
              <w:spacing w:after="0" w:line="252" w:lineRule="auto"/>
            </w:pPr>
            <w:r/>
            <w:r>
              <w:rPr>
                <w:rFonts w:ascii="Calibri" w:hAnsi="Calibri"/>
                <w:b/>
                <w:color w:val="202124"/>
                <w:sz w:val="16"/>
              </w:rPr>
              <w:t>After-movies</w:t>
            </w:r>
          </w:p>
        </w:tc>
        <w:tc>
          <w:tcPr>
            <w:tcW w:type="dxa" w:w="1765"/>
            <w:shd w:fill="FFFFFF"/>
          </w:tcPr>
          <w:p>
            <w:pPr>
              <w:spacing w:after="0" w:line="252" w:lineRule="auto"/>
            </w:pPr>
            <w:r/>
            <w:r>
              <w:rPr>
                <w:rFonts w:ascii="Calibri" w:hAnsi="Calibri"/>
                <w:b w:val="0"/>
                <w:color w:val="202124"/>
                <w:sz w:val="16"/>
              </w:rPr>
              <w:t>Connexion requise</w:t>
            </w:r>
          </w:p>
        </w:tc>
        <w:tc>
          <w:tcPr>
            <w:tcW w:type="dxa" w:w="1895"/>
            <w:shd w:fill="FFFFFF"/>
          </w:tcPr>
          <w:p>
            <w:pPr>
              <w:spacing w:after="0" w:line="252" w:lineRule="auto"/>
            </w:pPr>
            <w:r/>
            <w:r>
              <w:rPr>
                <w:rFonts w:ascii="Calibri" w:hAnsi="Calibri"/>
                <w:b w:val="0"/>
                <w:color w:val="202124"/>
                <w:sz w:val="16"/>
              </w:rPr>
              <w:t>Voir les vidéos</w:t>
            </w:r>
          </w:p>
        </w:tc>
        <w:tc>
          <w:tcPr>
            <w:tcW w:type="dxa" w:w="1850"/>
            <w:shd w:fill="FFFFFF"/>
          </w:tcPr>
          <w:p>
            <w:pPr>
              <w:spacing w:after="0" w:line="252" w:lineRule="auto"/>
            </w:pPr>
            <w:r/>
            <w:r>
              <w:rPr>
                <w:rFonts w:ascii="Calibri" w:hAnsi="Calibri"/>
                <w:b w:val="0"/>
                <w:color w:val="202124"/>
                <w:sz w:val="16"/>
              </w:rPr>
              <w:t>Voir les vidéos</w:t>
            </w:r>
          </w:p>
        </w:tc>
        <w:tc>
          <w:tcPr>
            <w:tcW w:type="dxa" w:w="1950"/>
            <w:shd w:fill="FFFFFF"/>
          </w:tcPr>
          <w:p>
            <w:pPr>
              <w:spacing w:after="0" w:line="252" w:lineRule="auto"/>
            </w:pPr>
            <w:r/>
            <w:r>
              <w:rPr>
                <w:rFonts w:ascii="Calibri" w:hAnsi="Calibri"/>
                <w:b w:val="0"/>
                <w:color w:val="202124"/>
                <w:sz w:val="16"/>
              </w:rPr>
              <w:t>Voir / contribuer</w:t>
            </w:r>
          </w:p>
        </w:tc>
      </w:tr>
      <w:tr>
        <w:tc>
          <w:tcPr>
            <w:tcW w:type="dxa" w:w="1900"/>
            <w:shd w:fill="F5F6F7"/>
          </w:tcPr>
          <w:p>
            <w:pPr>
              <w:spacing w:after="0" w:line="252" w:lineRule="auto"/>
            </w:pPr>
            <w:r/>
            <w:r>
              <w:rPr>
                <w:rFonts w:ascii="Calibri" w:hAnsi="Calibri"/>
                <w:b/>
                <w:color w:val="202124"/>
                <w:sz w:val="16"/>
              </w:rPr>
              <w:t>Communauté</w:t>
            </w:r>
          </w:p>
        </w:tc>
        <w:tc>
          <w:tcPr>
            <w:tcW w:type="dxa" w:w="1765"/>
            <w:shd w:fill="F5F6F7"/>
          </w:tcPr>
          <w:p>
            <w:pPr>
              <w:spacing w:after="0" w:line="252" w:lineRule="auto"/>
            </w:pPr>
            <w:r/>
            <w:r>
              <w:rPr>
                <w:rFonts w:ascii="Calibri" w:hAnsi="Calibri"/>
                <w:b w:val="0"/>
                <w:color w:val="202124"/>
                <w:sz w:val="16"/>
              </w:rPr>
              <w:t>Connexion requise</w:t>
            </w:r>
          </w:p>
        </w:tc>
        <w:tc>
          <w:tcPr>
            <w:tcW w:type="dxa" w:w="1895"/>
            <w:shd w:fill="F5F6F7"/>
          </w:tcPr>
          <w:p>
            <w:pPr>
              <w:spacing w:after="0" w:line="252" w:lineRule="auto"/>
            </w:pPr>
            <w:r/>
            <w:r>
              <w:rPr>
                <w:rFonts w:ascii="Calibri" w:hAnsi="Calibri"/>
                <w:b w:val="0"/>
                <w:color w:val="202124"/>
                <w:sz w:val="16"/>
              </w:rPr>
              <w:t>Publier / échanger</w:t>
            </w:r>
          </w:p>
        </w:tc>
        <w:tc>
          <w:tcPr>
            <w:tcW w:type="dxa" w:w="1850"/>
            <w:shd w:fill="F5F6F7"/>
          </w:tcPr>
          <w:p>
            <w:pPr>
              <w:spacing w:after="0" w:line="252" w:lineRule="auto"/>
            </w:pPr>
            <w:r/>
            <w:r>
              <w:rPr>
                <w:rFonts w:ascii="Calibri" w:hAnsi="Calibri"/>
                <w:b w:val="0"/>
                <w:color w:val="202124"/>
                <w:sz w:val="16"/>
              </w:rPr>
              <w:t>Mise en avant 48 h</w:t>
            </w:r>
          </w:p>
        </w:tc>
        <w:tc>
          <w:tcPr>
            <w:tcW w:type="dxa" w:w="1950"/>
            <w:shd w:fill="F5F6F7"/>
          </w:tcPr>
          <w:p>
            <w:pPr>
              <w:spacing w:after="0" w:line="252" w:lineRule="auto"/>
            </w:pPr>
            <w:r/>
            <w:r>
              <w:rPr>
                <w:rFonts w:ascii="Calibri" w:hAnsi="Calibri"/>
                <w:b w:val="0"/>
                <w:color w:val="202124"/>
                <w:sz w:val="16"/>
              </w:rPr>
              <w:t>Publier comme orga</w:t>
            </w:r>
          </w:p>
        </w:tc>
      </w:tr>
      <w:tr>
        <w:tc>
          <w:tcPr>
            <w:tcW w:type="dxa" w:w="1900"/>
            <w:shd w:fill="FFFFFF"/>
          </w:tcPr>
          <w:p>
            <w:pPr>
              <w:spacing w:after="0" w:line="252" w:lineRule="auto"/>
            </w:pPr>
            <w:r/>
            <w:r>
              <w:rPr>
                <w:rFonts w:ascii="Calibri" w:hAnsi="Calibri"/>
                <w:b/>
                <w:color w:val="202124"/>
                <w:sz w:val="16"/>
              </w:rPr>
              <w:t>Profil &amp; alertes</w:t>
            </w:r>
          </w:p>
        </w:tc>
        <w:tc>
          <w:tcPr>
            <w:tcW w:type="dxa" w:w="1765"/>
            <w:shd w:fill="FFFFFF"/>
          </w:tcPr>
          <w:p>
            <w:pPr>
              <w:spacing w:after="0" w:line="252" w:lineRule="auto"/>
            </w:pPr>
            <w:r/>
            <w:r>
              <w:rPr>
                <w:rFonts w:ascii="Calibri" w:hAnsi="Calibri"/>
                <w:b w:val="0"/>
                <w:color w:val="202124"/>
                <w:sz w:val="16"/>
              </w:rPr>
              <w:t>Connexion requise</w:t>
            </w:r>
          </w:p>
        </w:tc>
        <w:tc>
          <w:tcPr>
            <w:tcW w:type="dxa" w:w="1895"/>
            <w:shd w:fill="FFFFFF"/>
          </w:tcPr>
          <w:p>
            <w:pPr>
              <w:spacing w:after="0" w:line="252" w:lineRule="auto"/>
            </w:pPr>
            <w:r/>
            <w:r>
              <w:rPr>
                <w:rFonts w:ascii="Calibri" w:hAnsi="Calibri"/>
                <w:b w:val="0"/>
                <w:color w:val="202124"/>
                <w:sz w:val="16"/>
              </w:rPr>
              <w:t>Profil / messages</w:t>
            </w:r>
          </w:p>
        </w:tc>
        <w:tc>
          <w:tcPr>
            <w:tcW w:type="dxa" w:w="1850"/>
            <w:shd w:fill="FFFFFF"/>
          </w:tcPr>
          <w:p>
            <w:pPr>
              <w:spacing w:after="0" w:line="252" w:lineRule="auto"/>
            </w:pPr>
            <w:r/>
            <w:r>
              <w:rPr>
                <w:rFonts w:ascii="Calibri" w:hAnsi="Calibri"/>
                <w:b w:val="0"/>
                <w:color w:val="202124"/>
                <w:sz w:val="16"/>
              </w:rPr>
              <w:t>Badge Premium</w:t>
            </w:r>
          </w:p>
        </w:tc>
        <w:tc>
          <w:tcPr>
            <w:tcW w:type="dxa" w:w="1950"/>
            <w:shd w:fill="FFFFFF"/>
          </w:tcPr>
          <w:p>
            <w:pPr>
              <w:spacing w:after="0" w:line="252" w:lineRule="auto"/>
            </w:pPr>
            <w:r/>
            <w:r>
              <w:rPr>
                <w:rFonts w:ascii="Calibri" w:hAnsi="Calibri"/>
                <w:b w:val="0"/>
                <w:color w:val="202124"/>
                <w:sz w:val="16"/>
              </w:rPr>
              <w:t>Équipe / statistiques</w:t>
            </w:r>
          </w:p>
        </w:tc>
      </w:tr>
      <w:tr>
        <w:tc>
          <w:tcPr>
            <w:tcW w:type="dxa" w:w="1900"/>
            <w:shd w:fill="F5F6F7"/>
          </w:tcPr>
          <w:p>
            <w:pPr>
              <w:spacing w:after="0" w:line="252" w:lineRule="auto"/>
            </w:pPr>
            <w:r/>
            <w:r>
              <w:rPr>
                <w:rFonts w:ascii="Calibri" w:hAnsi="Calibri"/>
                <w:b/>
                <w:color w:val="202124"/>
                <w:sz w:val="16"/>
              </w:rPr>
              <w:t>Offres</w:t>
            </w:r>
          </w:p>
        </w:tc>
        <w:tc>
          <w:tcPr>
            <w:tcW w:type="dxa" w:w="1765"/>
            <w:shd w:fill="F5F6F7"/>
          </w:tcPr>
          <w:p>
            <w:pPr>
              <w:spacing w:after="0" w:line="252" w:lineRule="auto"/>
            </w:pPr>
            <w:r/>
            <w:r>
              <w:rPr>
                <w:rFonts w:ascii="Calibri" w:hAnsi="Calibri"/>
                <w:b w:val="0"/>
                <w:color w:val="202124"/>
                <w:sz w:val="16"/>
              </w:rPr>
              <w:t>Voir les offres</w:t>
            </w:r>
          </w:p>
        </w:tc>
        <w:tc>
          <w:tcPr>
            <w:tcW w:type="dxa" w:w="1895"/>
            <w:shd w:fill="F5F6F7"/>
          </w:tcPr>
          <w:p>
            <w:pPr>
              <w:spacing w:after="0" w:line="252" w:lineRule="auto"/>
            </w:pPr>
            <w:r/>
            <w:r>
              <w:rPr>
                <w:rFonts w:ascii="Calibri" w:hAnsi="Calibri"/>
                <w:b w:val="0"/>
                <w:color w:val="202124"/>
                <w:sz w:val="16"/>
              </w:rPr>
              <w:t>Souscrire</w:t>
            </w:r>
          </w:p>
        </w:tc>
        <w:tc>
          <w:tcPr>
            <w:tcW w:type="dxa" w:w="1850"/>
            <w:shd w:fill="F5F6F7"/>
          </w:tcPr>
          <w:p>
            <w:pPr>
              <w:spacing w:after="0" w:line="252" w:lineRule="auto"/>
            </w:pPr>
            <w:r/>
            <w:r>
              <w:rPr>
                <w:rFonts w:ascii="Calibri" w:hAnsi="Calibri"/>
                <w:b w:val="0"/>
                <w:color w:val="202124"/>
                <w:sz w:val="16"/>
              </w:rPr>
              <w:t>Gérer son statut</w:t>
            </w:r>
          </w:p>
        </w:tc>
        <w:tc>
          <w:tcPr>
            <w:tcW w:type="dxa" w:w="1950"/>
            <w:shd w:fill="F5F6F7"/>
          </w:tcPr>
          <w:p>
            <w:pPr>
              <w:spacing w:after="0" w:line="252" w:lineRule="auto"/>
            </w:pPr>
            <w:r/>
            <w:r>
              <w:rPr>
                <w:rFonts w:ascii="Calibri" w:hAnsi="Calibri"/>
                <w:b w:val="0"/>
                <w:color w:val="202124"/>
                <w:sz w:val="16"/>
              </w:rPr>
              <w:t>Accéder à l’offre</w:t>
            </w:r>
          </w:p>
        </w:tc>
      </w:tr>
    </w:tbl>
    <w:p>
      <w:r>
        <w:br w:type="page"/>
      </w:r>
    </w:p>
    <w:p>
      <w:pPr>
        <w:spacing w:after="80"/>
      </w:pPr>
      <w:r>
        <w:rPr>
          <w:rFonts w:ascii="Calibri" w:hAnsi="Calibri"/>
          <w:b/>
          <w:color w:val="007A3D"/>
          <w:sz w:val="18"/>
        </w:rPr>
        <w:t>ONGLET PRINCIPAL</w:t>
      </w:r>
    </w:p>
    <w:p>
      <w:pPr>
        <w:pStyle w:val="Title"/>
      </w:pPr>
      <w:r>
        <w:t>Événements &amp; agenda</w:t>
      </w:r>
    </w:p>
    <w:p>
      <w:pPr>
        <w:pStyle w:val="Lead"/>
        <w:spacing w:after="240"/>
      </w:pPr>
      <w:r>
        <w:t>Le cœur de Malagasy Events : découvrir les rendez-vous de la diaspora, trouver rapidement une date et passer de la découverte à l’action.</w:t>
      </w:r>
    </w:p>
    <w:p>
      <w:pPr>
        <w:pStyle w:val="Heading2"/>
      </w:pPr>
      <w:r>
        <w:t>Accueil / Événements</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Voir les événements à venir ou passés, rechercher par mot-clé, filtrer par ville et catégorie, afficher la liste ou le calendrier, ouvrir une fiche événement et partager son lien.</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Toutes les fonctions publiques, puis indiquer « Intéressé », commenter, demander un rappel, ajouter à Google Agenda et proposer un événement soumis à validation.</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Toutes les fonctions du membre ; le badge Premium est visible dans les interactions. Les publications communautaires peuvent être remontées pendant 48 heures.</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Publier directement ses événements depuis son identité organisateur, relier les événements à sa fiche, suivre l’intérêt et les commentaires, et bénéficier d’une visibilité renforcée selon l’offre.</w:t>
            </w:r>
          </w:p>
        </w:tc>
      </w:tr>
    </w:tbl>
    <w:p>
      <w:pPr>
        <w:spacing w:before="80" w:after="100"/>
      </w:pPr>
      <w:r>
        <w:rPr>
          <w:b/>
          <w:color w:val="C8102E"/>
        </w:rPr>
        <w:t xml:space="preserve">À noter — </w:t>
      </w:r>
      <w:r>
        <w:rPr>
          <w:color w:val="666666"/>
          <w:sz w:val="18"/>
        </w:rPr>
        <w:t>La billetterie interne et le paiement en ligne ne sont pas encore actifs. Un lien externe de billetterie peut être affiché lorsqu’il existe.</w:t>
      </w:r>
    </w:p>
    <w:p>
      <w:pPr>
        <w:pStyle w:val="Heading1"/>
      </w:pPr>
      <w:r>
        <w:t>Actions disponibles sur une fiche événement</w:t>
      </w:r>
    </w:p>
    <w:p>
      <w:pPr>
        <w:pStyle w:val="ListBullet"/>
        <w:spacing w:after="60"/>
      </w:pPr>
      <w:r>
        <w:rPr>
          <w:color w:val="202124"/>
        </w:rPr>
        <w:t>Consulter la date, la ville, le lieu, le tarif, l’affiche, la description et l’organisateur.</w:t>
      </w:r>
    </w:p>
    <w:p>
      <w:pPr>
        <w:pStyle w:val="ListBullet"/>
        <w:spacing w:after="60"/>
      </w:pPr>
      <w:r>
        <w:rPr>
          <w:color w:val="202124"/>
        </w:rPr>
        <w:t>Ouvrir les liens externes utiles : billetterie, réseaux ou informations complémentaires.</w:t>
      </w:r>
    </w:p>
    <w:p>
      <w:pPr>
        <w:pStyle w:val="ListBullet"/>
        <w:spacing w:after="60"/>
      </w:pPr>
      <w:r>
        <w:rPr>
          <w:color w:val="202124"/>
        </w:rPr>
        <w:t>Partager l’événement et l’ajouter à Google Agenda.</w:t>
      </w:r>
    </w:p>
    <w:p>
      <w:pPr>
        <w:pStyle w:val="ListBullet"/>
        <w:spacing w:after="60"/>
      </w:pPr>
      <w:r>
        <w:rPr>
          <w:color w:val="202124"/>
        </w:rPr>
        <w:t>Interagir après connexion : intérêt, commentaire, rappel et entraide liée à l’événement.</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Mar>
              <w:top w:w="150" w:type="dxa"/>
              <w:start w:w="180" w:type="dxa"/>
              <w:bottom w:w="150" w:type="dxa"/>
              <w:end w:w="180" w:type="dxa"/>
            </w:tcMar>
            <w:vAlign w:val="center"/>
            <w:shd w:fill="FDECEF"/>
          </w:tcPr>
          <w:p>
            <w:pPr>
              <w:spacing w:after="60"/>
            </w:pPr>
            <w:r>
              <w:rPr>
                <w:b/>
                <w:color w:val="C8102E"/>
                <w:sz w:val="17"/>
              </w:rPr>
              <w:t>VISIBILITÉ</w:t>
            </w:r>
          </w:p>
          <w:p>
            <w:pPr>
              <w:spacing w:after="0" w:line="269" w:lineRule="auto"/>
            </w:pPr>
            <w:r>
              <w:rPr>
                <w:color w:val="202124"/>
                <w:sz w:val="20"/>
              </w:rPr>
              <w:t>Les événements mis « À la une » sont visibles de tous. Les compteurs et interactions sociales sont associés aux comptes connectés.</w:t>
            </w:r>
          </w:p>
        </w:tc>
      </w:tr>
    </w:tbl>
    <w:p>
      <w:pPr>
        <w:spacing w:after="0"/>
      </w:pPr>
    </w:p>
    <w:p>
      <w:r>
        <w:br w:type="page"/>
      </w:r>
    </w:p>
    <w:p>
      <w:pPr>
        <w:spacing w:after="80"/>
      </w:pPr>
      <w:r>
        <w:rPr>
          <w:rFonts w:ascii="Calibri" w:hAnsi="Calibri"/>
          <w:b/>
          <w:color w:val="007A3D"/>
          <w:sz w:val="18"/>
        </w:rPr>
        <w:t>TROUVER UNE STRUCTURE OU UNE ADRESSE</w:t>
      </w:r>
    </w:p>
    <w:p>
      <w:pPr>
        <w:pStyle w:val="Title"/>
      </w:pPr>
      <w:r>
        <w:t>Annuaires de la communauté</w:t>
      </w:r>
    </w:p>
    <w:p>
      <w:pPr>
        <w:pStyle w:val="Lead"/>
        <w:spacing w:after="240"/>
      </w:pPr>
      <w:r>
        <w:t>Les annuaires sont publics afin d’aider la communauté et d’améliorer la découverte sur Google. Les membres ajoutent ensuite le suivi et la prise de contact.</w:t>
      </w:r>
    </w:p>
    <w:p>
      <w:pPr>
        <w:pStyle w:val="Heading2"/>
      </w:pPr>
      <w:r>
        <w:t>Gastronomie</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Explorer restaurants, traiteurs, food trucks, guides et communautés ; filtrer par type ou région ; voir les adresses sur la carte et ouvrir les réseaux ou contacts.</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Même accès, avec la possibilité de poursuivre les échanges depuis les espaces membres.</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Afficher les avantages partenaires disponibles et présenter un QR Premium sécurisé chez le partenaire.</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Référencer ou enrichir une activité ; une fiche annuaire Premium peut être épinglée et valorisée selon l’offre.</w:t>
            </w:r>
          </w:p>
        </w:tc>
      </w:tr>
    </w:tbl>
    <w:p>
      <w:pPr>
        <w:spacing w:before="80" w:after="100"/>
      </w:pPr>
      <w:r>
        <w:rPr>
          <w:b/>
          <w:color w:val="C8102E"/>
        </w:rPr>
        <w:t xml:space="preserve">À noter — </w:t>
      </w:r>
      <w:r>
        <w:rPr>
          <w:color w:val="666666"/>
          <w:sz w:val="18"/>
        </w:rPr>
        <w:t>Les réductions n’apparaissent que lorsqu’un partenariat actif a été enregistré.</w:t>
      </w:r>
    </w:p>
    <w:p>
      <w:pPr>
        <w:pStyle w:val="Heading2"/>
      </w:pPr>
      <w:r>
        <w:t>Professionnels &amp; associations</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Parcourir les associations, organisateurs, artistes, médias, groupes et autres structures ; filtrer et ouvrir chaque fiche.</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Suivre une structure, consulter ses événements et actualités, puis la contacter lorsqu’un moyen de contact est disponible.</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Même accès, avec les avantages Premium applicables au compte membre.</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Réclamer une fiche existante ou créer sa structure, personnaliser sa présentation et publier au nom de l’organisme.</w:t>
            </w:r>
          </w:p>
        </w:tc>
      </w:tr>
    </w:tbl>
    <w:p>
      <w:pPr>
        <w:pStyle w:val="Heading2"/>
      </w:pPr>
      <w:r>
        <w:t>Églises</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Consulter les paroisses et communautés chrétiennes malagasy, filtrer, utiliser la carte et ouvrir les contacts disponibles.</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Même accès public, enrichi des fonctions générales du compte.</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Même accès que le membre.</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Être référencé comme structure ; la gestion directe dépend du rattachement de la fiche.</w:t>
            </w:r>
          </w:p>
        </w:tc>
      </w:tr>
    </w:tbl>
    <w:p>
      <w:r>
        <w:br w:type="page"/>
      </w:r>
    </w:p>
    <w:p>
      <w:pPr>
        <w:spacing w:after="80"/>
      </w:pPr>
      <w:r>
        <w:rPr>
          <w:rFonts w:ascii="Calibri" w:hAnsi="Calibri"/>
          <w:b/>
          <w:color w:val="007A3D"/>
          <w:sz w:val="18"/>
        </w:rPr>
        <w:t>ANNUAIRES SPÉCIALISÉS</w:t>
      </w:r>
    </w:p>
    <w:p>
      <w:pPr>
        <w:pStyle w:val="Title"/>
      </w:pPr>
      <w:r>
        <w:t>Sport, boutiques &amp; artisanat</w:t>
      </w:r>
    </w:p>
    <w:p>
      <w:pPr>
        <w:pStyle w:val="Heading2"/>
      </w:pPr>
      <w:r>
        <w:t>Sportifs</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Découvrir les clubs, associations sportives et organisateurs de tournois ; voir uniquement les événements sportifs associés.</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Suivre les structures, ouvrir leurs fiches et interagir avec les événements sportifs.</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Même accès que le membre, avec le statut Premium visible dans les interactions.</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Gérer sa fiche sportive et rattacher uniquement ses propres événements.</w:t>
            </w:r>
          </w:p>
        </w:tc>
      </w:tr>
    </w:tbl>
    <w:p>
      <w:pPr>
        <w:spacing w:before="80" w:after="100"/>
      </w:pPr>
      <w:r>
        <w:rPr>
          <w:b/>
          <w:color w:val="C8102E"/>
        </w:rPr>
        <w:t xml:space="preserve">À noter — </w:t>
      </w:r>
      <w:r>
        <w:rPr>
          <w:color w:val="666666"/>
          <w:sz w:val="18"/>
        </w:rPr>
        <w:t>L’association entre une structure et un événement repose sur le bon rattachement de l’organisateur.</w:t>
      </w:r>
    </w:p>
    <w:p>
      <w:pPr>
        <w:pStyle w:val="Heading2"/>
      </w:pPr>
      <w:r>
        <w:t>Boutiques &amp; artisanat</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Découvrir les boutiques, épiceries, créateurs et artisans malagasy ; filtrer, voir la carte et utiliser les coordonnées disponibles.</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Même accès, avec les fonctions de compte et de contact.</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Profiter des réductions partenaires actives lorsqu’elles existent.</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Référencer son activité ; souscrire éventuellement une Fiche Premium annuelle pour être épinglé et mieux présenté.</w:t>
            </w:r>
          </w:p>
        </w:tc>
      </w:tr>
    </w:tbl>
    <w:p>
      <w:pPr>
        <w:pStyle w:val="Heading1"/>
      </w:pPr>
      <w:r>
        <w:t>Fiche Premium d’annuaire</w:t>
      </w:r>
    </w:p>
    <w:p>
      <w:pPr>
        <w:pStyle w:val="ListBullet"/>
        <w:spacing w:after="60"/>
      </w:pPr>
      <w:r>
        <w:rPr>
          <w:color w:val="202124"/>
        </w:rPr>
        <w:t>Tarif affiché : 79 € / an.</w:t>
      </w:r>
    </w:p>
    <w:p>
      <w:pPr>
        <w:pStyle w:val="ListBullet"/>
        <w:spacing w:after="60"/>
      </w:pPr>
      <w:r>
        <w:rPr>
          <w:color w:val="202124"/>
        </w:rPr>
        <w:t>Fiche épinglée en tête d’annuaire.</w:t>
      </w:r>
    </w:p>
    <w:p>
      <w:pPr>
        <w:pStyle w:val="ListBullet"/>
        <w:spacing w:after="60"/>
      </w:pPr>
      <w:r>
        <w:rPr>
          <w:color w:val="202124"/>
        </w:rPr>
        <w:t>Badge doré, mise en avant sur l’accueil, photo et description enrichies.</w:t>
      </w:r>
    </w:p>
    <w:p>
      <w:pPr>
        <w:pStyle w:val="ListBullet"/>
        <w:spacing w:after="60"/>
      </w:pPr>
      <w:r>
        <w:rPr>
          <w:color w:val="202124"/>
        </w:rPr>
        <w:t>Statistiques de visite annoncées dans l’offre.</w:t>
      </w:r>
    </w:p>
    <w:p>
      <w:r>
        <w:br w:type="page"/>
      </w:r>
    </w:p>
    <w:p>
      <w:pPr>
        <w:spacing w:after="80"/>
      </w:pPr>
      <w:r>
        <w:rPr>
          <w:rFonts w:ascii="Calibri" w:hAnsi="Calibri"/>
          <w:b/>
          <w:color w:val="007A3D"/>
          <w:sz w:val="18"/>
        </w:rPr>
        <w:t>INFORMATIONS UTILES</w:t>
      </w:r>
    </w:p>
    <w:p>
      <w:pPr>
        <w:pStyle w:val="Title"/>
      </w:pPr>
      <w:r>
        <w:t>Diaspora &amp; Guide France</w:t>
      </w:r>
    </w:p>
    <w:p>
      <w:pPr>
        <w:pStyle w:val="Heading2"/>
      </w:pPr>
      <w:r>
        <w:t>Diaspora</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Lire la présentation de la diaspora malagasy en France, comprendre les termes Malagasy, malgache et gasy, et accéder aux principales rubriques du site.</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Même accès que le public.</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Même accès que le public.</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Même accès que le public ; cette page sert de porte d’entrée éditoriale et SEO.</w:t>
            </w:r>
          </w:p>
        </w:tc>
      </w:tr>
    </w:tbl>
    <w:p>
      <w:pPr>
        <w:pStyle w:val="Heading2"/>
      </w:pPr>
      <w:r>
        <w:t>Guide France</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Accéder aux quatre parcours : étudiant arrivant en France, recherche d’emploi en fin d’études, arrivée professionnelle et aide pour les personnes sans papiers.</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Même accès que le public ; les ressources peuvent être consultées sans compte.</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Même accès que le public.</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Même accès ; de futurs partenaires pourront enrichir les offres d’emploi et l’accompagnement professionnel.</w:t>
            </w:r>
          </w:p>
        </w:tc>
      </w:tr>
    </w:tbl>
    <w:p>
      <w:pPr>
        <w:spacing w:before="80" w:after="100"/>
      </w:pPr>
      <w:r>
        <w:rPr>
          <w:b/>
          <w:color w:val="C8102E"/>
        </w:rPr>
        <w:t xml:space="preserve">À noter — </w:t>
      </w:r>
      <w:r>
        <w:rPr>
          <w:color w:val="666666"/>
          <w:sz w:val="18"/>
        </w:rPr>
        <w:t>Certaines sections sont volontairement présentées comme des bases à compléter avec des partenaires spécialisés.</w:t>
      </w:r>
    </w:p>
    <w:p>
      <w:pPr>
        <w:pStyle w:val="Heading1"/>
      </w:pPr>
      <w:r>
        <w:t>Pages d’information</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2400"/>
        <w:gridCol w:w="6960"/>
      </w:tblGrid>
      <w:tr>
        <w:tc>
          <w:tcPr>
            <w:tcW w:type="dxa" w:w="2400"/>
            <w:tcMar>
              <w:top w:w="80" w:type="dxa"/>
              <w:start w:w="120" w:type="dxa"/>
              <w:bottom w:w="80" w:type="dxa"/>
              <w:end w:w="120" w:type="dxa"/>
            </w:tcMar>
            <w:vAlign w:val="center"/>
            <w:shd w:fill="007A3D"/>
          </w:tcPr>
          <w:p>
            <w:pPr>
              <w:spacing w:after="0" w:line="252" w:lineRule="auto"/>
            </w:pPr>
            <w:r/>
            <w:r>
              <w:rPr>
                <w:rFonts w:ascii="Calibri" w:hAnsi="Calibri"/>
                <w:b/>
                <w:color w:val="FFFFFF"/>
                <w:sz w:val="18"/>
              </w:rPr>
              <w:t>À propos</w:t>
            </w:r>
          </w:p>
        </w:tc>
        <w:tc>
          <w:tcPr>
            <w:tcW w:type="dxa" w:w="6960"/>
            <w:tcMar>
              <w:top w:w="80" w:type="dxa"/>
              <w:start w:w="120" w:type="dxa"/>
              <w:bottom w:w="80" w:type="dxa"/>
              <w:end w:w="120" w:type="dxa"/>
            </w:tcMar>
            <w:vAlign w:val="center"/>
            <w:shd w:fill="F5F6F7"/>
          </w:tcPr>
          <w:p>
            <w:pPr>
              <w:spacing w:after="0" w:line="252" w:lineRule="auto"/>
            </w:pPr>
            <w:r/>
            <w:r>
              <w:rPr>
                <w:rFonts w:ascii="Calibri" w:hAnsi="Calibri"/>
                <w:b w:val="0"/>
                <w:color w:val="202124"/>
                <w:sz w:val="18"/>
              </w:rPr>
              <w:t>Mission, positionnement et fonctionnement de Malagasy Events.</w:t>
            </w:r>
          </w:p>
        </w:tc>
      </w:tr>
      <w:tr>
        <w:tc>
          <w:tcPr>
            <w:tcW w:type="dxa" w:w="2400"/>
            <w:tcMar>
              <w:top w:w="80" w:type="dxa"/>
              <w:start w:w="120" w:type="dxa"/>
              <w:bottom w:w="80" w:type="dxa"/>
              <w:end w:w="120" w:type="dxa"/>
            </w:tcMar>
            <w:vAlign w:val="center"/>
            <w:shd w:fill="C8102E"/>
          </w:tcPr>
          <w:p>
            <w:pPr>
              <w:spacing w:after="0" w:line="252" w:lineRule="auto"/>
            </w:pPr>
            <w:r/>
            <w:r>
              <w:rPr>
                <w:rFonts w:ascii="Calibri" w:hAnsi="Calibri"/>
                <w:b/>
                <w:color w:val="FFFFFF"/>
                <w:sz w:val="18"/>
              </w:rPr>
              <w:t>FAQ</w:t>
            </w:r>
          </w:p>
        </w:tc>
        <w:tc>
          <w:tcPr>
            <w:tcW w:type="dxa" w:w="6960"/>
            <w:tcMar>
              <w:top w:w="80" w:type="dxa"/>
              <w:start w:w="120" w:type="dxa"/>
              <w:bottom w:w="80" w:type="dxa"/>
              <w:end w:w="120" w:type="dxa"/>
            </w:tcMar>
            <w:vAlign w:val="center"/>
            <w:shd w:fill="F5F6F7"/>
          </w:tcPr>
          <w:p>
            <w:pPr>
              <w:spacing w:after="0" w:line="252" w:lineRule="auto"/>
            </w:pPr>
            <w:r/>
            <w:r>
              <w:rPr>
                <w:rFonts w:ascii="Calibri" w:hAnsi="Calibri"/>
                <w:b w:val="0"/>
                <w:color w:val="202124"/>
                <w:sz w:val="18"/>
              </w:rPr>
              <w:t>Réponses sur la publication, les comptes, les annuaires et les offres.</w:t>
            </w:r>
          </w:p>
        </w:tc>
      </w:tr>
      <w:tr>
        <w:tc>
          <w:tcPr>
            <w:tcW w:type="dxa" w:w="2400"/>
            <w:tcMar>
              <w:top w:w="80" w:type="dxa"/>
              <w:start w:w="120" w:type="dxa"/>
              <w:bottom w:w="80" w:type="dxa"/>
              <w:end w:w="120" w:type="dxa"/>
            </w:tcMar>
            <w:vAlign w:val="center"/>
            <w:shd w:fill="007A3D"/>
          </w:tcPr>
          <w:p>
            <w:pPr>
              <w:spacing w:after="0" w:line="252" w:lineRule="auto"/>
            </w:pPr>
            <w:r/>
            <w:r>
              <w:rPr>
                <w:rFonts w:ascii="Calibri" w:hAnsi="Calibri"/>
                <w:b/>
                <w:color w:val="FFFFFF"/>
                <w:sz w:val="18"/>
              </w:rPr>
              <w:t>Contact</w:t>
            </w:r>
          </w:p>
        </w:tc>
        <w:tc>
          <w:tcPr>
            <w:tcW w:type="dxa" w:w="6960"/>
            <w:tcMar>
              <w:top w:w="80" w:type="dxa"/>
              <w:start w:w="120" w:type="dxa"/>
              <w:bottom w:w="80" w:type="dxa"/>
              <w:end w:w="120" w:type="dxa"/>
            </w:tcMar>
            <w:vAlign w:val="center"/>
            <w:shd w:fill="F5F6F7"/>
          </w:tcPr>
          <w:p>
            <w:pPr>
              <w:spacing w:after="0" w:line="252" w:lineRule="auto"/>
            </w:pPr>
            <w:r/>
            <w:r>
              <w:rPr>
                <w:rFonts w:ascii="Calibri" w:hAnsi="Calibri"/>
                <w:b w:val="0"/>
                <w:color w:val="202124"/>
                <w:sz w:val="18"/>
              </w:rPr>
              <w:t>Contacter l’équipe et proposer un événement ; une connexion peut être demandée pour certaines actions.</w:t>
            </w:r>
          </w:p>
        </w:tc>
      </w:tr>
      <w:tr>
        <w:tc>
          <w:tcPr>
            <w:tcW w:type="dxa" w:w="2400"/>
            <w:tcMar>
              <w:top w:w="80" w:type="dxa"/>
              <w:start w:w="120" w:type="dxa"/>
              <w:bottom w:w="80" w:type="dxa"/>
              <w:end w:w="120" w:type="dxa"/>
            </w:tcMar>
            <w:vAlign w:val="center"/>
            <w:shd w:fill="C8102E"/>
          </w:tcPr>
          <w:p>
            <w:pPr>
              <w:spacing w:after="0" w:line="252" w:lineRule="auto"/>
            </w:pPr>
            <w:r/>
            <w:r>
              <w:rPr>
                <w:rFonts w:ascii="Calibri" w:hAnsi="Calibri"/>
                <w:b/>
                <w:color w:val="FFFFFF"/>
                <w:sz w:val="18"/>
              </w:rPr>
              <w:t>Offres</w:t>
            </w:r>
          </w:p>
        </w:tc>
        <w:tc>
          <w:tcPr>
            <w:tcW w:type="dxa" w:w="6960"/>
            <w:tcMar>
              <w:top w:w="80" w:type="dxa"/>
              <w:start w:w="120" w:type="dxa"/>
              <w:bottom w:w="80" w:type="dxa"/>
              <w:end w:w="120" w:type="dxa"/>
            </w:tcMar>
            <w:vAlign w:val="center"/>
            <w:shd w:fill="F5F6F7"/>
          </w:tcPr>
          <w:p>
            <w:pPr>
              <w:spacing w:after="0" w:line="252" w:lineRule="auto"/>
            </w:pPr>
            <w:r/>
            <w:r>
              <w:rPr>
                <w:rFonts w:ascii="Calibri" w:hAnsi="Calibri"/>
                <w:b w:val="0"/>
                <w:color w:val="202124"/>
                <w:sz w:val="18"/>
              </w:rPr>
              <w:t>Comparer Membre Premium et Organisateur, puis ouvrir les pages de détail.</w:t>
            </w:r>
          </w:p>
        </w:tc>
      </w:tr>
    </w:tbl>
    <w:p>
      <w:r>
        <w:br w:type="page"/>
      </w:r>
    </w:p>
    <w:p>
      <w:pPr>
        <w:spacing w:after="80"/>
      </w:pPr>
      <w:r>
        <w:rPr>
          <w:rFonts w:ascii="Calibri" w:hAnsi="Calibri"/>
          <w:b/>
          <w:color w:val="007A3D"/>
          <w:sz w:val="18"/>
        </w:rPr>
        <w:t>ESPACES RÉSERVÉS AUX MEMBRES</w:t>
      </w:r>
    </w:p>
    <w:p>
      <w:pPr>
        <w:pStyle w:val="Title"/>
      </w:pPr>
      <w:r>
        <w:t>Communauté &amp; After-movies</w:t>
      </w:r>
    </w:p>
    <w:p>
      <w:pPr>
        <w:pStyle w:val="Heading2"/>
      </w:pPr>
      <w:r>
        <w:t>Communauté</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Voir l’existence de l’onglet, mais se connecter pour accéder au contenu et aux échanges.</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Publier du texte ou une photo, aimer, commenter et répondre ; découvrir des profils, suivre des membres, envoyer des messages privés et utiliser l’entraide liée aux événements.</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Toutes les fonctions membres, avec badge Premium et publications remontées en tête du fil pendant 48 heures.</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Publier soit avec son identité personnelle, soit au nom de son organisme ; échanger avec les membres et les abonnés de la structure.</w:t>
            </w:r>
          </w:p>
        </w:tc>
      </w:tr>
    </w:tbl>
    <w:p>
      <w:pPr>
        <w:pStyle w:val="Heading2"/>
      </w:pPr>
      <w:r>
        <w:t>After-movies</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Onglet masqué tant que l’utilisateur n’est pas connecté.</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Voir les after-movies, teasers et contenus vidéo de la communauté.</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Même accès que le membre.</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Voir les contenus et contribuer selon les règles de publication et de modération.</w:t>
            </w:r>
          </w:p>
        </w:tc>
      </w:tr>
    </w:tbl>
    <w:p>
      <w:pPr>
        <w:pStyle w:val="Heading1"/>
      </w:pPr>
      <w:r>
        <w:t>Sécurité et confort communautaire</w:t>
      </w:r>
    </w:p>
    <w:p>
      <w:pPr>
        <w:pStyle w:val="ListBullet"/>
        <w:spacing w:after="60"/>
      </w:pPr>
      <w:r>
        <w:rPr>
          <w:color w:val="202124"/>
        </w:rPr>
        <w:t>Un utilisateur peut bloquer un autre compte afin de couper l’accès direct et les échanges indésirables.</w:t>
      </w:r>
    </w:p>
    <w:p>
      <w:pPr>
        <w:pStyle w:val="ListBullet"/>
        <w:spacing w:after="60"/>
      </w:pPr>
      <w:r>
        <w:rPr>
          <w:color w:val="202124"/>
        </w:rPr>
        <w:t>Les messages, commentaires et publications sont rattachés à un profil identifiable.</w:t>
      </w:r>
    </w:p>
    <w:p>
      <w:pPr>
        <w:pStyle w:val="ListBullet"/>
        <w:spacing w:after="60"/>
      </w:pPr>
      <w:r>
        <w:rPr>
          <w:color w:val="202124"/>
        </w:rPr>
        <w:t>Les notifications informent des nouvelles interactions ; elles peuvent être marquées comme lues.</w:t>
      </w:r>
    </w:p>
    <w:p>
      <w:pPr>
        <w:pStyle w:val="ListBullet"/>
        <w:spacing w:after="60"/>
      </w:pPr>
      <w:r>
        <w:rPr>
          <w:color w:val="202124"/>
        </w:rPr>
        <w:t>L’administrateur peut être averti d’une nouvelle inscription et un message de bienvenue personnalisé peut être envoyé.</w:t>
      </w:r>
    </w:p>
    <w:p>
      <w:r>
        <w:br w:type="page"/>
      </w:r>
    </w:p>
    <w:p>
      <w:pPr>
        <w:spacing w:after="80"/>
      </w:pPr>
      <w:r>
        <w:rPr>
          <w:rFonts w:ascii="Calibri" w:hAnsi="Calibri"/>
          <w:b/>
          <w:color w:val="007A3D"/>
          <w:sz w:val="18"/>
        </w:rPr>
        <w:t>FONCTIONS APRÈS CONNEXION</w:t>
      </w:r>
    </w:p>
    <w:p>
      <w:pPr>
        <w:pStyle w:val="Title"/>
      </w:pPr>
      <w:r>
        <w:t>Compte, profil &amp; notifications</w:t>
      </w:r>
    </w:p>
    <w:p>
      <w:pPr>
        <w:pStyle w:val="Heading2"/>
      </w:pPr>
      <w:r>
        <w:t>Profil personnel</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Connexion ou inscription depuis le bouton « Connexion ».</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Choisir un nom d’utilisateur unique, ajouter une photo, renseigner son profil et ses préférences, consulter abonnés et abonnements, puis se déconnecter.</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Afficher le badge doré Premium sur le profil, les publications, commentaires et discussions.</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Basculer entre identité personnelle et identité organisateur lorsqu’une fiche est rattachée.</w:t>
            </w:r>
          </w:p>
        </w:tc>
      </w:tr>
    </w:tbl>
    <w:p>
      <w:pPr>
        <w:pStyle w:val="Heading2"/>
      </w:pPr>
      <w:r>
        <w:t>Messages &amp; notifications</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1550"/>
        <w:gridCol w:w="7810"/>
      </w:tblGrid>
      <w:tr>
        <w:tc>
          <w:tcPr>
            <w:tcW w:type="dxa" w:w="1550"/>
            <w:tcMar>
              <w:top w:w="80" w:type="dxa"/>
              <w:start w:w="120" w:type="dxa"/>
              <w:bottom w:w="80" w:type="dxa"/>
              <w:end w:w="120" w:type="dxa"/>
            </w:tcMar>
            <w:vAlign w:val="center"/>
            <w:shd w:fill="007A3D"/>
          </w:tcPr>
          <w:p>
            <w:pPr>
              <w:spacing w:after="0" w:line="252" w:lineRule="auto"/>
            </w:pPr>
            <w:r/>
            <w:r>
              <w:rPr>
                <w:rFonts w:ascii="Calibri" w:hAnsi="Calibri"/>
                <w:b/>
                <w:color w:val="FFFFFF"/>
                <w:sz w:val="17"/>
              </w:rPr>
              <w:t>PUBLIC</w:t>
            </w:r>
          </w:p>
        </w:tc>
        <w:tc>
          <w:tcPr>
            <w:tcW w:type="dxa" w:w="7810"/>
            <w:tcMar>
              <w:top w:w="80" w:type="dxa"/>
              <w:start w:w="120" w:type="dxa"/>
              <w:bottom w:w="80" w:type="dxa"/>
              <w:end w:w="120" w:type="dxa"/>
            </w:tcMar>
            <w:vAlign w:val="center"/>
            <w:shd w:fill="EAF6EF"/>
          </w:tcPr>
          <w:p>
            <w:pPr>
              <w:spacing w:after="0" w:line="252" w:lineRule="auto"/>
            </w:pPr>
            <w:r/>
            <w:r>
              <w:rPr>
                <w:rFonts w:ascii="Calibri" w:hAnsi="Calibri"/>
                <w:b w:val="0"/>
                <w:color w:val="202124"/>
                <w:sz w:val="18"/>
              </w:rPr>
              <w:t>Connexion requise.</w:t>
            </w:r>
          </w:p>
        </w:tc>
      </w:tr>
      <w:tr>
        <w:tc>
          <w:tcPr>
            <w:tcW w:type="dxa" w:w="1550"/>
            <w:tcMar>
              <w:top w:w="80" w:type="dxa"/>
              <w:start w:w="120" w:type="dxa"/>
              <w:bottom w:w="80" w:type="dxa"/>
              <w:end w:w="120" w:type="dxa"/>
            </w:tcMar>
            <w:vAlign w:val="center"/>
            <w:shd w:fill="C8102E"/>
          </w:tcPr>
          <w:p>
            <w:pPr>
              <w:spacing w:after="0" w:line="252" w:lineRule="auto"/>
            </w:pPr>
            <w:r/>
            <w:r>
              <w:rPr>
                <w:rFonts w:ascii="Calibri" w:hAnsi="Calibri"/>
                <w:b/>
                <w:color w:val="FFFFFF"/>
                <w:sz w:val="17"/>
              </w:rPr>
              <w:t>INSCRIT</w:t>
            </w:r>
          </w:p>
        </w:tc>
        <w:tc>
          <w:tcPr>
            <w:tcW w:type="dxa" w:w="7810"/>
            <w:tcMar>
              <w:top w:w="80" w:type="dxa"/>
              <w:start w:w="120" w:type="dxa"/>
              <w:bottom w:w="80" w:type="dxa"/>
              <w:end w:w="120" w:type="dxa"/>
            </w:tcMar>
            <w:vAlign w:val="center"/>
            <w:shd w:fill="FDECEF"/>
          </w:tcPr>
          <w:p>
            <w:pPr>
              <w:spacing w:after="0" w:line="252" w:lineRule="auto"/>
            </w:pPr>
            <w:r/>
            <w:r>
              <w:rPr>
                <w:rFonts w:ascii="Calibri" w:hAnsi="Calibri"/>
                <w:b w:val="0"/>
                <w:color w:val="202124"/>
                <w:sz w:val="18"/>
              </w:rPr>
              <w:t>Recevoir des notifications, suivre les messages non lus, ouvrir la messagerie privée, suivre des membres ou organisateurs et retrouver ses abonnements.</w:t>
            </w:r>
          </w:p>
        </w:tc>
      </w:tr>
      <w:tr>
        <w:tc>
          <w:tcPr>
            <w:tcW w:type="dxa" w:w="1550"/>
            <w:tcMar>
              <w:top w:w="80" w:type="dxa"/>
              <w:start w:w="120" w:type="dxa"/>
              <w:bottom w:w="80" w:type="dxa"/>
              <w:end w:w="120" w:type="dxa"/>
            </w:tcMar>
            <w:vAlign w:val="center"/>
            <w:shd w:fill="3C3489"/>
          </w:tcPr>
          <w:p>
            <w:pPr>
              <w:spacing w:after="0" w:line="252" w:lineRule="auto"/>
            </w:pPr>
            <w:r/>
            <w:r>
              <w:rPr>
                <w:rFonts w:ascii="Calibri" w:hAnsi="Calibri"/>
                <w:b/>
                <w:color w:val="FFFFFF"/>
                <w:sz w:val="17"/>
              </w:rPr>
              <w:t>PREMIUM</w:t>
            </w:r>
          </w:p>
        </w:tc>
        <w:tc>
          <w:tcPr>
            <w:tcW w:type="dxa" w:w="7810"/>
            <w:tcMar>
              <w:top w:w="80" w:type="dxa"/>
              <w:start w:w="120" w:type="dxa"/>
              <w:bottom w:w="80" w:type="dxa"/>
              <w:end w:w="120" w:type="dxa"/>
            </w:tcMar>
            <w:vAlign w:val="center"/>
            <w:shd w:fill="F0EDFF"/>
          </w:tcPr>
          <w:p>
            <w:pPr>
              <w:spacing w:after="0" w:line="252" w:lineRule="auto"/>
            </w:pPr>
            <w:r/>
            <w:r>
              <w:rPr>
                <w:rFonts w:ascii="Calibri" w:hAnsi="Calibri"/>
                <w:b w:val="0"/>
                <w:color w:val="202124"/>
                <w:sz w:val="18"/>
              </w:rPr>
              <w:t>Même accès que le membre.</w:t>
            </w:r>
          </w:p>
        </w:tc>
      </w:tr>
      <w:tr>
        <w:tc>
          <w:tcPr>
            <w:tcW w:type="dxa" w:w="1550"/>
            <w:tcMar>
              <w:top w:w="80" w:type="dxa"/>
              <w:start w:w="120" w:type="dxa"/>
              <w:bottom w:w="80" w:type="dxa"/>
              <w:end w:w="120" w:type="dxa"/>
            </w:tcMar>
            <w:vAlign w:val="center"/>
            <w:shd w:fill="B8860B"/>
          </w:tcPr>
          <w:p>
            <w:pPr>
              <w:spacing w:after="0" w:line="252" w:lineRule="auto"/>
            </w:pPr>
            <w:r/>
            <w:r>
              <w:rPr>
                <w:rFonts w:ascii="Calibri" w:hAnsi="Calibri"/>
                <w:b/>
                <w:color w:val="FFFFFF"/>
                <w:sz w:val="17"/>
              </w:rPr>
              <w:t>ORGANISATEUR</w:t>
            </w:r>
          </w:p>
        </w:tc>
        <w:tc>
          <w:tcPr>
            <w:tcW w:type="dxa" w:w="7810"/>
            <w:tcMar>
              <w:top w:w="80" w:type="dxa"/>
              <w:start w:w="120" w:type="dxa"/>
              <w:bottom w:w="80" w:type="dxa"/>
              <w:end w:w="120" w:type="dxa"/>
            </w:tcMar>
            <w:vAlign w:val="center"/>
            <w:shd w:fill="FFF7DA"/>
          </w:tcPr>
          <w:p>
            <w:pPr>
              <w:spacing w:after="0" w:line="252" w:lineRule="auto"/>
            </w:pPr>
            <w:r/>
            <w:r>
              <w:rPr>
                <w:rFonts w:ascii="Calibri" w:hAnsi="Calibri"/>
                <w:b w:val="0"/>
                <w:color w:val="202124"/>
                <w:sz w:val="18"/>
              </w:rPr>
              <w:t>Recevoir et envoyer des messages au nom de la structure, suivre les interactions et accéder aux indicateurs de sa fiche.</w:t>
            </w:r>
          </w:p>
        </w:tc>
      </w:tr>
    </w:tbl>
    <w:p>
      <w:pPr>
        <w:pStyle w:val="Heading1"/>
      </w:pPr>
      <w:r>
        <w:t>Règles de compte</w:t>
      </w:r>
    </w:p>
    <w:p>
      <w:pPr>
        <w:pStyle w:val="ListBullet"/>
        <w:spacing w:after="60"/>
      </w:pPr>
      <w:r>
        <w:rPr>
          <w:color w:val="202124"/>
        </w:rPr>
        <w:t>Le nom d’utilisateur est unique : deux comptes ne peuvent pas conserver le même pseudo.</w:t>
      </w:r>
    </w:p>
    <w:p>
      <w:pPr>
        <w:pStyle w:val="ListBullet"/>
        <w:spacing w:after="60"/>
      </w:pPr>
      <w:r>
        <w:rPr>
          <w:color w:val="202124"/>
        </w:rPr>
        <w:t>Les contenus personnels et sociaux sont réservés aux personnes connectées.</w:t>
      </w:r>
    </w:p>
    <w:p>
      <w:pPr>
        <w:pStyle w:val="ListBullet"/>
        <w:spacing w:after="60"/>
      </w:pPr>
      <w:r>
        <w:rPr>
          <w:color w:val="202124"/>
        </w:rPr>
        <w:t>Le menu « Mes abonnements » ouvre la page qui explique les offres Premium et Organisateur.</w:t>
      </w:r>
    </w:p>
    <w:p>
      <w:pPr>
        <w:pStyle w:val="ListBullet"/>
        <w:spacing w:after="60"/>
      </w:pPr>
      <w:r>
        <w:rPr>
          <w:color w:val="202124"/>
        </w:rPr>
        <w:t>Le français reste la langue par défaut ; les éléments fixes du site peuvent être affichés en français, anglais ou malagasy.</w:t>
      </w:r>
    </w:p>
    <w:p>
      <w:r>
        <w:br w:type="page"/>
      </w:r>
    </w:p>
    <w:p>
      <w:pPr>
        <w:spacing w:after="80"/>
      </w:pPr>
      <w:r>
        <w:rPr>
          <w:rFonts w:ascii="Calibri" w:hAnsi="Calibri"/>
          <w:b/>
          <w:color w:val="007A3D"/>
          <w:sz w:val="18"/>
        </w:rPr>
        <w:t>OFFRE INDIVIDUELLE</w:t>
      </w:r>
    </w:p>
    <w:p>
      <w:pPr>
        <w:pStyle w:val="Title"/>
      </w:pPr>
      <w:r>
        <w:t>Membre Premium</w:t>
      </w:r>
    </w:p>
    <w:p>
      <w:pPr>
        <w:pStyle w:val="Lead"/>
        <w:spacing w:after="240"/>
      </w:pPr>
      <w:r>
        <w:t>Le Premium complète le compte gratuit pour les membres qui souhaitent soutenir la plateforme et profiter d’avantages communautaires.</w:t>
      </w:r>
    </w:p>
    <w:p>
      <w:pPr>
        <w:pStyle w:val="Heading1"/>
      </w:pPr>
      <w:r>
        <w:t>Avantages affichés</w:t>
      </w:r>
    </w:p>
    <w:p>
      <w:pPr>
        <w:pStyle w:val="ListBullet"/>
        <w:spacing w:after="60"/>
      </w:pPr>
      <w:r>
        <w:rPr>
          <w:color w:val="202124"/>
        </w:rPr>
        <w:t>Badge doré visible sur le profil, les publications, commentaires et discussions.</w:t>
      </w:r>
    </w:p>
    <w:p>
      <w:pPr>
        <w:pStyle w:val="ListBullet"/>
        <w:spacing w:after="60"/>
      </w:pPr>
      <w:r>
        <w:rPr>
          <w:color w:val="202124"/>
        </w:rPr>
        <w:t>Publications communautaires mises en avant pendant 48 heures.</w:t>
      </w:r>
    </w:p>
    <w:p>
      <w:pPr>
        <w:pStyle w:val="ListBullet"/>
        <w:spacing w:after="60"/>
      </w:pPr>
      <w:r>
        <w:rPr>
          <w:color w:val="202124"/>
        </w:rPr>
        <w:t>Réductions exclusives chez les restaurants, boutiques et artisans partenaires.</w:t>
      </w:r>
    </w:p>
    <w:p>
      <w:pPr>
        <w:pStyle w:val="ListBullet"/>
        <w:spacing w:after="60"/>
      </w:pPr>
      <w:r>
        <w:rPr>
          <w:color w:val="202124"/>
        </w:rPr>
        <w:t>QR Premium sécurisé à présenter chez les partenaires actifs.</w:t>
      </w:r>
    </w:p>
    <w:p>
      <w:pPr>
        <w:pStyle w:val="ListBullet"/>
        <w:spacing w:after="60"/>
      </w:pPr>
      <w:r>
        <w:rPr>
          <w:color w:val="202124"/>
        </w:rPr>
        <w:t>Priorité annoncée sur les billets d’événements partenaires et les tombolas réservées.</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Mar>
              <w:top w:w="150" w:type="dxa"/>
              <w:start w:w="180" w:type="dxa"/>
              <w:bottom w:w="150" w:type="dxa"/>
              <w:end w:w="180" w:type="dxa"/>
            </w:tcMar>
            <w:vAlign w:val="center"/>
            <w:shd w:fill="F0EDFF"/>
          </w:tcPr>
          <w:p>
            <w:pPr>
              <w:spacing w:after="60"/>
            </w:pPr>
            <w:r>
              <w:rPr>
                <w:b/>
                <w:color w:val="3C3489"/>
                <w:sz w:val="17"/>
              </w:rPr>
              <w:t>TARIF AFFICHÉ</w:t>
            </w:r>
          </w:p>
          <w:p>
            <w:pPr>
              <w:spacing w:after="0" w:line="269" w:lineRule="auto"/>
            </w:pPr>
            <w:r>
              <w:rPr>
                <w:color w:val="202124"/>
                <w:sz w:val="20"/>
              </w:rPr>
              <w:t>2,50 € par mois, sans engagement.</w:t>
            </w:r>
          </w:p>
        </w:tc>
      </w:tr>
    </w:tbl>
    <w:p>
      <w:pPr>
        <w:spacing w:after="0"/>
      </w:pP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Mar>
              <w:top w:w="150" w:type="dxa"/>
              <w:start w:w="180" w:type="dxa"/>
              <w:bottom w:w="150" w:type="dxa"/>
              <w:end w:w="180" w:type="dxa"/>
            </w:tcMar>
            <w:vAlign w:val="center"/>
            <w:shd w:fill="FDECEF"/>
          </w:tcPr>
          <w:p>
            <w:pPr>
              <w:spacing w:after="60"/>
            </w:pPr>
            <w:r>
              <w:rPr>
                <w:b/>
                <w:color w:val="C8102E"/>
                <w:sz w:val="17"/>
              </w:rPr>
              <w:t>ÉTAT ACTUEL</w:t>
            </w:r>
          </w:p>
          <w:p>
            <w:pPr>
              <w:spacing w:after="0" w:line="269" w:lineRule="auto"/>
            </w:pPr>
            <w:r>
              <w:rPr>
                <w:color w:val="202124"/>
                <w:sz w:val="20"/>
              </w:rPr>
              <w:t>Le paiement en ligne est annoncé comme « très bientôt ». L’activation peut donc encore nécessiter un contact avec l’équipe. Les réductions, billets prioritaires et tombolas dépendent de partenaires actifs.</w:t>
            </w:r>
          </w:p>
        </w:tc>
      </w:tr>
    </w:tbl>
    <w:p>
      <w:pPr>
        <w:spacing w:after="0"/>
      </w:pPr>
    </w:p>
    <w:p>
      <w:pPr>
        <w:pStyle w:val="Heading1"/>
      </w:pPr>
      <w:r>
        <w:t>Ce que Premium ne change pas</w:t>
      </w:r>
    </w:p>
    <w:p>
      <w:pPr>
        <w:pStyle w:val="ListBullet"/>
        <w:spacing w:after="60"/>
      </w:pPr>
      <w:r>
        <w:rPr>
          <w:color w:val="202124"/>
        </w:rPr>
        <w:t>Les annuaires et pages éditoriales restent publics.</w:t>
      </w:r>
    </w:p>
    <w:p>
      <w:pPr>
        <w:pStyle w:val="ListBullet"/>
        <w:spacing w:after="60"/>
      </w:pPr>
      <w:r>
        <w:rPr>
          <w:color w:val="202124"/>
        </w:rPr>
        <w:t>Premium ne donne pas automatiquement les droits de gestion d’un organisateur.</w:t>
      </w:r>
    </w:p>
    <w:p>
      <w:pPr>
        <w:pStyle w:val="ListBullet"/>
        <w:spacing w:after="60"/>
      </w:pPr>
      <w:r>
        <w:rPr>
          <w:color w:val="202124"/>
        </w:rPr>
        <w:t>La publication directe d’événements reste liée au statut Organisateur.</w:t>
      </w:r>
    </w:p>
    <w:p>
      <w:r>
        <w:br w:type="page"/>
      </w:r>
    </w:p>
    <w:p>
      <w:pPr>
        <w:spacing w:after="80"/>
      </w:pPr>
      <w:r>
        <w:rPr>
          <w:rFonts w:ascii="Calibri" w:hAnsi="Calibri"/>
          <w:b/>
          <w:color w:val="007A3D"/>
          <w:sz w:val="18"/>
        </w:rPr>
        <w:t>GESTION PROFESSIONNELLE</w:t>
      </w:r>
    </w:p>
    <w:p>
      <w:pPr>
        <w:pStyle w:val="Title"/>
      </w:pPr>
      <w:r>
        <w:t>Compte Organisateur</w:t>
      </w:r>
    </w:p>
    <w:p>
      <w:pPr>
        <w:pStyle w:val="Lead"/>
        <w:spacing w:after="240"/>
      </w:pPr>
      <w:r>
        <w:t>L’offre Organisateur est destinée aux associations, organisateurs de soirées, clubs, artistes ou structures qui veulent gérer leur présence et publier directement.</w:t>
      </w:r>
    </w:p>
    <w:p>
      <w:pPr>
        <w:pStyle w:val="Heading1"/>
      </w:pPr>
      <w:r>
        <w:t>Fonctions principales</w:t>
      </w:r>
    </w:p>
    <w:p>
      <w:pPr>
        <w:pStyle w:val="ListBullet"/>
        <w:spacing w:after="60"/>
      </w:pPr>
      <w:r>
        <w:rPr>
          <w:color w:val="202124"/>
        </w:rPr>
        <w:t>Réclamer une fiche existante ou créer une nouvelle fiche professionnelle.</w:t>
      </w:r>
    </w:p>
    <w:p>
      <w:pPr>
        <w:pStyle w:val="ListBullet"/>
        <w:spacing w:after="60"/>
      </w:pPr>
      <w:r>
        <w:rPr>
          <w:color w:val="202124"/>
        </w:rPr>
        <w:t>Modifier la présentation, la ville, les liens, les contacts, le logo et l’identité visuelle.</w:t>
      </w:r>
    </w:p>
    <w:p>
      <w:pPr>
        <w:pStyle w:val="ListBullet"/>
        <w:spacing w:after="60"/>
      </w:pPr>
      <w:r>
        <w:rPr>
          <w:color w:val="202124"/>
        </w:rPr>
        <w:t>Publier directement des événements et les rattacher à la bonne structure.</w:t>
      </w:r>
    </w:p>
    <w:p>
      <w:pPr>
        <w:pStyle w:val="ListBullet"/>
        <w:spacing w:after="60"/>
      </w:pPr>
      <w:r>
        <w:rPr>
          <w:color w:val="202124"/>
        </w:rPr>
        <w:t>Publier des actualités sur la fiche, avec photo, puis les modifier ou les supprimer.</w:t>
      </w:r>
    </w:p>
    <w:p>
      <w:pPr>
        <w:pStyle w:val="ListBullet"/>
        <w:spacing w:after="60"/>
      </w:pPr>
      <w:r>
        <w:rPr>
          <w:color w:val="202124"/>
        </w:rPr>
        <w:t>Suivre les abonnés, événements, intérêts, commentaires, rappels et actualités.</w:t>
      </w:r>
    </w:p>
    <w:p>
      <w:pPr>
        <w:pStyle w:val="ListBullet"/>
        <w:spacing w:after="60"/>
      </w:pPr>
      <w:r>
        <w:rPr>
          <w:color w:val="202124"/>
        </w:rPr>
        <w:t>Utiliser la messagerie et publier dans la Communauté au nom de l’organisme.</w:t>
      </w:r>
    </w:p>
    <w:p>
      <w:pPr>
        <w:pStyle w:val="ListBullet"/>
        <w:spacing w:after="60"/>
      </w:pPr>
      <w:r>
        <w:rPr>
          <w:color w:val="202124"/>
        </w:rPr>
        <w:t>Gérer une équipe lorsque plusieurs personnes doivent intervenir sur la fiche.</w:t>
      </w:r>
    </w:p>
    <w:p>
      <w:pPr>
        <w:pStyle w:val="Heading1"/>
      </w:pPr>
      <w:r>
        <w:t>Offres professionnelles affichées</w:t>
      </w:r>
    </w:p>
    <w:tbl>
      <w:tblPr>
        <w:tblStyle w:val="TableGrid"/>
        <w:tblW w:type="dxa" w:w="9360"/>
        <w:jc w:val="center"/>
        <w:tblLayout w:type="fixed"/>
        <w:tblLook w:firstColumn="1" w:firstRow="1" w:lastColumn="0" w:lastRow="0" w:noHBand="0" w:noVBand="1" w:val="04A0"/>
      </w:tblPr>
      <w:tblGrid>
        <w:gridCol w:w="2550"/>
        <w:gridCol w:w="1700"/>
        <w:gridCol w:w="5110"/>
      </w:tblGrid>
      <w:tr>
        <w:tc>
          <w:tcPr>
            <w:tcW w:type="dxa" w:w="2550"/>
            <w:tcMar>
              <w:top w:w="80" w:type="dxa"/>
              <w:start w:w="120" w:type="dxa"/>
              <w:bottom w:w="80" w:type="dxa"/>
              <w:end w:w="120" w:type="dxa"/>
            </w:tcMar>
            <w:vAlign w:val="center"/>
            <w:shd w:fill="007A3D"/>
          </w:tcPr>
          <w:p>
            <w:pPr>
              <w:spacing w:after="0" w:line="252" w:lineRule="auto"/>
              <w:jc w:val="center"/>
            </w:pPr>
            <w:r/>
            <w:r>
              <w:rPr>
                <w:rFonts w:ascii="Calibri" w:hAnsi="Calibri"/>
                <w:b/>
                <w:color w:val="FFFFFF"/>
                <w:sz w:val="18"/>
              </w:rPr>
              <w:t>Offre</w:t>
            </w:r>
          </w:p>
        </w:tc>
        <w:tc>
          <w:tcPr>
            <w:tcW w:type="dxa" w:w="1700"/>
            <w:tcMar>
              <w:top w:w="80" w:type="dxa"/>
              <w:start w:w="120" w:type="dxa"/>
              <w:bottom w:w="80" w:type="dxa"/>
              <w:end w:w="120" w:type="dxa"/>
            </w:tcMar>
            <w:vAlign w:val="center"/>
            <w:shd w:fill="C8102E"/>
          </w:tcPr>
          <w:p>
            <w:pPr>
              <w:spacing w:after="0" w:line="252" w:lineRule="auto"/>
              <w:jc w:val="center"/>
            </w:pPr>
            <w:r/>
            <w:r>
              <w:rPr>
                <w:rFonts w:ascii="Calibri" w:hAnsi="Calibri"/>
                <w:b/>
                <w:color w:val="FFFFFF"/>
                <w:sz w:val="18"/>
              </w:rPr>
              <w:t>Tarif</w:t>
            </w:r>
          </w:p>
        </w:tc>
        <w:tc>
          <w:tcPr>
            <w:tcW w:type="dxa" w:w="5110"/>
            <w:tcMar>
              <w:top w:w="80" w:type="dxa"/>
              <w:start w:w="120" w:type="dxa"/>
              <w:bottom w:w="80" w:type="dxa"/>
              <w:end w:w="120" w:type="dxa"/>
            </w:tcMar>
            <w:vAlign w:val="center"/>
            <w:shd w:fill="B8860B"/>
          </w:tcPr>
          <w:p>
            <w:pPr>
              <w:spacing w:after="0" w:line="252" w:lineRule="auto"/>
              <w:jc w:val="center"/>
            </w:pPr>
            <w:r/>
            <w:r>
              <w:rPr>
                <w:rFonts w:ascii="Calibri" w:hAnsi="Calibri"/>
                <w:b/>
                <w:color w:val="FFFFFF"/>
                <w:sz w:val="18"/>
              </w:rPr>
              <w:t>Objet</w:t>
            </w:r>
          </w:p>
        </w:tc>
      </w:tr>
      <w:tr>
        <w:tc>
          <w:tcPr>
            <w:tcW w:type="dxa" w:w="2550"/>
            <w:tcMar>
              <w:top w:w="80" w:type="dxa"/>
              <w:start w:w="120" w:type="dxa"/>
              <w:bottom w:w="80" w:type="dxa"/>
              <w:end w:w="120" w:type="dxa"/>
            </w:tcMar>
            <w:vAlign w:val="center"/>
            <w:shd w:fill="FFFFFF"/>
          </w:tcPr>
          <w:p>
            <w:pPr>
              <w:spacing w:after="0" w:line="252" w:lineRule="auto"/>
            </w:pPr>
            <w:r/>
            <w:r>
              <w:rPr>
                <w:rFonts w:ascii="Calibri" w:hAnsi="Calibri"/>
                <w:b/>
                <w:color w:val="202124"/>
                <w:sz w:val="17"/>
              </w:rPr>
              <w:t>Offre Organisateur</w:t>
            </w:r>
          </w:p>
        </w:tc>
        <w:tc>
          <w:tcPr>
            <w:tcW w:type="dxa" w:w="1700"/>
            <w:tcMar>
              <w:top w:w="80" w:type="dxa"/>
              <w:start w:w="120" w:type="dxa"/>
              <w:bottom w:w="80" w:type="dxa"/>
              <w:end w:w="120" w:type="dxa"/>
            </w:tcMar>
            <w:vAlign w:val="center"/>
            <w:shd w:fill="FFFFFF"/>
          </w:tcPr>
          <w:p>
            <w:pPr>
              <w:spacing w:after="0" w:line="252" w:lineRule="auto"/>
            </w:pPr>
            <w:r/>
            <w:r>
              <w:rPr>
                <w:rFonts w:ascii="Calibri" w:hAnsi="Calibri"/>
                <w:b w:val="0"/>
                <w:color w:val="202124"/>
                <w:sz w:val="17"/>
              </w:rPr>
              <w:t>15 € / mois</w:t>
            </w:r>
          </w:p>
        </w:tc>
        <w:tc>
          <w:tcPr>
            <w:tcW w:type="dxa" w:w="5110"/>
            <w:tcMar>
              <w:top w:w="80" w:type="dxa"/>
              <w:start w:w="120" w:type="dxa"/>
              <w:bottom w:w="80" w:type="dxa"/>
              <w:end w:w="120" w:type="dxa"/>
            </w:tcMar>
            <w:vAlign w:val="center"/>
            <w:shd w:fill="FFFFFF"/>
          </w:tcPr>
          <w:p>
            <w:pPr>
              <w:spacing w:after="0" w:line="252" w:lineRule="auto"/>
            </w:pPr>
            <w:r/>
            <w:r>
              <w:rPr>
                <w:rFonts w:ascii="Calibri" w:hAnsi="Calibri"/>
                <w:b w:val="0"/>
                <w:color w:val="202124"/>
                <w:sz w:val="17"/>
              </w:rPr>
              <w:t>Fiche, publication directe, profil, abonnés, messages et visibilité renforcée.</w:t>
            </w:r>
          </w:p>
        </w:tc>
      </w:tr>
      <w:tr>
        <w:tc>
          <w:tcPr>
            <w:tcW w:type="dxa" w:w="2550"/>
            <w:tcMar>
              <w:top w:w="80" w:type="dxa"/>
              <w:start w:w="120" w:type="dxa"/>
              <w:bottom w:w="80" w:type="dxa"/>
              <w:end w:w="120" w:type="dxa"/>
            </w:tcMar>
            <w:vAlign w:val="center"/>
            <w:shd w:fill="F5F6F7"/>
          </w:tcPr>
          <w:p>
            <w:pPr>
              <w:spacing w:after="0" w:line="252" w:lineRule="auto"/>
            </w:pPr>
            <w:r/>
            <w:r>
              <w:rPr>
                <w:rFonts w:ascii="Calibri" w:hAnsi="Calibri"/>
                <w:b/>
                <w:color w:val="202124"/>
                <w:sz w:val="17"/>
              </w:rPr>
              <w:t>Orga Pro</w:t>
            </w:r>
          </w:p>
        </w:tc>
        <w:tc>
          <w:tcPr>
            <w:tcW w:type="dxa" w:w="1700"/>
            <w:tcMar>
              <w:top w:w="80" w:type="dxa"/>
              <w:start w:w="120" w:type="dxa"/>
              <w:bottom w:w="80" w:type="dxa"/>
              <w:end w:w="120" w:type="dxa"/>
            </w:tcMar>
            <w:vAlign w:val="center"/>
            <w:shd w:fill="F5F6F7"/>
          </w:tcPr>
          <w:p>
            <w:pPr>
              <w:spacing w:after="0" w:line="252" w:lineRule="auto"/>
            </w:pPr>
            <w:r/>
            <w:r>
              <w:rPr>
                <w:rFonts w:ascii="Calibri" w:hAnsi="Calibri"/>
                <w:b w:val="0"/>
                <w:color w:val="202124"/>
                <w:sz w:val="17"/>
              </w:rPr>
              <w:t>15 € / mois</w:t>
              <w:br/>
              <w:t>ou 149 € / an</w:t>
            </w:r>
          </w:p>
        </w:tc>
        <w:tc>
          <w:tcPr>
            <w:tcW w:type="dxa" w:w="5110"/>
            <w:tcMar>
              <w:top w:w="80" w:type="dxa"/>
              <w:start w:w="120" w:type="dxa"/>
              <w:bottom w:w="80" w:type="dxa"/>
              <w:end w:w="120" w:type="dxa"/>
            </w:tcMar>
            <w:vAlign w:val="center"/>
            <w:shd w:fill="F5F6F7"/>
          </w:tcPr>
          <w:p>
            <w:pPr>
              <w:spacing w:after="0" w:line="252" w:lineRule="auto"/>
            </w:pPr>
            <w:r/>
            <w:r>
              <w:rPr>
                <w:rFonts w:ascii="Calibri" w:hAnsi="Calibri"/>
                <w:b w:val="0"/>
                <w:color w:val="202124"/>
                <w:sz w:val="17"/>
              </w:rPr>
              <w:t>Rappels J-3, calendrier intégrable, événements récurrents, statistiques avancées et un boost mensuel annoncés.</w:t>
            </w:r>
          </w:p>
        </w:tc>
      </w:tr>
      <w:tr>
        <w:tc>
          <w:tcPr>
            <w:tcW w:type="dxa" w:w="2550"/>
            <w:tcMar>
              <w:top w:w="80" w:type="dxa"/>
              <w:start w:w="120" w:type="dxa"/>
              <w:bottom w:w="80" w:type="dxa"/>
              <w:end w:w="120" w:type="dxa"/>
            </w:tcMar>
            <w:vAlign w:val="center"/>
            <w:shd w:fill="FFFFFF"/>
          </w:tcPr>
          <w:p>
            <w:pPr>
              <w:spacing w:after="0" w:line="252" w:lineRule="auto"/>
            </w:pPr>
            <w:r/>
            <w:r>
              <w:rPr>
                <w:rFonts w:ascii="Calibri" w:hAnsi="Calibri"/>
                <w:b/>
                <w:color w:val="202124"/>
                <w:sz w:val="17"/>
              </w:rPr>
              <w:t>Boost événement</w:t>
            </w:r>
          </w:p>
        </w:tc>
        <w:tc>
          <w:tcPr>
            <w:tcW w:type="dxa" w:w="1700"/>
            <w:tcMar>
              <w:top w:w="80" w:type="dxa"/>
              <w:start w:w="120" w:type="dxa"/>
              <w:bottom w:w="80" w:type="dxa"/>
              <w:end w:w="120" w:type="dxa"/>
            </w:tcMar>
            <w:vAlign w:val="center"/>
            <w:shd w:fill="FFFFFF"/>
          </w:tcPr>
          <w:p>
            <w:pPr>
              <w:spacing w:after="0" w:line="252" w:lineRule="auto"/>
            </w:pPr>
            <w:r/>
            <w:r>
              <w:rPr>
                <w:rFonts w:ascii="Calibri" w:hAnsi="Calibri"/>
                <w:b w:val="0"/>
                <w:color w:val="202124"/>
                <w:sz w:val="17"/>
              </w:rPr>
              <w:t>24 € / 7 jours</w:t>
            </w:r>
          </w:p>
        </w:tc>
        <w:tc>
          <w:tcPr>
            <w:tcW w:type="dxa" w:w="5110"/>
            <w:tcMar>
              <w:top w:w="80" w:type="dxa"/>
              <w:start w:w="120" w:type="dxa"/>
              <w:bottom w:w="80" w:type="dxa"/>
              <w:end w:w="120" w:type="dxa"/>
            </w:tcMar>
            <w:vAlign w:val="center"/>
            <w:shd w:fill="FFFFFF"/>
          </w:tcPr>
          <w:p>
            <w:pPr>
              <w:spacing w:after="0" w:line="252" w:lineRule="auto"/>
            </w:pPr>
            <w:r/>
            <w:r>
              <w:rPr>
                <w:rFonts w:ascii="Calibri" w:hAnsi="Calibri"/>
                <w:b w:val="0"/>
                <w:color w:val="202124"/>
                <w:sz w:val="17"/>
              </w:rPr>
              <w:t>Événement à la une, bannière d’accueil et rappel aux personnes intéressées.</w:t>
            </w:r>
          </w:p>
        </w:tc>
      </w:tr>
    </w:tbl>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Mar>
              <w:top w:w="150" w:type="dxa"/>
              <w:start w:w="180" w:type="dxa"/>
              <w:bottom w:w="150" w:type="dxa"/>
              <w:end w:w="180" w:type="dxa"/>
            </w:tcMar>
            <w:vAlign w:val="center"/>
            <w:shd w:fill="FFF7DA"/>
          </w:tcPr>
          <w:p>
            <w:pPr>
              <w:spacing w:after="60"/>
            </w:pPr>
            <w:r>
              <w:rPr>
                <w:b/>
                <w:color w:val="B8860B"/>
                <w:sz w:val="17"/>
              </w:rPr>
              <w:t>ÉTAT ACTUEL</w:t>
            </w:r>
          </w:p>
          <w:p>
            <w:pPr>
              <w:spacing w:after="0" w:line="269" w:lineRule="auto"/>
            </w:pPr>
            <w:r>
              <w:rPr>
                <w:color w:val="202124"/>
                <w:sz w:val="20"/>
              </w:rPr>
              <w:t>Les statistiques de base existent. Les statistiques avancées, le calendrier intégrable, les récurrences automatiques, les boosts mensuels et le paiement sécurisé sont annoncés mais peuvent nécessiter une activation ultérieure.</w:t>
            </w:r>
          </w:p>
        </w:tc>
      </w:tr>
    </w:tbl>
    <w:p>
      <w:pPr>
        <w:spacing w:after="0"/>
      </w:pPr>
    </w:p>
    <w:p>
      <w:r>
        <w:br w:type="page"/>
      </w:r>
    </w:p>
    <w:p>
      <w:pPr>
        <w:spacing w:after="80"/>
      </w:pPr>
      <w:r>
        <w:rPr>
          <w:rFonts w:ascii="Calibri" w:hAnsi="Calibri"/>
          <w:b/>
          <w:color w:val="007A3D"/>
          <w:sz w:val="18"/>
        </w:rPr>
        <w:t>DISPONIBLE OU À FINALISER</w:t>
      </w:r>
    </w:p>
    <w:p>
      <w:pPr>
        <w:pStyle w:val="Title"/>
      </w:pPr>
      <w:r>
        <w:t>État des fonctionnalités</w:t>
      </w:r>
    </w:p>
    <w:p>
      <w:pPr>
        <w:pStyle w:val="Lead"/>
        <w:spacing w:after="240"/>
      </w:pPr>
      <w:r>
        <w:t>Cette dernière page sert de référence rapide pour la communication avec les membres, partenaires et organisateurs.</w:t>
      </w:r>
    </w:p>
    <w:tbl>
      <w:tblPr>
        <w:tblStyle w:val="TableGrid"/>
        <w:tblW w:type="dxa" w:w="9360"/>
        <w:jc w:val="center"/>
        <w:tblLayout w:type="fixed"/>
        <w:tblLook w:firstColumn="1" w:firstRow="1" w:lastColumn="0" w:lastRow="0" w:noHBand="0" w:noVBand="1" w:val="04A0"/>
      </w:tblPr>
      <w:tblGrid>
        <w:gridCol w:w="2650"/>
        <w:gridCol w:w="1910"/>
        <w:gridCol w:w="4800"/>
      </w:tblGrid>
      <w:tr>
        <w:tc>
          <w:tcPr>
            <w:tcW w:type="dxa" w:w="2650"/>
            <w:tcMar>
              <w:top w:w="80" w:type="dxa"/>
              <w:start w:w="120" w:type="dxa"/>
              <w:bottom w:w="80" w:type="dxa"/>
              <w:end w:w="120" w:type="dxa"/>
            </w:tcMar>
            <w:vAlign w:val="center"/>
            <w:shd w:fill="202124"/>
          </w:tcPr>
          <w:p>
            <w:pPr>
              <w:spacing w:after="0" w:line="252" w:lineRule="auto"/>
              <w:jc w:val="center"/>
            </w:pPr>
            <w:r/>
            <w:r>
              <w:rPr>
                <w:rFonts w:ascii="Calibri" w:hAnsi="Calibri"/>
                <w:b/>
                <w:color w:val="FFFFFF"/>
                <w:sz w:val="18"/>
              </w:rPr>
              <w:t>Fonction</w:t>
            </w:r>
          </w:p>
        </w:tc>
        <w:tc>
          <w:tcPr>
            <w:tcW w:type="dxa" w:w="1910"/>
            <w:tcMar>
              <w:top w:w="80" w:type="dxa"/>
              <w:start w:w="120" w:type="dxa"/>
              <w:bottom w:w="80" w:type="dxa"/>
              <w:end w:w="120" w:type="dxa"/>
            </w:tcMar>
            <w:vAlign w:val="center"/>
            <w:shd w:fill="202124"/>
          </w:tcPr>
          <w:p>
            <w:pPr>
              <w:spacing w:after="0" w:line="252" w:lineRule="auto"/>
              <w:jc w:val="center"/>
            </w:pPr>
            <w:r/>
            <w:r>
              <w:rPr>
                <w:rFonts w:ascii="Calibri" w:hAnsi="Calibri"/>
                <w:b/>
                <w:color w:val="FFFFFF"/>
                <w:sz w:val="18"/>
              </w:rPr>
              <w:t>Statut</w:t>
            </w:r>
          </w:p>
        </w:tc>
        <w:tc>
          <w:tcPr>
            <w:tcW w:type="dxa" w:w="4800"/>
            <w:tcMar>
              <w:top w:w="80" w:type="dxa"/>
              <w:start w:w="120" w:type="dxa"/>
              <w:bottom w:w="80" w:type="dxa"/>
              <w:end w:w="120" w:type="dxa"/>
            </w:tcMar>
            <w:vAlign w:val="center"/>
            <w:shd w:fill="202124"/>
          </w:tcPr>
          <w:p>
            <w:pPr>
              <w:spacing w:after="0" w:line="252" w:lineRule="auto"/>
              <w:jc w:val="center"/>
            </w:pPr>
            <w:r/>
            <w:r>
              <w:rPr>
                <w:rFonts w:ascii="Calibri" w:hAnsi="Calibri"/>
                <w:b/>
                <w:color w:val="FFFFFF"/>
                <w:sz w:val="18"/>
              </w:rPr>
              <w:t>Précision</w:t>
            </w:r>
          </w:p>
        </w:tc>
      </w:tr>
      <w:tr>
        <w:tc>
          <w:tcPr>
            <w:tcW w:type="dxa" w:w="2650"/>
            <w:shd w:fill="FFFFFF"/>
          </w:tcPr>
          <w:p>
            <w:pPr>
              <w:spacing w:after="0" w:line="252" w:lineRule="auto"/>
            </w:pPr>
            <w:r/>
            <w:r>
              <w:rPr>
                <w:rFonts w:ascii="Calibri" w:hAnsi="Calibri"/>
                <w:b/>
                <w:color w:val="202124"/>
                <w:sz w:val="16"/>
              </w:rPr>
              <w:t>Agenda, recherche, filtres, calendrier</w:t>
            </w:r>
          </w:p>
        </w:tc>
        <w:tc>
          <w:tcPr>
            <w:tcW w:type="dxa" w:w="1910"/>
            <w:shd w:fill="FFFFFF"/>
          </w:tcPr>
          <w:p>
            <w:pPr>
              <w:spacing w:after="0" w:line="252" w:lineRule="auto"/>
            </w:pPr>
            <w:r/>
            <w:r>
              <w:rPr>
                <w:rFonts w:ascii="Calibri" w:hAnsi="Calibri"/>
                <w:b/>
                <w:color w:val="007A3D"/>
                <w:sz w:val="16"/>
              </w:rPr>
              <w:t>DISPONIBLE</w:t>
            </w:r>
          </w:p>
        </w:tc>
        <w:tc>
          <w:tcPr>
            <w:tcW w:type="dxa" w:w="4800"/>
            <w:shd w:fill="FFFFFF"/>
          </w:tcPr>
          <w:p>
            <w:pPr>
              <w:spacing w:after="0" w:line="252" w:lineRule="auto"/>
            </w:pPr>
            <w:r/>
            <w:r>
              <w:rPr>
                <w:rFonts w:ascii="Calibri" w:hAnsi="Calibri"/>
                <w:b w:val="0"/>
                <w:color w:val="202124"/>
                <w:sz w:val="16"/>
              </w:rPr>
              <w:t>Public et indexable.</w:t>
            </w:r>
          </w:p>
        </w:tc>
      </w:tr>
      <w:tr>
        <w:tc>
          <w:tcPr>
            <w:tcW w:type="dxa" w:w="2650"/>
            <w:shd w:fill="F5F6F7"/>
          </w:tcPr>
          <w:p>
            <w:pPr>
              <w:spacing w:after="0" w:line="252" w:lineRule="auto"/>
            </w:pPr>
            <w:r/>
            <w:r>
              <w:rPr>
                <w:rFonts w:ascii="Calibri" w:hAnsi="Calibri"/>
                <w:b/>
                <w:color w:val="202124"/>
                <w:sz w:val="16"/>
              </w:rPr>
              <w:t>Annuaires, cartes et fiches</w:t>
            </w:r>
          </w:p>
        </w:tc>
        <w:tc>
          <w:tcPr>
            <w:tcW w:type="dxa" w:w="1910"/>
            <w:shd w:fill="F5F6F7"/>
          </w:tcPr>
          <w:p>
            <w:pPr>
              <w:spacing w:after="0" w:line="252" w:lineRule="auto"/>
            </w:pPr>
            <w:r/>
            <w:r>
              <w:rPr>
                <w:rFonts w:ascii="Calibri" w:hAnsi="Calibri"/>
                <w:b/>
                <w:color w:val="007A3D"/>
                <w:sz w:val="16"/>
              </w:rPr>
              <w:t>DISPONIBLE</w:t>
            </w:r>
          </w:p>
        </w:tc>
        <w:tc>
          <w:tcPr>
            <w:tcW w:type="dxa" w:w="4800"/>
            <w:shd w:fill="F5F6F7"/>
          </w:tcPr>
          <w:p>
            <w:pPr>
              <w:spacing w:after="0" w:line="252" w:lineRule="auto"/>
            </w:pPr>
            <w:r/>
            <w:r>
              <w:rPr>
                <w:rFonts w:ascii="Calibri" w:hAnsi="Calibri"/>
                <w:b w:val="0"/>
                <w:color w:val="202124"/>
                <w:sz w:val="16"/>
              </w:rPr>
              <w:t>Publics ; contacts selon les données disponibles.</w:t>
            </w:r>
          </w:p>
        </w:tc>
      </w:tr>
      <w:tr>
        <w:tc>
          <w:tcPr>
            <w:tcW w:type="dxa" w:w="2650"/>
            <w:shd w:fill="FFFFFF"/>
          </w:tcPr>
          <w:p>
            <w:pPr>
              <w:spacing w:after="0" w:line="252" w:lineRule="auto"/>
            </w:pPr>
            <w:r/>
            <w:r>
              <w:rPr>
                <w:rFonts w:ascii="Calibri" w:hAnsi="Calibri"/>
                <w:b/>
                <w:color w:val="202124"/>
                <w:sz w:val="16"/>
              </w:rPr>
              <w:t>Compte, profil, pseudo unique</w:t>
            </w:r>
          </w:p>
        </w:tc>
        <w:tc>
          <w:tcPr>
            <w:tcW w:type="dxa" w:w="1910"/>
            <w:shd w:fill="FFFFFF"/>
          </w:tcPr>
          <w:p>
            <w:pPr>
              <w:spacing w:after="0" w:line="252" w:lineRule="auto"/>
            </w:pPr>
            <w:r/>
            <w:r>
              <w:rPr>
                <w:rFonts w:ascii="Calibri" w:hAnsi="Calibri"/>
                <w:b/>
                <w:color w:val="007A3D"/>
                <w:sz w:val="16"/>
              </w:rPr>
              <w:t>DISPONIBLE</w:t>
            </w:r>
          </w:p>
        </w:tc>
        <w:tc>
          <w:tcPr>
            <w:tcW w:type="dxa" w:w="4800"/>
            <w:shd w:fill="FFFFFF"/>
          </w:tcPr>
          <w:p>
            <w:pPr>
              <w:spacing w:after="0" w:line="252" w:lineRule="auto"/>
            </w:pPr>
            <w:r/>
            <w:r>
              <w:rPr>
                <w:rFonts w:ascii="Calibri" w:hAnsi="Calibri"/>
                <w:b w:val="0"/>
                <w:color w:val="202124"/>
                <w:sz w:val="16"/>
              </w:rPr>
              <w:t>Connexion requise pour les données personnelles.</w:t>
            </w:r>
          </w:p>
        </w:tc>
      </w:tr>
      <w:tr>
        <w:tc>
          <w:tcPr>
            <w:tcW w:type="dxa" w:w="2650"/>
            <w:shd w:fill="F5F6F7"/>
          </w:tcPr>
          <w:p>
            <w:pPr>
              <w:spacing w:after="0" w:line="252" w:lineRule="auto"/>
            </w:pPr>
            <w:r/>
            <w:r>
              <w:rPr>
                <w:rFonts w:ascii="Calibri" w:hAnsi="Calibri"/>
                <w:b/>
                <w:color w:val="202124"/>
                <w:sz w:val="16"/>
              </w:rPr>
              <w:t>Communauté, commentaires, messages</w:t>
            </w:r>
          </w:p>
        </w:tc>
        <w:tc>
          <w:tcPr>
            <w:tcW w:type="dxa" w:w="1910"/>
            <w:shd w:fill="F5F6F7"/>
          </w:tcPr>
          <w:p>
            <w:pPr>
              <w:spacing w:after="0" w:line="252" w:lineRule="auto"/>
            </w:pPr>
            <w:r/>
            <w:r>
              <w:rPr>
                <w:rFonts w:ascii="Calibri" w:hAnsi="Calibri"/>
                <w:b/>
                <w:color w:val="007A3D"/>
                <w:sz w:val="16"/>
              </w:rPr>
              <w:t>DISPONIBLE</w:t>
            </w:r>
          </w:p>
        </w:tc>
        <w:tc>
          <w:tcPr>
            <w:tcW w:type="dxa" w:w="4800"/>
            <w:shd w:fill="F5F6F7"/>
          </w:tcPr>
          <w:p>
            <w:pPr>
              <w:spacing w:after="0" w:line="252" w:lineRule="auto"/>
            </w:pPr>
            <w:r/>
            <w:r>
              <w:rPr>
                <w:rFonts w:ascii="Calibri" w:hAnsi="Calibri"/>
                <w:b w:val="0"/>
                <w:color w:val="202124"/>
                <w:sz w:val="16"/>
              </w:rPr>
              <w:t>Réservé aux membres connectés.</w:t>
            </w:r>
          </w:p>
        </w:tc>
      </w:tr>
      <w:tr>
        <w:tc>
          <w:tcPr>
            <w:tcW w:type="dxa" w:w="2650"/>
            <w:shd w:fill="FFFFFF"/>
          </w:tcPr>
          <w:p>
            <w:pPr>
              <w:spacing w:after="0" w:line="252" w:lineRule="auto"/>
            </w:pPr>
            <w:r/>
            <w:r>
              <w:rPr>
                <w:rFonts w:ascii="Calibri" w:hAnsi="Calibri"/>
                <w:b/>
                <w:color w:val="202124"/>
                <w:sz w:val="16"/>
              </w:rPr>
              <w:t>Blocage utilisateur</w:t>
            </w:r>
          </w:p>
        </w:tc>
        <w:tc>
          <w:tcPr>
            <w:tcW w:type="dxa" w:w="1910"/>
            <w:shd w:fill="FFFFFF"/>
          </w:tcPr>
          <w:p>
            <w:pPr>
              <w:spacing w:after="0" w:line="252" w:lineRule="auto"/>
            </w:pPr>
            <w:r/>
            <w:r>
              <w:rPr>
                <w:rFonts w:ascii="Calibri" w:hAnsi="Calibri"/>
                <w:b/>
                <w:color w:val="007A3D"/>
                <w:sz w:val="16"/>
              </w:rPr>
              <w:t>DISPONIBLE</w:t>
            </w:r>
          </w:p>
        </w:tc>
        <w:tc>
          <w:tcPr>
            <w:tcW w:type="dxa" w:w="4800"/>
            <w:shd w:fill="FFFFFF"/>
          </w:tcPr>
          <w:p>
            <w:pPr>
              <w:spacing w:after="0" w:line="252" w:lineRule="auto"/>
            </w:pPr>
            <w:r/>
            <w:r>
              <w:rPr>
                <w:rFonts w:ascii="Calibri" w:hAnsi="Calibri"/>
                <w:b w:val="0"/>
                <w:color w:val="202124"/>
                <w:sz w:val="16"/>
              </w:rPr>
              <w:t>Protection contre les échanges indésirables.</w:t>
            </w:r>
          </w:p>
        </w:tc>
      </w:tr>
      <w:tr>
        <w:tc>
          <w:tcPr>
            <w:tcW w:type="dxa" w:w="2650"/>
            <w:shd w:fill="F5F6F7"/>
          </w:tcPr>
          <w:p>
            <w:pPr>
              <w:spacing w:after="0" w:line="252" w:lineRule="auto"/>
            </w:pPr>
            <w:r/>
            <w:r>
              <w:rPr>
                <w:rFonts w:ascii="Calibri" w:hAnsi="Calibri"/>
                <w:b/>
                <w:color w:val="202124"/>
                <w:sz w:val="16"/>
              </w:rPr>
              <w:t>Notifications et suivi</w:t>
            </w:r>
          </w:p>
        </w:tc>
        <w:tc>
          <w:tcPr>
            <w:tcW w:type="dxa" w:w="1910"/>
            <w:shd w:fill="F5F6F7"/>
          </w:tcPr>
          <w:p>
            <w:pPr>
              <w:spacing w:after="0" w:line="252" w:lineRule="auto"/>
            </w:pPr>
            <w:r/>
            <w:r>
              <w:rPr>
                <w:rFonts w:ascii="Calibri" w:hAnsi="Calibri"/>
                <w:b/>
                <w:color w:val="007A3D"/>
                <w:sz w:val="16"/>
              </w:rPr>
              <w:t>DISPONIBLE</w:t>
            </w:r>
          </w:p>
        </w:tc>
        <w:tc>
          <w:tcPr>
            <w:tcW w:type="dxa" w:w="4800"/>
            <w:shd w:fill="F5F6F7"/>
          </w:tcPr>
          <w:p>
            <w:pPr>
              <w:spacing w:after="0" w:line="252" w:lineRule="auto"/>
            </w:pPr>
            <w:r/>
            <w:r>
              <w:rPr>
                <w:rFonts w:ascii="Calibri" w:hAnsi="Calibri"/>
                <w:b w:val="0"/>
                <w:color w:val="202124"/>
                <w:sz w:val="16"/>
              </w:rPr>
              <w:t>Membres et organisateurs.</w:t>
            </w:r>
          </w:p>
        </w:tc>
      </w:tr>
      <w:tr>
        <w:tc>
          <w:tcPr>
            <w:tcW w:type="dxa" w:w="2650"/>
            <w:shd w:fill="FFFFFF"/>
          </w:tcPr>
          <w:p>
            <w:pPr>
              <w:spacing w:after="0" w:line="252" w:lineRule="auto"/>
            </w:pPr>
            <w:r/>
            <w:r>
              <w:rPr>
                <w:rFonts w:ascii="Calibri" w:hAnsi="Calibri"/>
                <w:b/>
                <w:color w:val="202124"/>
                <w:sz w:val="16"/>
              </w:rPr>
              <w:t>Publication directe organisateur</w:t>
            </w:r>
          </w:p>
        </w:tc>
        <w:tc>
          <w:tcPr>
            <w:tcW w:type="dxa" w:w="1910"/>
            <w:shd w:fill="FFFFFF"/>
          </w:tcPr>
          <w:p>
            <w:pPr>
              <w:spacing w:after="0" w:line="252" w:lineRule="auto"/>
            </w:pPr>
            <w:r/>
            <w:r>
              <w:rPr>
                <w:rFonts w:ascii="Calibri" w:hAnsi="Calibri"/>
                <w:b/>
                <w:color w:val="007A3D"/>
                <w:sz w:val="16"/>
              </w:rPr>
              <w:t>DISPONIBLE</w:t>
            </w:r>
          </w:p>
        </w:tc>
        <w:tc>
          <w:tcPr>
            <w:tcW w:type="dxa" w:w="4800"/>
            <w:shd w:fill="FFFFFF"/>
          </w:tcPr>
          <w:p>
            <w:pPr>
              <w:spacing w:after="0" w:line="252" w:lineRule="auto"/>
            </w:pPr>
            <w:r/>
            <w:r>
              <w:rPr>
                <w:rFonts w:ascii="Calibri" w:hAnsi="Calibri"/>
                <w:b w:val="0"/>
                <w:color w:val="202124"/>
                <w:sz w:val="16"/>
              </w:rPr>
              <w:t>Après rattachement de la fiche et activation du rôle.</w:t>
            </w:r>
          </w:p>
        </w:tc>
      </w:tr>
      <w:tr>
        <w:tc>
          <w:tcPr>
            <w:tcW w:type="dxa" w:w="2650"/>
            <w:shd w:fill="F5F6F7"/>
          </w:tcPr>
          <w:p>
            <w:pPr>
              <w:spacing w:after="0" w:line="252" w:lineRule="auto"/>
            </w:pPr>
            <w:r/>
            <w:r>
              <w:rPr>
                <w:rFonts w:ascii="Calibri" w:hAnsi="Calibri"/>
                <w:b/>
                <w:color w:val="202124"/>
                <w:sz w:val="16"/>
              </w:rPr>
              <w:t>Statistiques organisateur de base</w:t>
            </w:r>
          </w:p>
        </w:tc>
        <w:tc>
          <w:tcPr>
            <w:tcW w:type="dxa" w:w="1910"/>
            <w:shd w:fill="F5F6F7"/>
          </w:tcPr>
          <w:p>
            <w:pPr>
              <w:spacing w:after="0" w:line="252" w:lineRule="auto"/>
            </w:pPr>
            <w:r/>
            <w:r>
              <w:rPr>
                <w:rFonts w:ascii="Calibri" w:hAnsi="Calibri"/>
                <w:b/>
                <w:color w:val="007A3D"/>
                <w:sz w:val="16"/>
              </w:rPr>
              <w:t>DISPONIBLE</w:t>
            </w:r>
          </w:p>
        </w:tc>
        <w:tc>
          <w:tcPr>
            <w:tcW w:type="dxa" w:w="4800"/>
            <w:shd w:fill="F5F6F7"/>
          </w:tcPr>
          <w:p>
            <w:pPr>
              <w:spacing w:after="0" w:line="252" w:lineRule="auto"/>
            </w:pPr>
            <w:r/>
            <w:r>
              <w:rPr>
                <w:rFonts w:ascii="Calibri" w:hAnsi="Calibri"/>
                <w:b w:val="0"/>
                <w:color w:val="202124"/>
                <w:sz w:val="16"/>
              </w:rPr>
              <w:t>Événements, intérêts, commentaires, rappels, abonnés, actus.</w:t>
            </w:r>
          </w:p>
        </w:tc>
      </w:tr>
      <w:tr>
        <w:tc>
          <w:tcPr>
            <w:tcW w:type="dxa" w:w="2650"/>
            <w:shd w:fill="FFFFFF"/>
          </w:tcPr>
          <w:p>
            <w:pPr>
              <w:spacing w:after="0" w:line="252" w:lineRule="auto"/>
            </w:pPr>
            <w:r/>
            <w:r>
              <w:rPr>
                <w:rFonts w:ascii="Calibri" w:hAnsi="Calibri"/>
                <w:b/>
                <w:color w:val="202124"/>
                <w:sz w:val="16"/>
              </w:rPr>
              <w:t>Paiement en ligne</w:t>
            </w:r>
          </w:p>
        </w:tc>
        <w:tc>
          <w:tcPr>
            <w:tcW w:type="dxa" w:w="1910"/>
            <w:shd w:fill="FFFFFF"/>
          </w:tcPr>
          <w:p>
            <w:pPr>
              <w:spacing w:after="0" w:line="252" w:lineRule="auto"/>
            </w:pPr>
            <w:r/>
            <w:r>
              <w:rPr>
                <w:rFonts w:ascii="Calibri" w:hAnsi="Calibri"/>
                <w:b/>
                <w:color w:val="C8102E"/>
                <w:sz w:val="16"/>
              </w:rPr>
              <w:t>BIENTÔT</w:t>
            </w:r>
          </w:p>
        </w:tc>
        <w:tc>
          <w:tcPr>
            <w:tcW w:type="dxa" w:w="4800"/>
            <w:shd w:fill="FFFFFF"/>
          </w:tcPr>
          <w:p>
            <w:pPr>
              <w:spacing w:after="0" w:line="252" w:lineRule="auto"/>
            </w:pPr>
            <w:r/>
            <w:r>
              <w:rPr>
                <w:rFonts w:ascii="Calibri" w:hAnsi="Calibri"/>
                <w:b w:val="0"/>
                <w:color w:val="202124"/>
                <w:sz w:val="16"/>
              </w:rPr>
              <w:t>Liens de paiement encore non configurés.</w:t>
            </w:r>
          </w:p>
        </w:tc>
      </w:tr>
      <w:tr>
        <w:tc>
          <w:tcPr>
            <w:tcW w:type="dxa" w:w="2650"/>
            <w:shd w:fill="F5F6F7"/>
          </w:tcPr>
          <w:p>
            <w:pPr>
              <w:spacing w:after="0" w:line="252" w:lineRule="auto"/>
            </w:pPr>
            <w:r/>
            <w:r>
              <w:rPr>
                <w:rFonts w:ascii="Calibri" w:hAnsi="Calibri"/>
                <w:b/>
                <w:color w:val="202124"/>
                <w:sz w:val="16"/>
              </w:rPr>
              <w:t>Billetterie interne</w:t>
            </w:r>
          </w:p>
        </w:tc>
        <w:tc>
          <w:tcPr>
            <w:tcW w:type="dxa" w:w="1910"/>
            <w:shd w:fill="F5F6F7"/>
          </w:tcPr>
          <w:p>
            <w:pPr>
              <w:spacing w:after="0" w:line="252" w:lineRule="auto"/>
            </w:pPr>
            <w:r/>
            <w:r>
              <w:rPr>
                <w:rFonts w:ascii="Calibri" w:hAnsi="Calibri"/>
                <w:b/>
                <w:color w:val="C8102E"/>
                <w:sz w:val="16"/>
              </w:rPr>
              <w:t>BIENTÔT</w:t>
            </w:r>
          </w:p>
        </w:tc>
        <w:tc>
          <w:tcPr>
            <w:tcW w:type="dxa" w:w="4800"/>
            <w:shd w:fill="F5F6F7"/>
          </w:tcPr>
          <w:p>
            <w:pPr>
              <w:spacing w:after="0" w:line="252" w:lineRule="auto"/>
            </w:pPr>
            <w:r/>
            <w:r>
              <w:rPr>
                <w:rFonts w:ascii="Calibri" w:hAnsi="Calibri"/>
                <w:b w:val="0"/>
                <w:color w:val="202124"/>
                <w:sz w:val="16"/>
              </w:rPr>
              <w:t>Les liens externes restent utilisables.</w:t>
            </w:r>
          </w:p>
        </w:tc>
      </w:tr>
      <w:tr>
        <w:tc>
          <w:tcPr>
            <w:tcW w:type="dxa" w:w="2650"/>
            <w:shd w:fill="FFFFFF"/>
          </w:tcPr>
          <w:p>
            <w:pPr>
              <w:spacing w:after="0" w:line="252" w:lineRule="auto"/>
            </w:pPr>
            <w:r/>
            <w:r>
              <w:rPr>
                <w:rFonts w:ascii="Calibri" w:hAnsi="Calibri"/>
                <w:b/>
                <w:color w:val="202124"/>
                <w:sz w:val="16"/>
              </w:rPr>
              <w:t>Avantages partenaires Premium</w:t>
            </w:r>
          </w:p>
        </w:tc>
        <w:tc>
          <w:tcPr>
            <w:tcW w:type="dxa" w:w="1910"/>
            <w:shd w:fill="FFFFFF"/>
          </w:tcPr>
          <w:p>
            <w:pPr>
              <w:spacing w:after="0" w:line="252" w:lineRule="auto"/>
            </w:pPr>
            <w:r/>
            <w:r>
              <w:rPr>
                <w:rFonts w:ascii="Calibri" w:hAnsi="Calibri"/>
                <w:b/>
                <w:color w:val="B8860B"/>
                <w:sz w:val="16"/>
              </w:rPr>
              <w:t>VARIABLE</w:t>
            </w:r>
          </w:p>
        </w:tc>
        <w:tc>
          <w:tcPr>
            <w:tcW w:type="dxa" w:w="4800"/>
            <w:shd w:fill="FFFFFF"/>
          </w:tcPr>
          <w:p>
            <w:pPr>
              <w:spacing w:after="0" w:line="252" w:lineRule="auto"/>
            </w:pPr>
            <w:r/>
            <w:r>
              <w:rPr>
                <w:rFonts w:ascii="Calibri" w:hAnsi="Calibri"/>
                <w:b w:val="0"/>
                <w:color w:val="202124"/>
                <w:sz w:val="16"/>
              </w:rPr>
              <w:t>Disponibles seulement lorsqu’un partenaire est actif.</w:t>
            </w:r>
          </w:p>
        </w:tc>
      </w:tr>
      <w:tr>
        <w:tc>
          <w:tcPr>
            <w:tcW w:type="dxa" w:w="2650"/>
            <w:shd w:fill="F5F6F7"/>
          </w:tcPr>
          <w:p>
            <w:pPr>
              <w:spacing w:after="0" w:line="252" w:lineRule="auto"/>
            </w:pPr>
            <w:r/>
            <w:r>
              <w:rPr>
                <w:rFonts w:ascii="Calibri" w:hAnsi="Calibri"/>
                <w:b/>
                <w:color w:val="202124"/>
                <w:sz w:val="16"/>
              </w:rPr>
              <w:t>Statistiques avancées / boosts Pro</w:t>
            </w:r>
          </w:p>
        </w:tc>
        <w:tc>
          <w:tcPr>
            <w:tcW w:type="dxa" w:w="1910"/>
            <w:shd w:fill="F5F6F7"/>
          </w:tcPr>
          <w:p>
            <w:pPr>
              <w:spacing w:after="0" w:line="252" w:lineRule="auto"/>
            </w:pPr>
            <w:r/>
            <w:r>
              <w:rPr>
                <w:rFonts w:ascii="Calibri" w:hAnsi="Calibri"/>
                <w:b/>
                <w:color w:val="C8102E"/>
                <w:sz w:val="16"/>
              </w:rPr>
              <w:t>BIENTÔT</w:t>
            </w:r>
          </w:p>
        </w:tc>
        <w:tc>
          <w:tcPr>
            <w:tcW w:type="dxa" w:w="4800"/>
            <w:shd w:fill="F5F6F7"/>
          </w:tcPr>
          <w:p>
            <w:pPr>
              <w:spacing w:after="0" w:line="252" w:lineRule="auto"/>
            </w:pPr>
            <w:r/>
            <w:r>
              <w:rPr>
                <w:rFonts w:ascii="Calibri" w:hAnsi="Calibri"/>
                <w:b w:val="0"/>
                <w:color w:val="202124"/>
                <w:sz w:val="16"/>
              </w:rPr>
              <w:t>Fonctions annoncées dans l’offre professionnelle.</w:t>
            </w:r>
          </w:p>
        </w:tc>
      </w:tr>
    </w:tbl>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Mar>
              <w:top w:w="150" w:type="dxa"/>
              <w:start w:w="180" w:type="dxa"/>
              <w:bottom w:w="150" w:type="dxa"/>
              <w:end w:w="180" w:type="dxa"/>
            </w:tcMar>
            <w:vAlign w:val="center"/>
            <w:shd w:fill="EAF6EF"/>
          </w:tcPr>
          <w:p>
            <w:pPr>
              <w:spacing w:after="60"/>
            </w:pPr>
            <w:r>
              <w:rPr>
                <w:b/>
                <w:color w:val="007A3D"/>
                <w:sz w:val="17"/>
              </w:rPr>
              <w:t>RÉSUMÉ</w:t>
            </w:r>
          </w:p>
          <w:p>
            <w:pPr>
              <w:spacing w:after="0" w:line="269" w:lineRule="auto"/>
            </w:pPr>
            <w:r>
              <w:rPr>
                <w:color w:val="202124"/>
                <w:sz w:val="20"/>
              </w:rPr>
              <w:t>Le site est déjà exploitable pour la découverte publique, la vie communautaire et la gestion de base des organisateurs. Les prochaines étapes concernent surtout la monétisation, les partenariats Premium et les outils Pro avancés.</w:t>
            </w:r>
          </w:p>
        </w:tc>
      </w:tr>
    </w:tbl>
    <w:p>
      <w:pPr>
        <w:spacing w:after="0"/>
      </w:pPr>
    </w:p>
    <w:sectPr w:rsidR="00FC693F" w:rsidRPr="0006063C" w:rsidSect="00034616">
      <w:headerReference w:type="default" r:id="rId9"/>
      <w:footerReference w:type="default" r:id="rId10"/>
      <w:pgSz w:w="12240" w:h="15840"/>
      <w:pgMar w:top="1152" w:right="1440" w:bottom="1037" w:left="1440"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color w:val="007A3D"/>
        <w:sz w:val="16"/>
      </w:rPr>
      <w:t xml:space="preserve">MALAGASY EVENTS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007A3D"/>
        <w:sz w:val="16"/>
      </w:rPr>
      <w:t>MALAGASY EVENTS  |  GUIDE FONCTIONNEL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C8102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7A3D"/>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C348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20212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17" w:hanging="23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288" w:lineRule="auto"/>
    </w:pPr>
    <w:rPr>
      <w:rFonts w:ascii="Calibri" w:hAnsi="Calibri"/>
      <w:color w:val="66666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des fonctionnalités et des niveaux d’accès — Malagasy Events</dc:title>
  <dc:subject>Public, Inscrit, Premium et Organisateur</dc:subject>
  <dc:creator>Malagasy Events</dc:creator>
  <cp:keywords>Malagasy Events, fonctionnalités, accès, Premium, organisateur</cp:keywords>
  <dc:description>generated by python-docx</dc:description>
  <cp:lastModifiedBy/>
  <cp:revision>1</cp:revision>
  <dcterms:created xsi:type="dcterms:W3CDTF">2013-12-23T23:15:00Z</dcterms:created>
  <dcterms:modified xsi:type="dcterms:W3CDTF">2013-12-23T23:15:00Z</dcterms:modified>
  <cp:category/>
</cp:coreProperties>
</file>