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b w:val="1"/>
          <w:bCs w:val="1"/>
          <w:sz w:val="40"/>
          <w:szCs w:val="4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sz w:val="40"/>
          <w:szCs w:val="40"/>
          <w:rtl w:val="0"/>
        </w:rPr>
      </w:pPr>
      <w:r>
        <w:rPr>
          <w:sz w:val="66"/>
          <w:szCs w:val="66"/>
          <w:rtl w:val="0"/>
          <w:lang w:val="en-US"/>
        </w:rPr>
        <w:t xml:space="preserve">A Non-Aligned Common Front: </w:t>
      </w:r>
      <w:r>
        <w:rPr>
          <w:sz w:val="66"/>
          <w:szCs w:val="66"/>
          <w:rtl w:val="0"/>
          <w:lang w:val="en-US"/>
        </w:rPr>
        <w:t>Strategic Imaginaries of the New International Economic Order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b w:val="1"/>
          <w:bCs w:val="1"/>
          <w:sz w:val="40"/>
          <w:szCs w:val="4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b w:val="1"/>
          <w:bCs w:val="1"/>
          <w:sz w:val="40"/>
          <w:szCs w:val="40"/>
          <w:rtl w:val="0"/>
        </w:rPr>
      </w:pPr>
      <w:r>
        <w:rPr>
          <w:b w:val="1"/>
          <w:bCs w:val="1"/>
          <w:sz w:val="40"/>
          <w:szCs w:val="40"/>
          <w:rtl w:val="0"/>
          <w:lang w:val="en-US"/>
        </w:rPr>
        <w:t>Abstract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tl w:val="0"/>
        </w:rPr>
      </w:pPr>
      <w:r>
        <w:rPr>
          <w:rtl w:val="0"/>
          <w:lang w:val="en-US"/>
        </w:rPr>
        <w:t xml:space="preserve">Fifty years after the </w:t>
      </w:r>
      <w:r>
        <w:rPr>
          <w:rtl w:val="0"/>
          <w:lang w:val="en-US"/>
        </w:rPr>
        <w:t>S</w:t>
      </w:r>
      <w:r>
        <w:rPr>
          <w:rtl w:val="0"/>
          <w:lang w:val="en-US"/>
        </w:rPr>
        <w:t xml:space="preserve">ixth </w:t>
      </w:r>
      <w:r>
        <w:rPr>
          <w:rtl w:val="0"/>
          <w:lang w:val="en-US"/>
        </w:rPr>
        <w:t>S</w:t>
      </w:r>
      <w:r>
        <w:rPr>
          <w:rtl w:val="0"/>
          <w:lang w:val="pt-PT"/>
        </w:rPr>
        <w:t xml:space="preserve">pecial </w:t>
      </w:r>
      <w:r>
        <w:rPr>
          <w:rtl w:val="0"/>
          <w:lang w:val="en-US"/>
        </w:rPr>
        <w:t>S</w:t>
      </w:r>
      <w:r>
        <w:rPr>
          <w:rtl w:val="0"/>
          <w:lang w:val="en-US"/>
        </w:rPr>
        <w:t xml:space="preserve">ession, the Progressive International has declared a strategy of </w:t>
      </w:r>
      <w:r>
        <w:rPr>
          <w:rtl w:val="0"/>
          <w:lang w:val="en-US"/>
        </w:rPr>
        <w:t>'</w:t>
      </w:r>
      <w:r>
        <w:rPr>
          <w:rtl w:val="0"/>
          <w:lang w:val="en-US"/>
        </w:rPr>
        <w:t xml:space="preserve">rebuilding the </w:t>
      </w:r>
      <w:r>
        <w:rPr>
          <w:rtl w:val="0"/>
          <w:lang w:val="en-US"/>
        </w:rPr>
        <w:t>N</w:t>
      </w:r>
      <w:r>
        <w:rPr>
          <w:rtl w:val="0"/>
        </w:rPr>
        <w:t>on</w:t>
      </w:r>
      <w:r>
        <w:rPr>
          <w:rtl w:val="0"/>
          <w:lang w:val="en-US"/>
        </w:rPr>
        <w:t>-A</w:t>
      </w:r>
      <w:r>
        <w:rPr>
          <w:rtl w:val="0"/>
          <w:lang w:val="en-US"/>
        </w:rPr>
        <w:t>ligned movement</w:t>
      </w:r>
      <w:r>
        <w:rPr>
          <w:rtl w:val="0"/>
          <w:lang w:val="en-US"/>
        </w:rPr>
        <w:t>'</w:t>
      </w:r>
      <w:r>
        <w:rPr>
          <w:rtl w:val="0"/>
          <w:lang w:val="en-US"/>
        </w:rPr>
        <w:t xml:space="preserve">, and </w:t>
      </w:r>
      <w:r>
        <w:rPr>
          <w:rtl w:val="0"/>
          <w:lang w:val="en-US"/>
        </w:rPr>
        <w:t>'</w:t>
      </w:r>
      <w:r>
        <w:rPr>
          <w:rtl w:val="0"/>
          <w:lang w:val="en-US"/>
        </w:rPr>
        <w:t>renovating the NIEO</w:t>
      </w:r>
      <w:r>
        <w:rPr>
          <w:rtl w:val="0"/>
          <w:lang w:val="en-US"/>
        </w:rPr>
        <w:t>'</w:t>
      </w:r>
      <w:r>
        <w:rPr>
          <w:rtl w:val="0"/>
          <w:lang w:val="en-US"/>
        </w:rPr>
        <w:t>. However, key questions remain about the praxis of the original. The draft declarations of the programme of action and declaration o</w:t>
      </w:r>
      <w:r>
        <w:rPr>
          <w:rtl w:val="0"/>
          <w:lang w:val="en-US"/>
        </w:rPr>
        <w:t>n</w:t>
      </w:r>
      <w:r>
        <w:rPr>
          <w:rtl w:val="0"/>
          <w:lang w:val="en-US"/>
        </w:rPr>
        <w:t xml:space="preserve"> the</w:t>
      </w:r>
      <w:r>
        <w:rPr>
          <w:rtl w:val="0"/>
          <w:lang w:val="en-US"/>
        </w:rPr>
        <w:t xml:space="preserve"> establishment of a</w:t>
      </w:r>
      <w:r>
        <w:rPr>
          <w:rtl w:val="0"/>
          <w:lang w:val="en-US"/>
        </w:rPr>
        <w:t xml:space="preserve"> NIEO were </w:t>
      </w:r>
      <w:r>
        <w:rPr>
          <w:rtl w:val="0"/>
          <w:lang w:val="en-US"/>
        </w:rPr>
        <w:t>brought to the UN by the leaders of 95 states, caucused as the G77. There proposals and strategies, therefore, were inherently plural. This begs the question of how such a 'common front' had even been possible. This article offers a partial answer by exploring the strategic imaginaries that underlined the project. It first establishes that the Leninist ideas of Kwame Nkrumah and the liberal ideas of Ra</w:t>
      </w:r>
      <w:r>
        <w:rPr>
          <w:rtl w:val="0"/>
          <w:lang w:val="en-US"/>
        </w:rPr>
        <w:t>ú</w:t>
      </w:r>
      <w:r>
        <w:rPr>
          <w:rtl w:val="0"/>
          <w:lang w:val="en-US"/>
        </w:rPr>
        <w:t xml:space="preserve">l Prebisch converged at the level of world order. Then, by drawing on the work of Mohammed Bedjaoui, it shows that these contradictory tendencies were successfully synthesised in practice.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40"/>
          <w:szCs w:val="40"/>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28"/>
          <w:szCs w:val="28"/>
          <w:rtl w:val="0"/>
        </w:rPr>
      </w:pPr>
      <w:r>
        <w:rPr>
          <w:sz w:val="28"/>
          <w:szCs w:val="28"/>
          <w:rtl w:val="0"/>
          <w:lang w:val="en-US"/>
        </w:rPr>
        <w:t xml:space="preserve">What would a successful NIEO have looked like? Clearly, this can't be known, because the core proposals of the NIEO were never tested in practice. Still, as C.L.R. James showed in </w:t>
      </w:r>
      <w:r>
        <w:rPr>
          <w:i w:val="1"/>
          <w:iCs w:val="1"/>
          <w:sz w:val="28"/>
          <w:szCs w:val="28"/>
          <w:rtl w:val="0"/>
          <w:lang w:val="en-US"/>
        </w:rPr>
        <w:t>The</w:t>
      </w:r>
      <w:r>
        <w:rPr>
          <w:sz w:val="28"/>
          <w:szCs w:val="28"/>
          <w:rtl w:val="0"/>
          <w:lang w:val="en-US"/>
        </w:rPr>
        <w:t xml:space="preserve"> </w:t>
      </w:r>
      <w:r>
        <w:rPr>
          <w:i w:val="1"/>
          <w:iCs w:val="1"/>
          <w:sz w:val="28"/>
          <w:szCs w:val="28"/>
          <w:rtl w:val="0"/>
          <w:lang w:val="en-US"/>
        </w:rPr>
        <w:t>Black Jacobins</w:t>
      </w:r>
      <w:r>
        <w:rPr>
          <w:sz w:val="28"/>
          <w:szCs w:val="28"/>
          <w:rtl w:val="0"/>
          <w:lang w:val="en-US"/>
        </w:rPr>
        <w:t xml:space="preserve">, imaginary 'what if?' scenarios are foundational to all strategic decision making. </w:t>
      </w:r>
      <w:r>
        <w:rPr>
          <w:sz w:val="28"/>
          <w:szCs w:val="28"/>
          <w:rtl w:val="0"/>
          <w:lang w:val="en-US"/>
        </w:rPr>
        <w:t xml:space="preserve">To decide how to act, people imagine </w:t>
      </w:r>
      <w:r>
        <w:rPr>
          <w:i w:val="1"/>
          <w:iCs w:val="1"/>
          <w:sz w:val="28"/>
          <w:szCs w:val="28"/>
          <w:rtl w:val="0"/>
          <w:lang w:val="en-US"/>
        </w:rPr>
        <w:t>what would happen</w:t>
      </w:r>
      <w:r>
        <w:rPr>
          <w:i w:val="1"/>
          <w:iCs w:val="1"/>
          <w:sz w:val="28"/>
          <w:szCs w:val="28"/>
          <w:rtl w:val="0"/>
          <w:lang w:val="en-US"/>
        </w:rPr>
        <w:t xml:space="preserve"> if </w:t>
      </w:r>
      <w:r>
        <w:rPr>
          <w:sz w:val="28"/>
          <w:szCs w:val="28"/>
          <w:rtl w:val="0"/>
          <w:lang w:val="en-US"/>
        </w:rPr>
        <w:t xml:space="preserve">each option was taken. </w:t>
      </w:r>
      <w:r>
        <w:rPr>
          <w:sz w:val="28"/>
          <w:szCs w:val="28"/>
          <w:rtl w:val="0"/>
          <w:lang w:val="en-US"/>
        </w:rPr>
        <w:t xml:space="preserve">To understand the </w:t>
      </w:r>
      <w:r>
        <w:rPr>
          <w:sz w:val="28"/>
          <w:szCs w:val="28"/>
          <w:rtl w:val="0"/>
          <w:lang w:val="en-US"/>
        </w:rPr>
        <w:t xml:space="preserve">strategic decision making of the NIEO, then, </w:t>
      </w:r>
      <w:r>
        <w:rPr>
          <w:sz w:val="28"/>
          <w:szCs w:val="28"/>
          <w:rtl w:val="0"/>
          <w:lang w:val="en-US"/>
        </w:rPr>
        <w:t xml:space="preserve">is to consider </w:t>
      </w:r>
      <w:r>
        <w:rPr>
          <w:sz w:val="28"/>
          <w:szCs w:val="28"/>
          <w:rtl w:val="0"/>
          <w:lang w:val="en-US"/>
        </w:rPr>
        <w:t>the project's strategic imaginaries. How</w:t>
      </w:r>
      <w:r>
        <w:rPr>
          <w:sz w:val="28"/>
          <w:szCs w:val="28"/>
          <w:rtl w:val="0"/>
          <w:lang w:val="en-US"/>
        </w:rPr>
        <w:t xml:space="preserve"> did </w:t>
      </w:r>
      <w:r>
        <w:rPr>
          <w:sz w:val="28"/>
          <w:szCs w:val="28"/>
          <w:rtl w:val="0"/>
          <w:lang w:val="en-US"/>
        </w:rPr>
        <w:t xml:space="preserve">G77 elites imagine a successful NIEO? A full answer to this question is beyond the scope of this article. Here, I consider the strategies of the NIEO more broadly, by focusing on on its intellectual foundations. </w:t>
      </w:r>
      <w:r>
        <w:rPr>
          <w:b w:val="1"/>
          <w:bCs w:val="1"/>
          <w:sz w:val="28"/>
          <w:szCs w:val="28"/>
          <w:rtl w:val="0"/>
          <w:lang w:val="en-US"/>
        </w:rPr>
        <w:t>The Declaration and Programme of Action</w:t>
      </w:r>
      <w:r>
        <w:rPr>
          <w:sz w:val="28"/>
          <w:szCs w:val="28"/>
          <w:rtl w:val="0"/>
          <w:lang w:val="en-US"/>
        </w:rPr>
        <w:t xml:space="preserve"> drew on two distinct, but intertwined, praxes: Kwame Nkrumah's critique of neo-colonialism and Ra</w:t>
      </w:r>
      <w:r>
        <w:rPr>
          <w:sz w:val="28"/>
          <w:szCs w:val="28"/>
          <w:rtl w:val="0"/>
          <w:lang w:val="en-US"/>
        </w:rPr>
        <w:t>ú</w:t>
      </w:r>
      <w:r>
        <w:rPr>
          <w:sz w:val="28"/>
          <w:szCs w:val="28"/>
          <w:rtl w:val="0"/>
          <w:lang w:val="en-US"/>
        </w:rPr>
        <w:t>l Prebisch's work on the declining terms of trade. These organic intellectuals agreed on the need for liberal reforms to world order. However, they did so for entirely different reasons. Whereas Nkrumah imagined NIEO-style reforms as useful for global socialism, Prebisch sought a global capitalism that worked as its neo-classical boosters already believed it did. This strategic pluralism allowed the G77 to forge global agreement amongst ideologically diverse state elites. In this sense, the NIEO was a truly Non-Aligned 'common front'.</w:t>
      </w:r>
      <w:r>
        <w:rPr>
          <w:sz w:val="28"/>
          <w:szCs w:val="28"/>
          <w:vertAlign w:val="superscript"/>
          <w:rtl w:val="0"/>
        </w:rPr>
        <w:footnoteReference w:id="1"/>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28"/>
          <w:szCs w:val="28"/>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28"/>
          <w:szCs w:val="28"/>
          <w:rtl w:val="0"/>
        </w:rPr>
      </w:pPr>
      <w:r>
        <w:rPr>
          <w:sz w:val="28"/>
          <w:szCs w:val="28"/>
          <w:rtl w:val="0"/>
          <w:lang w:val="en-US"/>
        </w:rPr>
        <w:t>Understanding the strategic imaginaries of the original campaign is essential for understanding the project's decision making. This, in turn, is essential for the Progressive International's current goal of 'renovating the NIEO'.</w:t>
      </w:r>
      <w:r>
        <w:rPr>
          <w:sz w:val="28"/>
          <w:szCs w:val="28"/>
          <w:vertAlign w:val="superscript"/>
          <w:rtl w:val="0"/>
        </w:rPr>
        <w:footnoteReference w:id="2"/>
      </w:r>
      <w:r>
        <w:rPr>
          <w:sz w:val="28"/>
          <w:szCs w:val="28"/>
          <w:rtl w:val="0"/>
          <w:lang w:val="en-US"/>
        </w:rPr>
        <w:t xml:space="preserve"> Unfortunately, the G77's decision making has been systematically ignored by those disciplines best placed to study it. As John Hobson and Alina Sajed have shown, both Orthodox and Critical theories of International Relations are founded on Eurocentric conceptions of non-Western agency.</w:t>
      </w:r>
      <w:r>
        <w:rPr>
          <w:sz w:val="28"/>
          <w:szCs w:val="28"/>
          <w:vertAlign w:val="superscript"/>
          <w:rtl w:val="0"/>
        </w:rPr>
        <w:footnoteReference w:id="3"/>
      </w:r>
      <w:r>
        <w:rPr>
          <w:sz w:val="28"/>
          <w:szCs w:val="28"/>
          <w:rtl w:val="0"/>
          <w:lang w:val="en-US"/>
        </w:rPr>
        <w:t xml:space="preserve"> This is evident in the work of two theorists who closely studied the NIEO in the 1970s. Then, both John G. Ruggie and Robert W. Cox believed that a New International Economic Order might be immanent.</w:t>
      </w:r>
      <w:r>
        <w:rPr>
          <w:sz w:val="28"/>
          <w:szCs w:val="28"/>
          <w:vertAlign w:val="superscript"/>
          <w:rtl w:val="0"/>
        </w:rPr>
        <w:footnoteReference w:id="4"/>
      </w:r>
      <w:r>
        <w:rPr>
          <w:sz w:val="28"/>
          <w:szCs w:val="28"/>
          <w:rtl w:val="0"/>
          <w:lang w:val="en-US"/>
        </w:rPr>
        <w:t xml:space="preserve"> However, as soon as they realised that the project had failed, they assumed that it had always been powerless.</w:t>
      </w:r>
      <w:r>
        <w:rPr>
          <w:sz w:val="28"/>
          <w:szCs w:val="28"/>
          <w:vertAlign w:val="superscript"/>
          <w:rtl w:val="0"/>
        </w:rPr>
        <w:footnoteReference w:id="5"/>
      </w:r>
      <w:r>
        <w:rPr>
          <w:sz w:val="28"/>
          <w:szCs w:val="28"/>
          <w:rtl w:val="0"/>
          <w:lang w:val="en-US"/>
        </w:rPr>
        <w:t xml:space="preserve"> For Cox, this dissmissal was based on an overt counterfactual-phobia. Like the great E.H. Carr, Cox dismissed counterfactuals as the stuff of idealism.</w:t>
      </w:r>
      <w:r>
        <w:rPr>
          <w:sz w:val="28"/>
          <w:szCs w:val="28"/>
          <w:vertAlign w:val="superscript"/>
          <w:rtl w:val="0"/>
        </w:rPr>
        <w:footnoteReference w:id="6"/>
      </w:r>
      <w:r>
        <w:rPr>
          <w:sz w:val="28"/>
          <w:szCs w:val="28"/>
          <w:rtl w:val="0"/>
          <w:lang w:val="en-US"/>
        </w:rPr>
        <w:t xml:space="preserve"> The implication was that there was no need to consider the strategic decision making of G77 elites. Their initial failure was enough to conclude that the NIEO had never stood a chance of succeeding, and this was enough to conclude that the NIEO was irrelevant to any historical materialist theory of world order.</w:t>
      </w:r>
    </w:p>
    <w:p>
      <w:pPr>
        <w:pStyle w:val="Body"/>
        <w:spacing w:line="360" w:lineRule="auto"/>
        <w:rPr>
          <w:sz w:val="28"/>
          <w:szCs w:val="28"/>
        </w:rPr>
      </w:pPr>
    </w:p>
    <w:p>
      <w:pPr>
        <w:pStyle w:val="Body"/>
        <w:spacing w:line="360" w:lineRule="auto"/>
        <w:rPr>
          <w:sz w:val="28"/>
          <w:szCs w:val="28"/>
        </w:rPr>
      </w:pPr>
      <w:r>
        <w:rPr>
          <w:sz w:val="28"/>
          <w:szCs w:val="28"/>
          <w:rtl w:val="0"/>
          <w:lang w:val="en-US"/>
        </w:rPr>
        <w:t xml:space="preserve">An exception to this counterfactual-phobia came from the political economy of Samir Amin. In 1982, Amin wrote </w:t>
      </w:r>
      <w:r>
        <w:rPr>
          <w:i w:val="1"/>
          <w:iCs w:val="1"/>
          <w:sz w:val="28"/>
          <w:szCs w:val="28"/>
          <w:rtl w:val="0"/>
          <w:lang w:val="en-US"/>
        </w:rPr>
        <w:t>After the NIEO</w:t>
      </w:r>
      <w:r>
        <w:rPr>
          <w:sz w:val="28"/>
          <w:szCs w:val="28"/>
          <w:rtl w:val="0"/>
          <w:lang w:val="en-US"/>
        </w:rPr>
        <w:t>, a radical critique of the praxis of the G77, which he had opposed throughout the 1970s. Despite his opposition, Amin posed the key historical questions of G77 decision making, or agency. He asked why the project failed, and questioned whether it had been inevitable. Fifty years after the Sixth Special Session, similar questions are being asked by the Progressive International. Yanis Varoufakis, for example, called on the International to ask itself: '</w:t>
      </w:r>
      <w:r>
        <w:rPr>
          <w:b w:val="1"/>
          <w:bCs w:val="1"/>
          <w:sz w:val="28"/>
          <w:szCs w:val="28"/>
          <w:rtl w:val="0"/>
          <w:lang w:val="en-US"/>
        </w:rPr>
        <w:t>why did we fail the last time round?'</w:t>
      </w:r>
      <w:r>
        <w:rPr>
          <w:sz w:val="28"/>
          <w:szCs w:val="28"/>
          <w:rtl w:val="0"/>
          <w:lang w:val="en-US"/>
        </w:rPr>
        <w:t xml:space="preserve"> To answer this, and to 'renovate the NIEO', the International must reckon with Amin's critique, including his Leninist counterfactual. That is the task of this article. After exploring Amin's strategic imaginary of the NIEO, I compare it to those that guided the project. These included the Leninism of Kwame Nkrumah and the liberalism of Ra</w:t>
      </w:r>
      <w:r>
        <w:rPr>
          <w:sz w:val="28"/>
          <w:szCs w:val="28"/>
          <w:rtl w:val="0"/>
          <w:lang w:val="en-US"/>
        </w:rPr>
        <w:t>ú</w:t>
      </w:r>
      <w:r>
        <w:rPr>
          <w:sz w:val="28"/>
          <w:szCs w:val="28"/>
          <w:rtl w:val="0"/>
          <w:lang w:val="en-US"/>
        </w:rPr>
        <w:t xml:space="preserve">l Prebisch. Then, I consider the strategic imaginary of the Algerian jurist, and active participant in the original NIEO campaign, Mohammed Bedjaoui. His work is evidence, I argue, that the contradictory visions of what a NIEO would achieve were successfully synthesised in practice. </w:t>
      </w:r>
    </w:p>
    <w:tbl>
      <w:tblPr>
        <w:tblW w:w="963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407"/>
        <w:gridCol w:w="2408"/>
        <w:gridCol w:w="2408"/>
        <w:gridCol w:w="2407"/>
      </w:tblGrid>
      <w:tr>
        <w:tblPrEx>
          <w:shd w:val="clear" w:color="auto" w:fill="auto"/>
        </w:tblPrEx>
        <w:trPr>
          <w:trHeight w:val="373" w:hRule="atLeast"/>
          <w:tblHeader/>
        </w:trPr>
        <w:tc>
          <w:tcPr>
            <w:tcW w:type="dxa" w:w="9630"/>
            <w:gridSpan w:val="4"/>
            <w:tcBorders>
              <w:top w:val="nil"/>
              <w:left w:val="nil"/>
              <w:bottom w:val="nil"/>
              <w:right w:val="nil"/>
            </w:tcBorders>
            <w:shd w:val="clear" w:color="auto" w:fill="auto"/>
            <w:tcMar>
              <w:top w:type="dxa" w:w="80"/>
              <w:left w:type="dxa" w:w="80"/>
              <w:bottom w:type="dxa" w:w="80"/>
              <w:right w:type="dxa" w:w="80"/>
            </w:tcMar>
            <w:vAlign w:val="center"/>
          </w:tcPr>
          <w:p>
            <w:pPr>
              <w:pStyle w:val="Table Title 1"/>
            </w:pPr>
            <w:r>
              <w:rPr>
                <w:b w:val="1"/>
                <w:bCs w:val="1"/>
              </w:rPr>
              <w:t>Table 1: Strategic Imaginaries of the NIEO</w:t>
            </w:r>
          </w:p>
        </w:tc>
      </w:tr>
      <w:tr>
        <w:tblPrEx>
          <w:shd w:val="clear" w:color="auto" w:fill="auto"/>
        </w:tblPrEx>
        <w:trPr>
          <w:trHeight w:val="295"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Samir Amin</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 xml:space="preserve">Kwame Nkrumah </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Style 2"/>
            </w:pPr>
            <w:r>
              <w:rPr>
                <w:rFonts w:ascii="Helvetica Neue" w:hAnsi="Helvetica Neue"/>
                <w:b w:val="1"/>
                <w:bCs w:val="1"/>
                <w:rtl w:val="0"/>
              </w:rPr>
              <w:t>Ra</w:t>
            </w:r>
            <w:r>
              <w:rPr>
                <w:rFonts w:ascii="Helvetica Neue" w:hAnsi="Helvetica Neue" w:hint="default"/>
                <w:b w:val="1"/>
                <w:bCs w:val="1"/>
                <w:rtl w:val="0"/>
              </w:rPr>
              <w:t>ú</w:t>
            </w:r>
            <w:r>
              <w:rPr>
                <w:rFonts w:ascii="Helvetica Neue" w:hAnsi="Helvetica Neue"/>
                <w:b w:val="1"/>
                <w:bCs w:val="1"/>
                <w:rtl w:val="0"/>
              </w:rPr>
              <w:t xml:space="preserve">l Prebisch </w:t>
            </w:r>
          </w:p>
        </w:tc>
      </w:tr>
      <w:tr>
        <w:tblPrEx>
          <w:shd w:val="clear" w:color="auto" w:fill="auto"/>
        </w:tblPrEx>
        <w:trPr>
          <w:trHeight w:val="1681" w:hRule="atLeast"/>
        </w:trPr>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pPr>
            <w:r>
              <w:rPr>
                <w:rFonts w:ascii="Helvetica Neue" w:hAnsi="Helvetica Neue"/>
                <w:b w:val="1"/>
                <w:bCs w:val="1"/>
                <w:rtl w:val="0"/>
              </w:rPr>
              <w:t xml:space="preserve">NIEO-style reforms would: </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 be impossible. If an NIEO was established, this would disprove Lenin's theory of imperialism. </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mitigate the negative effects of monopoly capitalism, while heightening the contradiction between capital and labour in the imperial core.</w:t>
            </w:r>
          </w:p>
        </w:tc>
        <w:tc>
          <w:tcPr>
            <w:tcW w:type="dxa" w:w="2407"/>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80"/>
              <w:left w:type="dxa" w:w="80"/>
              <w:bottom w:type="dxa" w:w="80"/>
              <w:right w:type="dxa" w:w="80"/>
            </w:tcMar>
            <w:vAlign w:val="top"/>
          </w:tcPr>
          <w:p>
            <w:pPr>
              <w:pStyle w:val="Table Style 2"/>
              <w:bidi w:val="0"/>
            </w:pPr>
            <w:r>
              <w:rPr>
                <w:rFonts w:ascii="Helvetica Neue" w:cs="Arial Unicode MS" w:hAnsi="Helvetica Neue" w:eastAsia="Arial Unicode MS"/>
                <w:rtl w:val="0"/>
              </w:rPr>
              <w:t xml:space="preserve">... mitigate the historical distortions of true global liberalism, allowing free trade and comparative advantage to work how they're already supposed to. </w:t>
            </w:r>
          </w:p>
        </w:tc>
      </w:tr>
      <w:tr>
        <w:tblPrEx/>
        <w:trPr>
          <w:trHeight w:val="713" w:hRule="atLeast"/>
          <w:tblHeader/>
        </w:trPr>
        <w:tc>
          <w:tcPr>
            <w:tcW w:type="dxa" w:w="9630"/>
            <w:gridSpan w:val="4"/>
            <w:tcBorders>
              <w:top w:val="nil"/>
              <w:left w:val="nil"/>
              <w:bottom w:val="nil"/>
              <w:right w:val="nil"/>
            </w:tcBorders>
            <w:tcMar>
              <w:top w:w="140"/>
              <w:left/>
              <w:bottom/>
              <w:right/>
            </w:tcMar>
            <w:vAlign w:val="center"/>
          </w:tcPr>
          <w:p>
            <w:pPr>
              <w:pStyle w:val="Object Caption"/>
            </w:pPr>
            <w:r>
              <w:rPr>
                <w:rFonts w:ascii="Helvetica Neue" w:hAnsi="Helvetica Neue"/>
                <w:i w:val="1"/>
                <w:iCs w:val="1"/>
                <w:rtl w:val="0"/>
                <w:lang w:val="en-US"/>
              </w:rPr>
              <w:t>Each strategic imaginary has its own imaginary 'what if?' scenario. These counterfactuals imply different strategic options, each justified by its own historical sociology.</w:t>
            </w:r>
          </w:p>
        </w:tc>
      </w:tr>
    </w:tbl>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28"/>
          <w:szCs w:val="28"/>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28"/>
          <w:szCs w:val="28"/>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sz w:val="28"/>
          <w:szCs w:val="28"/>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360" w:lineRule="auto"/>
        <w:ind w:left="0" w:right="0" w:firstLine="0"/>
        <w:jc w:val="left"/>
        <w:rPr>
          <w:b w:val="1"/>
          <w:bCs w:val="1"/>
          <w:sz w:val="28"/>
          <w:szCs w:val="28"/>
          <w:rtl w:val="0"/>
        </w:rPr>
      </w:pPr>
      <w:r>
        <w:rPr>
          <w:b w:val="1"/>
          <w:bCs w:val="1"/>
          <w:sz w:val="28"/>
          <w:szCs w:val="28"/>
          <w:rtl w:val="0"/>
          <w:lang w:val="en-US"/>
        </w:rPr>
        <w:t xml:space="preserve">Samir Amin's Leninist </w:t>
      </w:r>
      <w:r>
        <w:rPr>
          <w:b w:val="1"/>
          <w:bCs w:val="1"/>
          <w:sz w:val="28"/>
          <w:szCs w:val="28"/>
          <w:rtl w:val="0"/>
          <w:lang w:val="en-US"/>
        </w:rPr>
        <w:t>Rejection of the NIEO's Praxis</w:t>
      </w:r>
    </w:p>
    <w:p>
      <w:pPr>
        <w:pStyle w:val="Body"/>
        <w:spacing w:line="360" w:lineRule="auto"/>
        <w:rPr>
          <w:sz w:val="28"/>
          <w:szCs w:val="28"/>
        </w:rPr>
      </w:pPr>
      <w:r>
        <w:rPr>
          <w:sz w:val="28"/>
          <w:szCs w:val="28"/>
          <w:rtl w:val="0"/>
          <w:lang w:val="en-US"/>
        </w:rPr>
        <w:t xml:space="preserve">In 1981, US banks </w:t>
      </w:r>
      <w:r>
        <w:rPr>
          <w:sz w:val="28"/>
          <w:szCs w:val="28"/>
          <w:rtl w:val="0"/>
          <w:lang w:val="en-US"/>
        </w:rPr>
        <w:t xml:space="preserve">–– </w:t>
      </w:r>
      <w:r>
        <w:rPr>
          <w:sz w:val="28"/>
          <w:szCs w:val="28"/>
          <w:rtl w:val="0"/>
          <w:lang w:val="en-US"/>
        </w:rPr>
        <w:t xml:space="preserve">in league with the IMF </w:t>
      </w:r>
      <w:r>
        <w:rPr>
          <w:sz w:val="28"/>
          <w:szCs w:val="28"/>
          <w:rtl w:val="0"/>
          <w:lang w:val="en-US"/>
        </w:rPr>
        <w:t xml:space="preserve">–– </w:t>
      </w:r>
      <w:r>
        <w:rPr>
          <w:sz w:val="28"/>
          <w:szCs w:val="28"/>
          <w:rtl w:val="0"/>
          <w:lang w:val="en-US"/>
        </w:rPr>
        <w:t>exported the first financial crisis of the then-nascent neoliberal world disorder onto the worlds poorest people. While witnessing this latest example of imperialist savagery, Samir Amin posed fundamental historical questions of the praxis of the original NIEO campaign. He considered whether 'the factors behind the clearly visible failure' were 'purely contingent' aspects of the economic crisis, or 'traceable to the "tactical errors" of the Third World'.</w:t>
      </w:r>
      <w:r>
        <w:rPr>
          <w:sz w:val="28"/>
          <w:szCs w:val="28"/>
          <w:vertAlign w:val="superscript"/>
        </w:rPr>
        <w:footnoteReference w:id="7"/>
      </w:r>
      <w:r>
        <w:rPr>
          <w:sz w:val="28"/>
          <w:szCs w:val="28"/>
          <w:rtl w:val="0"/>
          <w:lang w:val="en-US"/>
        </w:rPr>
        <w:t xml:space="preserve"> His answer drew on a Leninist theory of imperialism as monopoly capitalism. Whereas advocates described the G77 as a group of 'proletarian nations', or a 'trade union of the poor', Amin assessed G77 states according to their ruling classes.</w:t>
      </w:r>
      <w:r>
        <w:rPr>
          <w:sz w:val="28"/>
          <w:szCs w:val="28"/>
          <w:vertAlign w:val="superscript"/>
        </w:rPr>
        <w:footnoteReference w:id="8"/>
      </w:r>
      <w:r>
        <w:rPr>
          <w:sz w:val="28"/>
          <w:szCs w:val="28"/>
          <w:rtl w:val="0"/>
          <w:lang w:val="en-US"/>
        </w:rPr>
        <w:t xml:space="preserve"> To him, the G77 was a group of 'peripheral capitalist states and their bourgeoisies' who were opposed by 'the monopolies and the imperialist states'.</w:t>
      </w:r>
      <w:r>
        <w:rPr>
          <w:sz w:val="28"/>
          <w:szCs w:val="28"/>
          <w:vertAlign w:val="superscript"/>
        </w:rPr>
        <w:footnoteReference w:id="9"/>
      </w:r>
      <w:r>
        <w:rPr>
          <w:sz w:val="28"/>
          <w:szCs w:val="28"/>
          <w:rtl w:val="0"/>
          <w:lang w:val="en-US"/>
        </w:rPr>
        <w:t xml:space="preserve"> Despite this tension, the NIEO had not sought to overthrow the fundamental economic basis of imperialism: monopoly capitalism. Instead, Amin wrote that its 'programme </w:t>
      </w:r>
      <w:r>
        <w:rPr>
          <w:sz w:val="28"/>
          <w:szCs w:val="28"/>
          <w:rtl w:val="0"/>
          <w:lang w:val="en-US"/>
        </w:rPr>
        <w:t>permits an increase in the rate of profit on a world scale and can only be read therefore, as a contribution to global capitalist development</w:t>
      </w:r>
      <w:r>
        <w:rPr>
          <w:sz w:val="28"/>
          <w:szCs w:val="28"/>
          <w:rtl w:val="0"/>
          <w:lang w:val="en-US"/>
        </w:rPr>
        <w:t>.'</w:t>
      </w:r>
      <w:r>
        <w:rPr>
          <w:sz w:val="28"/>
          <w:szCs w:val="28"/>
          <w:vertAlign w:val="superscript"/>
        </w:rPr>
        <w:footnoteReference w:id="10"/>
      </w:r>
      <w:r>
        <w:rPr>
          <w:sz w:val="28"/>
          <w:szCs w:val="28"/>
          <w:rtl w:val="0"/>
          <w:lang w:val="en-US"/>
        </w:rPr>
        <w:t xml:space="preserve"> In the end, 'the monopolies and the imperialist states' won, something Amin observed in the so-called Third World Debt Crisis. This 'resurgence of finance capital' saw the IMF collude with US banks to install a 'tutellage regime reminiscent of the protectorates established in the 19th Century in the East and Latin America'.</w:t>
      </w:r>
    </w:p>
    <w:p>
      <w:pPr>
        <w:pStyle w:val="Body"/>
        <w:spacing w:line="360" w:lineRule="auto"/>
        <w:rPr>
          <w:sz w:val="28"/>
          <w:szCs w:val="28"/>
        </w:rPr>
      </w:pPr>
    </w:p>
    <w:p>
      <w:pPr>
        <w:pStyle w:val="Body"/>
        <w:spacing w:line="360" w:lineRule="auto"/>
        <w:rPr>
          <w:sz w:val="28"/>
          <w:szCs w:val="28"/>
        </w:rPr>
      </w:pPr>
      <w:r>
        <w:rPr>
          <w:sz w:val="28"/>
          <w:szCs w:val="28"/>
          <w:rtl w:val="0"/>
          <w:lang w:val="en-US"/>
        </w:rPr>
        <w:t>By framing the emergence of the NIEO as a breakdown in the inter-imperial bargain of Bretton Woods, and its defeat as the result of a resurgent global finance, Amin was relying on a consistent Leninist theory of imperialism.</w:t>
      </w:r>
      <w:r>
        <w:rPr>
          <w:sz w:val="28"/>
          <w:szCs w:val="28"/>
          <w:vertAlign w:val="superscript"/>
        </w:rPr>
        <w:footnoteReference w:id="11"/>
      </w:r>
      <w:r>
        <w:rPr>
          <w:sz w:val="28"/>
          <w:szCs w:val="28"/>
          <w:rtl w:val="0"/>
          <w:lang w:val="en-US"/>
        </w:rPr>
        <w:t xml:space="preserve"> For Lenin, imperialism was not simply a form of domination, but a historical era, the final stage of capitalism.</w:t>
      </w:r>
      <w:r>
        <w:rPr>
          <w:sz w:val="28"/>
          <w:szCs w:val="28"/>
          <w:vertAlign w:val="superscript"/>
        </w:rPr>
        <w:footnoteReference w:id="12"/>
      </w:r>
      <w:r>
        <w:rPr>
          <w:sz w:val="28"/>
          <w:szCs w:val="28"/>
          <w:rtl w:val="0"/>
          <w:lang w:val="en-US"/>
        </w:rPr>
        <w:t xml:space="preserve"> This followed </w:t>
      </w:r>
      <w:r>
        <w:rPr>
          <w:i w:val="1"/>
          <w:iCs w:val="1"/>
          <w:sz w:val="28"/>
          <w:szCs w:val="28"/>
          <w:rtl w:val="0"/>
          <w:lang w:val="en-US"/>
        </w:rPr>
        <w:t>an age of freely competitive capitalism</w:t>
      </w:r>
      <w:r>
        <w:rPr>
          <w:sz w:val="28"/>
          <w:szCs w:val="28"/>
          <w:rtl w:val="0"/>
          <w:lang w:val="en-US"/>
        </w:rPr>
        <w:t>, a period when liberal economic theory more closely approximated international trade, and when industrialisation was more easily replicated by competing national economies.</w:t>
      </w:r>
      <w:r>
        <w:rPr>
          <w:sz w:val="28"/>
          <w:szCs w:val="28"/>
          <w:vertAlign w:val="superscript"/>
        </w:rPr>
        <w:footnoteReference w:id="13"/>
      </w:r>
      <w:r>
        <w:rPr>
          <w:sz w:val="28"/>
          <w:szCs w:val="28"/>
          <w:rtl w:val="0"/>
          <w:lang w:val="en-US"/>
        </w:rPr>
        <w:t xml:space="preserve"> For Lenin, this stage 'reached its limit in the 1860s and 1870s'. Following this, the concentration and scale of capitalist production became so great that industrialisation could no longer be easily replicated. The implication is that industrialisation in the periphery is far more difficult than it had been under the age of freely competitive capitalism. Peripheral industrialisation is an uphill struggle against the imperial core, which actively seeks its underdevelopment. This is why Amin presents the G77 as 'peripheral capitalist states and their bourgeoisies' and the global North as 'the monopolies and imperialist states'.</w:t>
      </w:r>
    </w:p>
    <w:p>
      <w:pPr>
        <w:pStyle w:val="Body"/>
        <w:spacing w:line="360" w:lineRule="auto"/>
        <w:rPr>
          <w:sz w:val="28"/>
          <w:szCs w:val="28"/>
        </w:rPr>
      </w:pPr>
    </w:p>
    <w:p>
      <w:pPr>
        <w:pStyle w:val="Body"/>
        <w:spacing w:line="360" w:lineRule="auto"/>
        <w:rPr>
          <w:sz w:val="28"/>
          <w:szCs w:val="28"/>
        </w:rPr>
      </w:pPr>
      <w:r>
        <w:rPr>
          <w:sz w:val="28"/>
          <w:szCs w:val="28"/>
          <w:rtl w:val="0"/>
          <w:lang w:val="en-US"/>
        </w:rPr>
        <w:t>Seen in this light, Amin saw the NIEO as part of the ongoing process of inter-imperial bargaining that is inherent to monopoly capitalism. It was a strategy of strengthening 'the Third World against the centres of the system through a common front'. For Amin, the failure of this strategy exposed the impossibilities of resisting imperialism on a pro-capitalist basis. To make this claim, Amin pointed to internal divisions, and the problem of 'sub-imperialism', which had plagued the G77.</w:t>
      </w:r>
      <w:r>
        <w:rPr>
          <w:sz w:val="28"/>
          <w:szCs w:val="28"/>
          <w:vertAlign w:val="superscript"/>
        </w:rPr>
        <w:footnoteReference w:id="14"/>
      </w:r>
      <w:r>
        <w:rPr>
          <w:sz w:val="28"/>
          <w:szCs w:val="28"/>
          <w:rtl w:val="0"/>
          <w:lang w:val="en-US"/>
        </w:rPr>
        <w:t xml:space="preserve"> As it turned out, the NIEO campaign allowed the relatively stronger partners 'to occupy a short term favourable position in the International Division of Labour even at the expense of the others.'</w:t>
      </w:r>
      <w:r>
        <w:rPr>
          <w:sz w:val="28"/>
          <w:szCs w:val="28"/>
          <w:vertAlign w:val="superscript"/>
        </w:rPr>
        <w:footnoteReference w:id="15"/>
      </w:r>
      <w:r>
        <w:rPr>
          <w:sz w:val="28"/>
          <w:szCs w:val="28"/>
          <w:rtl w:val="0"/>
          <w:lang w:val="en-US"/>
        </w:rPr>
        <w:t xml:space="preserve"> This cemented Amin's theory that economic development within the global capitalist system was especially impossible for 'the "less </w:t>
      </w:r>
      <w:r>
        <w:rPr>
          <w:sz w:val="28"/>
          <w:szCs w:val="28"/>
          <w:rtl w:val="0"/>
          <w:lang w:val="en-US"/>
        </w:rPr>
        <w:t>advanced" countries for whom even dependent development is a mirage.'</w:t>
      </w:r>
      <w:r>
        <w:rPr>
          <w:sz w:val="28"/>
          <w:szCs w:val="28"/>
          <w:vertAlign w:val="superscript"/>
        </w:rPr>
        <w:footnoteReference w:id="16"/>
      </w:r>
      <w:r>
        <w:rPr>
          <w:sz w:val="28"/>
          <w:szCs w:val="28"/>
          <w:rtl w:val="0"/>
          <w:lang w:val="en-US"/>
        </w:rPr>
        <w:t xml:space="preserve"> As such, the NIEO was not just a failed strategy. For Amin, it was a dangerous distraction.</w:t>
      </w:r>
      <w:r>
        <w:rPr>
          <w:sz w:val="28"/>
          <w:szCs w:val="28"/>
          <w:vertAlign w:val="superscript"/>
        </w:rPr>
        <w:footnoteReference w:id="17"/>
      </w:r>
      <w:r>
        <w:rPr>
          <w:sz w:val="28"/>
          <w:szCs w:val="28"/>
          <w:rtl w:val="0"/>
          <w:lang w:val="en-US"/>
        </w:rPr>
        <w:t xml:space="preserve"> The G77 had resisted monopoly capitalism, but only from a petit-bourgeois basis, and only with petit-bourgeois demands. As such, it had been destined to fail. The task of peripheral industrialisation could only succeed, Amin argued, by promoting grass roots social forces, those same social forces that had created the global wave of decolonisation.</w:t>
      </w:r>
      <w:r>
        <w:rPr>
          <w:sz w:val="28"/>
          <w:szCs w:val="28"/>
          <w:vertAlign w:val="superscript"/>
        </w:rPr>
        <w:footnoteReference w:id="18"/>
      </w:r>
    </w:p>
    <w:p>
      <w:pPr>
        <w:pStyle w:val="Body"/>
        <w:spacing w:line="360" w:lineRule="auto"/>
        <w:rPr>
          <w:sz w:val="28"/>
          <w:szCs w:val="28"/>
        </w:rPr>
      </w:pPr>
    </w:p>
    <w:p>
      <w:pPr>
        <w:pStyle w:val="Body"/>
        <w:spacing w:line="360" w:lineRule="auto"/>
        <w:rPr>
          <w:sz w:val="28"/>
          <w:szCs w:val="28"/>
        </w:rPr>
      </w:pPr>
      <w:r>
        <w:rPr>
          <w:sz w:val="28"/>
          <w:szCs w:val="28"/>
          <w:rtl w:val="0"/>
          <w:lang w:val="en-US"/>
        </w:rPr>
        <w:t>In articulating this damning dismissal of the NIEO's praxis, Amin relied on a Leninist counterfactual. He considered what it would mean if the NIEO Project could succeed in 'transforming this dependency relationship and compelling the adjustment of the world system':</w:t>
      </w:r>
    </w:p>
    <w:p>
      <w:pPr>
        <w:pStyle w:val="Body"/>
        <w:spacing w:line="360" w:lineRule="auto"/>
        <w:rPr>
          <w:sz w:val="28"/>
          <w:szCs w:val="28"/>
        </w:rPr>
      </w:pPr>
    </w:p>
    <w:p>
      <w:pPr>
        <w:pStyle w:val="Body"/>
        <w:spacing w:line="360" w:lineRule="auto"/>
        <w:ind w:left="624" w:right="567" w:firstLine="0"/>
        <w:rPr>
          <w:sz w:val="28"/>
          <w:szCs w:val="28"/>
        </w:rPr>
      </w:pPr>
      <w:r>
        <w:rPr>
          <w:sz w:val="28"/>
          <w:szCs w:val="28"/>
          <w:rtl w:val="0"/>
          <w:lang w:val="en-US"/>
        </w:rPr>
        <w:t>'</w:t>
      </w:r>
      <w:r>
        <w:rPr>
          <w:sz w:val="28"/>
          <w:szCs w:val="28"/>
          <w:rtl w:val="0"/>
          <w:lang w:val="en-US"/>
        </w:rPr>
        <w:t>If that should turn out to be the case one should be able to look back on imperialism as merely a stage - an intermediate stage - in the expansion of capitalism on a world scale and not as the highest stage of capitalism; it would have proved, that is, as the stage that ushered in the transition from a system characterised by the asymetrical centre-periphery relationships that define it to a homogeneous global system dominated by capitalist relations.'</w:t>
      </w:r>
      <w:r>
        <w:rPr>
          <w:sz w:val="28"/>
          <w:szCs w:val="28"/>
          <w:vertAlign w:val="superscript"/>
        </w:rPr>
        <w:footnoteReference w:id="19"/>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 xml:space="preserve">As I show below, this was precisely the </w:t>
      </w:r>
      <w:r>
        <w:rPr>
          <w:sz w:val="28"/>
          <w:szCs w:val="28"/>
          <w:rtl w:val="0"/>
          <w:lang w:val="en-US"/>
        </w:rPr>
        <w:t>vision</w:t>
      </w:r>
      <w:r>
        <w:rPr>
          <w:sz w:val="28"/>
          <w:szCs w:val="28"/>
          <w:rtl w:val="0"/>
          <w:lang w:val="en-US"/>
        </w:rPr>
        <w:t xml:space="preserve"> of Ra</w:t>
      </w:r>
      <w:r>
        <w:rPr>
          <w:sz w:val="28"/>
          <w:szCs w:val="28"/>
          <w:rtl w:val="0"/>
        </w:rPr>
        <w:t>ú</w:t>
      </w:r>
      <w:r>
        <w:rPr>
          <w:sz w:val="28"/>
          <w:szCs w:val="28"/>
          <w:rtl w:val="0"/>
          <w:lang w:val="de-DE"/>
        </w:rPr>
        <w:t>l Prebisch</w:t>
      </w:r>
      <w:r>
        <w:rPr>
          <w:sz w:val="28"/>
          <w:szCs w:val="28"/>
          <w:rtl w:val="0"/>
          <w:lang w:val="en-US"/>
        </w:rPr>
        <w:t>:</w:t>
      </w:r>
      <w:r>
        <w:rPr>
          <w:sz w:val="28"/>
          <w:szCs w:val="28"/>
          <w:rtl w:val="0"/>
          <w:lang w:val="en-US"/>
        </w:rPr>
        <w:t xml:space="preserve"> not to overthrow global capitalism but to re</w:t>
      </w:r>
      <w:r>
        <w:rPr>
          <w:sz w:val="28"/>
          <w:szCs w:val="28"/>
          <w:rtl w:val="0"/>
          <w:lang w:val="en-US"/>
        </w:rPr>
        <w:t xml:space="preserve">vive it. </w:t>
      </w:r>
      <w:r>
        <w:rPr>
          <w:sz w:val="28"/>
          <w:szCs w:val="28"/>
          <w:rtl w:val="0"/>
          <w:lang w:val="en-US"/>
        </w:rPr>
        <w:t>However, the NIEO had not only drawn on the liberal</w:t>
      </w:r>
      <w:r>
        <w:rPr>
          <w:sz w:val="28"/>
          <w:szCs w:val="28"/>
          <w:rtl w:val="0"/>
          <w:lang w:val="en-US"/>
        </w:rPr>
        <w:t>ism</w:t>
      </w:r>
      <w:r>
        <w:rPr>
          <w:sz w:val="28"/>
          <w:szCs w:val="28"/>
          <w:rtl w:val="0"/>
          <w:lang w:val="en-US"/>
        </w:rPr>
        <w:t xml:space="preserve"> of Ra</w:t>
      </w:r>
      <w:r>
        <w:rPr>
          <w:sz w:val="28"/>
          <w:szCs w:val="28"/>
          <w:rtl w:val="0"/>
        </w:rPr>
        <w:t>ú</w:t>
      </w:r>
      <w:r>
        <w:rPr>
          <w:sz w:val="28"/>
          <w:szCs w:val="28"/>
          <w:rtl w:val="0"/>
          <w:lang w:val="en-US"/>
        </w:rPr>
        <w:t>l Prebisch. It also</w:t>
      </w:r>
      <w:r>
        <w:rPr>
          <w:sz w:val="28"/>
          <w:szCs w:val="28"/>
          <w:rtl w:val="0"/>
          <w:lang w:val="en-US"/>
        </w:rPr>
        <w:t xml:space="preserve"> drew</w:t>
      </w:r>
      <w:r>
        <w:rPr>
          <w:sz w:val="28"/>
          <w:szCs w:val="28"/>
          <w:rtl w:val="0"/>
          <w:lang w:val="en-US"/>
        </w:rPr>
        <w:t xml:space="preserve"> on the Leninist political economy of Kwame Nkrumah</w:t>
      </w:r>
      <w:r>
        <w:rPr>
          <w:sz w:val="28"/>
          <w:szCs w:val="28"/>
          <w:rtl w:val="0"/>
          <w:lang w:val="en-US"/>
        </w:rPr>
        <w:t xml:space="preserve">, who imagined an entirely different future for NIEO-style reforms. </w:t>
      </w:r>
    </w:p>
    <w:p>
      <w:pPr>
        <w:pStyle w:val="Body"/>
        <w:spacing w:line="360" w:lineRule="auto"/>
        <w:ind w:right="567"/>
        <w:rPr>
          <w:b w:val="1"/>
          <w:bCs w:val="1"/>
          <w:sz w:val="28"/>
          <w:szCs w:val="28"/>
        </w:rPr>
      </w:pPr>
    </w:p>
    <w:p>
      <w:pPr>
        <w:pStyle w:val="Body"/>
        <w:spacing w:line="360" w:lineRule="auto"/>
        <w:ind w:right="567"/>
        <w:rPr>
          <w:b w:val="1"/>
          <w:bCs w:val="1"/>
          <w:sz w:val="28"/>
          <w:szCs w:val="28"/>
        </w:rPr>
      </w:pPr>
      <w:r>
        <w:rPr>
          <w:b w:val="1"/>
          <w:bCs w:val="1"/>
          <w:sz w:val="28"/>
          <w:szCs w:val="28"/>
          <w:rtl w:val="0"/>
          <w:lang w:val="en-US"/>
        </w:rPr>
        <w:t>The Strategic Imaginary of Kwame Nkrumah</w:t>
      </w:r>
    </w:p>
    <w:p>
      <w:pPr>
        <w:pStyle w:val="Body"/>
        <w:spacing w:line="360" w:lineRule="auto"/>
        <w:ind w:right="567"/>
        <w:rPr>
          <w:sz w:val="28"/>
          <w:szCs w:val="28"/>
        </w:rPr>
      </w:pPr>
      <w:r>
        <w:rPr>
          <w:sz w:val="28"/>
          <w:szCs w:val="28"/>
          <w:rtl w:val="0"/>
          <w:lang w:val="en-US"/>
        </w:rPr>
        <w:t>Nkrumah agreed with Amin that imperialism was the final stage of capitalism. His classic work on neo-colonialism hadn't revised Lenin's theory, but applied it to the post-WWII world disorder. Nkrumah made this point explicitly, arguing that:</w:t>
      </w:r>
    </w:p>
    <w:p>
      <w:pPr>
        <w:pStyle w:val="Body"/>
        <w:spacing w:line="360" w:lineRule="auto"/>
        <w:ind w:right="567"/>
        <w:rPr>
          <w:sz w:val="28"/>
          <w:szCs w:val="28"/>
        </w:rPr>
      </w:pPr>
    </w:p>
    <w:p>
      <w:pPr>
        <w:pStyle w:val="Body"/>
        <w:spacing w:line="360" w:lineRule="auto"/>
        <w:ind w:left="567" w:right="1134" w:firstLine="0"/>
        <w:rPr>
          <w:sz w:val="28"/>
          <w:szCs w:val="28"/>
        </w:rPr>
      </w:pPr>
      <w:r>
        <w:rPr>
          <w:sz w:val="28"/>
          <w:szCs w:val="28"/>
          <w:rtl w:val="1"/>
        </w:rPr>
        <w:t>‘</w:t>
      </w:r>
      <w:r>
        <w:rPr>
          <w:sz w:val="28"/>
          <w:szCs w:val="28"/>
          <w:rtl w:val="0"/>
          <w:lang w:val="en-US"/>
        </w:rPr>
        <w:t>Colonialism has achieved a new guise. It has become neo-colonialism, the last stage of imperialism; its final bid for existence, as monopoly-capitalism or imperialism is the last stage of capitalism.</w:t>
      </w:r>
      <w:r>
        <w:rPr>
          <w:sz w:val="28"/>
          <w:szCs w:val="28"/>
          <w:rtl w:val="1"/>
        </w:rPr>
        <w:t>’</w:t>
      </w:r>
      <w:r>
        <w:rPr>
          <w:sz w:val="28"/>
          <w:szCs w:val="28"/>
          <w:vertAlign w:val="superscript"/>
        </w:rPr>
        <w:footnoteReference w:id="20"/>
      </w:r>
    </w:p>
    <w:p>
      <w:pPr>
        <w:pStyle w:val="Body"/>
        <w:spacing w:line="360" w:lineRule="auto"/>
        <w:ind w:left="567" w:right="1134" w:firstLine="0"/>
        <w:rPr>
          <w:sz w:val="28"/>
          <w:szCs w:val="28"/>
        </w:rPr>
      </w:pPr>
    </w:p>
    <w:p>
      <w:pPr>
        <w:pStyle w:val="Body"/>
        <w:spacing w:line="360" w:lineRule="auto"/>
        <w:ind w:right="1134"/>
        <w:rPr>
          <w:sz w:val="28"/>
          <w:szCs w:val="28"/>
        </w:rPr>
      </w:pPr>
      <w:r>
        <w:rPr>
          <w:sz w:val="28"/>
          <w:szCs w:val="28"/>
          <w:rtl w:val="0"/>
          <w:lang w:val="en-US"/>
        </w:rPr>
        <w:t>Like Amin, then, Nkrumah understood the task of economic development in the periphery as a struggle against global finance.</w:t>
      </w:r>
      <w:r>
        <w:rPr>
          <w:sz w:val="28"/>
          <w:szCs w:val="28"/>
          <w:vertAlign w:val="superscript"/>
        </w:rPr>
        <w:footnoteReference w:id="21"/>
      </w:r>
      <w:r>
        <w:rPr>
          <w:sz w:val="28"/>
          <w:szCs w:val="28"/>
          <w:rtl w:val="0"/>
          <w:lang w:val="en-US"/>
        </w:rPr>
        <w:t xml:space="preserve"> Indeed, Nkrumah saw neo-colonialism as 'the empire of finance capital, in fact if not in name, a vast sprawling network of intercontinental activity on a highly diversified scale that controls the lives of millions of people in the most widely separated parts of the world'.</w:t>
      </w:r>
      <w:r>
        <w:rPr>
          <w:sz w:val="28"/>
          <w:szCs w:val="28"/>
          <w:vertAlign w:val="superscript"/>
        </w:rPr>
        <w:footnoteReference w:id="22"/>
      </w:r>
      <w:r>
        <w:rPr>
          <w:sz w:val="28"/>
          <w:szCs w:val="28"/>
          <w:rtl w:val="0"/>
          <w:lang w:val="en-US"/>
        </w:rPr>
        <w:t xml:space="preserve"> Unlike Amin, Nkrumah took a pragmatic approach to this empire, arguing that 'it is impossible for any of us to avoid dealing with monopoly in some form or another.'</w:t>
      </w:r>
      <w:r>
        <w:rPr>
          <w:sz w:val="28"/>
          <w:szCs w:val="28"/>
          <w:vertAlign w:val="superscript"/>
        </w:rPr>
        <w:footnoteReference w:id="23"/>
      </w:r>
      <w:r>
        <w:rPr>
          <w:sz w:val="28"/>
          <w:szCs w:val="28"/>
          <w:rtl w:val="0"/>
          <w:lang w:val="en-US"/>
        </w:rPr>
        <w:t xml:space="preserve"> For Nkrumah the question was not whether to deal with monopolies, but how. With international solidarity, Non-Aligned state elites could 'maintain the integrity of our financial institutions' and 'leave ourselves room to manoeuvre away' from neo-colonialism.</w:t>
      </w:r>
      <w:r>
        <w:rPr>
          <w:sz w:val="28"/>
          <w:szCs w:val="28"/>
          <w:vertAlign w:val="superscript"/>
        </w:rPr>
        <w:footnoteReference w:id="24"/>
      </w:r>
      <w:r>
        <w:rPr>
          <w:sz w:val="28"/>
          <w:szCs w:val="28"/>
          <w:rtl w:val="0"/>
          <w:lang w:val="en-US"/>
        </w:rPr>
        <w:t xml:space="preserve"> So whereas Amin advocated for state-led autarkic development, Nkrumah advocated for regional and global collaboration to mitigate the worst effects of imperialism. Here, his focus was on pan-African socialism, but he also supported 'a strengthening of the Afro-Asian Solidarity Organisation and the spirit of Bandung', as well as solidarity 'on an increasingly formal basis' with 'our Latin American brothers.'</w:t>
      </w:r>
      <w:r>
        <w:rPr>
          <w:sz w:val="28"/>
          <w:szCs w:val="28"/>
          <w:vertAlign w:val="superscript"/>
        </w:rPr>
        <w:footnoteReference w:id="25"/>
      </w:r>
      <w:r>
        <w:rPr>
          <w:sz w:val="28"/>
          <w:szCs w:val="28"/>
          <w:rtl w:val="0"/>
          <w:lang w:val="en-US"/>
        </w:rPr>
        <w:t xml:space="preserve"> Thus, whereas Amin criticised the NIEO's 'common front' strategy, Nkrumah helped create it. He argued that newly-independent states must act 'in a combination that will give strength to our bargaining power and eliminate so many of the duplications that give greater force and greater advantage to the imperialists and their strategy of neo-colonialism.'</w:t>
      </w:r>
      <w:r>
        <w:rPr>
          <w:sz w:val="28"/>
          <w:szCs w:val="28"/>
          <w:vertAlign w:val="superscript"/>
        </w:rPr>
        <w:footnoteReference w:id="26"/>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In calling for international solidarity, Nkrumah imagined global reforms that would become key pillars of the campaign for a New International Economic Order. These included calls for aid to be distributed by multilateral organisations operating democratically, a 'continental code to govern foreign investment', and support for increased free trade.</w:t>
      </w:r>
      <w:r>
        <w:rPr>
          <w:sz w:val="28"/>
          <w:szCs w:val="28"/>
          <w:vertAlign w:val="superscript"/>
        </w:rPr>
        <w:footnoteReference w:id="27"/>
      </w:r>
      <w:r>
        <w:rPr>
          <w:sz w:val="28"/>
          <w:szCs w:val="28"/>
          <w:rtl w:val="0"/>
          <w:lang w:val="en-US"/>
        </w:rPr>
        <w:t xml:space="preserve"> Nkrumah didn't believe these reforms would succeed in isolation, but thought they would be useful. By mitigating the worst effects of imperialism, these proposals would boost economic development in the periphery, and heighten the contradiction between capital and labour in the imperial core.</w:t>
      </w:r>
      <w:r>
        <w:rPr>
          <w:sz w:val="28"/>
          <w:szCs w:val="28"/>
          <w:vertAlign w:val="superscript"/>
        </w:rPr>
        <w:footnoteReference w:id="28"/>
      </w:r>
      <w:r>
        <w:rPr>
          <w:sz w:val="28"/>
          <w:szCs w:val="28"/>
          <w:rtl w:val="0"/>
          <w:lang w:val="en-US"/>
        </w:rPr>
        <w:t xml:space="preserve"> Thus, despite what Amin might consider Nkrumah's "imperialist reformism", this was pure Lenin. For Lenin had argued that monopolistic superprofits allowed imperialists to 'bribe the labour leaders and the upper stratum of the labour aristocracy.'</w:t>
      </w:r>
      <w:r>
        <w:rPr>
          <w:sz w:val="28"/>
          <w:szCs w:val="28"/>
          <w:vertAlign w:val="superscript"/>
        </w:rPr>
        <w:footnoteReference w:id="29"/>
      </w:r>
      <w:r>
        <w:rPr>
          <w:sz w:val="28"/>
          <w:szCs w:val="28"/>
          <w:rtl w:val="0"/>
          <w:lang w:val="en-US"/>
        </w:rPr>
        <w:t xml:space="preserve"> Nkrumah built on this directly, reasoning that any mitigation of such superprofits would heighten class conflict in the core:</w:t>
      </w:r>
    </w:p>
    <w:p>
      <w:pPr>
        <w:pStyle w:val="Body"/>
        <w:spacing w:line="360" w:lineRule="auto"/>
        <w:ind w:right="567"/>
        <w:rPr>
          <w:sz w:val="28"/>
          <w:szCs w:val="28"/>
        </w:rPr>
      </w:pPr>
    </w:p>
    <w:p>
      <w:pPr>
        <w:pStyle w:val="Body"/>
        <w:spacing w:line="360" w:lineRule="auto"/>
        <w:ind w:left="567" w:right="567" w:firstLine="0"/>
        <w:rPr>
          <w:sz w:val="28"/>
          <w:szCs w:val="28"/>
        </w:rPr>
      </w:pPr>
      <w:r>
        <w:rPr>
          <w:sz w:val="28"/>
          <w:szCs w:val="28"/>
          <w:rtl w:val="0"/>
          <w:lang w:val="en-US"/>
        </w:rPr>
        <w:t>'When Africa becomes economically free and politically united, the monopolists will come face to face with their own working class in their own countries, and a new struggle will arise within which the liquidation and collapse of imperialism will be complete.'</w:t>
      </w:r>
      <w:r>
        <w:rPr>
          <w:sz w:val="28"/>
          <w:szCs w:val="28"/>
          <w:vertAlign w:val="superscript"/>
        </w:rPr>
        <w:footnoteReference w:id="30"/>
      </w:r>
    </w:p>
    <w:p>
      <w:pPr>
        <w:pStyle w:val="Body"/>
        <w:spacing w:line="360" w:lineRule="auto"/>
        <w:ind w:right="567"/>
        <w:rPr>
          <w:sz w:val="28"/>
          <w:szCs w:val="28"/>
        </w:rPr>
      </w:pPr>
    </w:p>
    <w:p>
      <w:pPr>
        <w:pStyle w:val="Body"/>
        <w:tabs>
          <w:tab w:val="left" w:pos="2268"/>
        </w:tabs>
        <w:spacing w:line="360" w:lineRule="auto"/>
        <w:ind w:right="567"/>
        <w:rPr>
          <w:sz w:val="28"/>
          <w:szCs w:val="28"/>
        </w:rPr>
      </w:pPr>
      <w:r>
        <w:rPr>
          <w:sz w:val="28"/>
          <w:szCs w:val="28"/>
          <w:rtl w:val="0"/>
          <w:lang w:val="en-US"/>
        </w:rPr>
        <w:t xml:space="preserve">This is a wildly different Leninism to Samir Amin. For Amin, NIEO-style reform was a dangerous distraction. In Nkrumah's imaginary, NIEO-style reforms were strategically useful. They would assist with economic development in the periphery while heightening class contradictions in the imperial core. </w:t>
      </w:r>
    </w:p>
    <w:p>
      <w:pPr>
        <w:pStyle w:val="Body"/>
        <w:spacing w:line="360" w:lineRule="auto"/>
        <w:ind w:right="567"/>
        <w:rPr>
          <w:sz w:val="28"/>
          <w:szCs w:val="28"/>
        </w:rPr>
      </w:pPr>
    </w:p>
    <w:p>
      <w:pPr>
        <w:pStyle w:val="Body"/>
        <w:spacing w:line="360" w:lineRule="auto"/>
        <w:ind w:right="567"/>
        <w:rPr>
          <w:b w:val="1"/>
          <w:bCs w:val="1"/>
          <w:sz w:val="28"/>
          <w:szCs w:val="28"/>
        </w:rPr>
      </w:pPr>
      <w:r>
        <w:rPr>
          <w:b w:val="1"/>
          <w:bCs w:val="1"/>
          <w:sz w:val="28"/>
          <w:szCs w:val="28"/>
          <w:rtl w:val="0"/>
          <w:lang w:val="en-US"/>
        </w:rPr>
        <w:t>Ra</w:t>
      </w:r>
      <w:r>
        <w:rPr>
          <w:b w:val="1"/>
          <w:bCs w:val="1"/>
          <w:sz w:val="28"/>
          <w:szCs w:val="28"/>
          <w:rtl w:val="0"/>
          <w:lang w:val="en-US"/>
        </w:rPr>
        <w:t>ú</w:t>
      </w:r>
      <w:r>
        <w:rPr>
          <w:b w:val="1"/>
          <w:bCs w:val="1"/>
          <w:sz w:val="28"/>
          <w:szCs w:val="28"/>
          <w:rtl w:val="0"/>
          <w:lang w:val="en-US"/>
        </w:rPr>
        <w:t>l Prebisch's Liberal Anti-Imperialism</w:t>
      </w:r>
    </w:p>
    <w:p>
      <w:pPr>
        <w:pStyle w:val="Body"/>
        <w:spacing w:line="360" w:lineRule="auto"/>
        <w:ind w:right="567"/>
        <w:rPr>
          <w:sz w:val="28"/>
          <w:szCs w:val="28"/>
        </w:rPr>
      </w:pPr>
      <w:r>
        <w:rPr>
          <w:sz w:val="28"/>
          <w:szCs w:val="28"/>
          <w:rtl w:val="0"/>
          <w:lang w:val="en-US"/>
        </w:rPr>
        <w:t>As the founding Secretary General of the United Nations Conference on Trade and Development, Ra</w:t>
      </w:r>
      <w:r>
        <w:rPr>
          <w:sz w:val="28"/>
          <w:szCs w:val="28"/>
          <w:rtl w:val="0"/>
          <w:lang w:val="en-US"/>
        </w:rPr>
        <w:t>ú</w:t>
      </w:r>
      <w:r>
        <w:rPr>
          <w:sz w:val="28"/>
          <w:szCs w:val="28"/>
          <w:rtl w:val="0"/>
          <w:lang w:val="en-US"/>
        </w:rPr>
        <w:t>l Prebisch coined the idea of a 'new international order', and theorised the foundations of the NIEO's political economy. At the level of world order, Prebisch's work overlapped with Nrkumah's. Both agreed that global capitalism was not functioning as it had in the 19th century, and both believed that these structural constraints could be mitigated by liberal reforms. This overlap allowed their ideas to be synthesised in the founding declarations of the NIEO. However, beneath the surface of this 'common front' were two distinct strategic imaginaries. Nkrumah wanted to transcend capitalism. Prebisch wanted to fix it with a more rational form of global economic management.</w:t>
      </w:r>
      <w:r>
        <w:rPr>
          <w:sz w:val="28"/>
          <w:szCs w:val="28"/>
          <w:vertAlign w:val="superscript"/>
        </w:rPr>
        <w:footnoteReference w:id="31"/>
      </w:r>
      <w:r>
        <w:rPr>
          <w:sz w:val="28"/>
          <w:szCs w:val="28"/>
          <w:rtl w:val="0"/>
          <w:lang w:val="en-US"/>
        </w:rPr>
        <w:t xml:space="preserve"> As such, he believed NIEO-style reforms would benefit development in the core just as much as in the periphery.</w:t>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 xml:space="preserve">Just like Lenin, Nkrumah and Amin, Prebisch appreciated that the history of colonisation had changed the structure and function of global capitalism. He published this historical sociology in a founding UNCTAD document, </w:t>
      </w:r>
      <w:r>
        <w:rPr>
          <w:i w:val="1"/>
          <w:iCs w:val="1"/>
          <w:sz w:val="28"/>
          <w:szCs w:val="28"/>
          <w:rtl w:val="0"/>
          <w:lang w:val="en-US"/>
        </w:rPr>
        <w:t>Towards a New Trade Policy For Development</w:t>
      </w:r>
      <w:r>
        <w:rPr>
          <w:sz w:val="28"/>
          <w:szCs w:val="28"/>
          <w:rtl w:val="0"/>
          <w:lang w:val="en-US"/>
        </w:rPr>
        <w:t>. Her argued that in the 19th century, the United Kingdom had 'applied no protectionist tariffs'. In this 'propitious international setting', industrialisation in the core could 'turn outwards', and reap 'the benefits of specialisation and of an adequate scale of production.'</w:t>
      </w:r>
      <w:r>
        <w:rPr>
          <w:sz w:val="28"/>
          <w:szCs w:val="28"/>
          <w:vertAlign w:val="superscript"/>
        </w:rPr>
        <w:footnoteReference w:id="32"/>
      </w:r>
      <w:r>
        <w:rPr>
          <w:sz w:val="28"/>
          <w:szCs w:val="28"/>
          <w:rtl w:val="0"/>
          <w:lang w:val="en-US"/>
        </w:rPr>
        <w:t xml:space="preserve"> The opposite is true for industrialisation following the Great Depression. Then, elites in the United States and the United Kingdom erected protectionist barriers, which forced industrialisation in the periphery to take place in a closed and hostile world economy. For Prebisch, this forced these states to rely on the necessary evil of import-substitution.</w:t>
      </w:r>
      <w:r>
        <w:rPr>
          <w:sz w:val="28"/>
          <w:szCs w:val="28"/>
          <w:vertAlign w:val="superscript"/>
        </w:rPr>
        <w:footnoteReference w:id="33"/>
      </w:r>
      <w:r>
        <w:rPr>
          <w:sz w:val="28"/>
          <w:szCs w:val="28"/>
          <w:rtl w:val="0"/>
          <w:lang w:val="en-US"/>
        </w:rPr>
        <w:t xml:space="preserve"> In Latin America a wave of industrialisation followed, but it pushed into limits that hadn't existed in the 19th century. Whereas Europe and Japan benefited from large, global export markets, Latin American industrialisation '</w:t>
      </w:r>
      <w:r>
        <w:rPr>
          <w:sz w:val="28"/>
          <w:szCs w:val="28"/>
          <w:rtl w:val="0"/>
          <w:lang w:val="en-US"/>
        </w:rPr>
        <w:t>proceeded piecemeal in a large number of watertight compartments with little inter-communication, to the serious detriment of productivity.</w:t>
      </w:r>
      <w:r>
        <w:rPr>
          <w:sz w:val="28"/>
          <w:szCs w:val="28"/>
          <w:rtl w:val="0"/>
          <w:lang w:val="en-US"/>
        </w:rPr>
        <w:t>'</w:t>
      </w:r>
      <w:r>
        <w:rPr>
          <w:sz w:val="28"/>
          <w:szCs w:val="28"/>
          <w:vertAlign w:val="superscript"/>
        </w:rPr>
        <w:footnoteReference w:id="34"/>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Prebisch appreciated that this context of restricted and declining world trade was mitigated by the establishment of the Bretton Woods institutions, especially the General Agreement on Tariffs and Trade (GATT). Still, he criticised its assumption that 'the free play of international economic forces by itself leads to the optimum expansion of trade and the most efficient utilization of the world's productive resources.'</w:t>
      </w:r>
      <w:r>
        <w:rPr>
          <w:sz w:val="28"/>
          <w:szCs w:val="28"/>
          <w:vertAlign w:val="superscript"/>
        </w:rPr>
        <w:footnoteReference w:id="35"/>
      </w:r>
      <w:r>
        <w:rPr>
          <w:sz w:val="28"/>
          <w:szCs w:val="28"/>
          <w:rtl w:val="0"/>
          <w:lang w:val="en-US"/>
        </w:rPr>
        <w:t xml:space="preserve"> Whereas the 'free play concept is admissible in relations between countries that are structurally similar', Prebisch argued that it didn't apply between 'the industrially advanced and the developing countries.'</w:t>
      </w:r>
      <w:r>
        <w:rPr>
          <w:sz w:val="28"/>
          <w:szCs w:val="28"/>
          <w:vertAlign w:val="superscript"/>
        </w:rPr>
        <w:footnoteReference w:id="36"/>
      </w:r>
      <w:r>
        <w:rPr>
          <w:sz w:val="28"/>
          <w:szCs w:val="28"/>
          <w:rtl w:val="0"/>
          <w:lang w:val="en-US"/>
        </w:rPr>
        <w:t xml:space="preserve"> For as Prebisch famously showed alongside Hans Singer, the commodity exports from the periphery showed a long term tendency to decline relative to industrial imports from the core.</w:t>
      </w:r>
      <w:r>
        <w:rPr>
          <w:sz w:val="28"/>
          <w:szCs w:val="28"/>
          <w:vertAlign w:val="superscript"/>
        </w:rPr>
        <w:footnoteReference w:id="37"/>
      </w:r>
      <w:r>
        <w:rPr>
          <w:sz w:val="28"/>
          <w:szCs w:val="28"/>
          <w:rtl w:val="0"/>
          <w:lang w:val="en-US"/>
        </w:rPr>
        <w:t xml:space="preserve"> This was a direct result of the history of colonisation, which had conditioned the economies of the periphery to serve the interests of the core. For Prebisch, this meant that despite the best intentions of the GATT, its principles perpetuated economic dependency. By demanding that an unequal world lower trade barriers equally, the Bretton Woods system was hindering, rather than helping, economic development.</w:t>
      </w:r>
      <w:r>
        <w:rPr>
          <w:sz w:val="28"/>
          <w:szCs w:val="28"/>
          <w:vertAlign w:val="superscript"/>
        </w:rPr>
        <w:footnoteReference w:id="38"/>
      </w:r>
      <w:r>
        <w:rPr>
          <w:sz w:val="28"/>
          <w:szCs w:val="28"/>
          <w:rtl w:val="0"/>
          <w:lang w:val="en-US"/>
        </w:rPr>
        <w:t xml:space="preserve"> </w:t>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This historical critique was used to devise practical measures to boost global trade and development. The goal was to mitigate the structural forces making peripheral industrialisation harder than it had been in the 19th century. This would require a real transfer of wealth from the core to the periphery; the establishment of commodity agreements to regulate and increase the price of peripheral exports; and a general system of preferences. Here, tariffs would be lowered on exports from the periphery, as a means of encouraging exports, particularly for processed, or more highly value-added goods.</w:t>
      </w:r>
      <w:r>
        <w:rPr>
          <w:sz w:val="28"/>
          <w:szCs w:val="28"/>
          <w:vertAlign w:val="superscript"/>
        </w:rPr>
        <w:footnoteReference w:id="39"/>
      </w:r>
      <w:r>
        <w:rPr>
          <w:sz w:val="28"/>
          <w:szCs w:val="28"/>
          <w:rtl w:val="0"/>
          <w:lang w:val="en-US"/>
        </w:rPr>
        <w:t xml:space="preserve"> However, Prebisch never believed that these measures would be sufficient. He made this point with a counterfactual, arguing that:</w:t>
      </w:r>
    </w:p>
    <w:p>
      <w:pPr>
        <w:pStyle w:val="Body"/>
        <w:spacing w:line="360" w:lineRule="auto"/>
        <w:ind w:right="567"/>
        <w:rPr>
          <w:sz w:val="28"/>
          <w:szCs w:val="28"/>
        </w:rPr>
      </w:pPr>
    </w:p>
    <w:p>
      <w:pPr>
        <w:pStyle w:val="Body"/>
        <w:spacing w:line="360" w:lineRule="auto"/>
        <w:ind w:left="567" w:right="850" w:firstLine="0"/>
        <w:rPr>
          <w:sz w:val="28"/>
          <w:szCs w:val="28"/>
        </w:rPr>
      </w:pPr>
      <w:r>
        <w:rPr>
          <w:sz w:val="28"/>
          <w:szCs w:val="28"/>
          <w:rtl w:val="0"/>
          <w:lang w:val="en-US"/>
        </w:rPr>
        <w:t>'If the peripheral countries manage to secure a larger share for their primary exports in the consumption of the industrial countries, this, together with the transfer of income from the latter countries to the former to offset the effects of the deterioration in the terms of trade, will help to narrow the trade gap but will not in itself be enough to close it. These measures will be palliatives, and the relief they afford, though considerable in some cases, will be of limited scope owing to the size of the gap. Hence, the absolute necessity of building up trade in industrial exports.'</w:t>
      </w:r>
      <w:r>
        <w:rPr>
          <w:sz w:val="28"/>
          <w:szCs w:val="28"/>
          <w:vertAlign w:val="superscript"/>
        </w:rPr>
        <w:footnoteReference w:id="40"/>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Just like Nkrumah, then, Prebisch saw NIEO-style reforms as complimentary to the crucial task of industrialisation. Also like Nkrumah, Prebisch believed that this would require regional cooperation. In isolation, he reasoned, most peripheral states lacked the scale needed for competitive export industries. As an alternative, Prebisch advocated the collective promotion of infant industries on a regional, and global, scale.</w:t>
      </w:r>
      <w:r>
        <w:rPr>
          <w:sz w:val="28"/>
          <w:szCs w:val="28"/>
          <w:vertAlign w:val="superscript"/>
        </w:rPr>
        <w:footnoteReference w:id="41"/>
      </w:r>
      <w:r>
        <w:rPr>
          <w:sz w:val="28"/>
          <w:szCs w:val="28"/>
          <w:rtl w:val="0"/>
          <w:lang w:val="en-US"/>
        </w:rPr>
        <w:t xml:space="preserve"> As Prebisch was well aware, it was 'not a matter of controversy among economists that national protection of infant industries is justifiable wherever such industries have a long-run prospect of reaching a high level of efficiency.'</w:t>
      </w:r>
      <w:r>
        <w:rPr>
          <w:sz w:val="28"/>
          <w:szCs w:val="28"/>
          <w:vertAlign w:val="superscript"/>
        </w:rPr>
        <w:footnoteReference w:id="42"/>
      </w:r>
      <w:r>
        <w:rPr>
          <w:sz w:val="28"/>
          <w:szCs w:val="28"/>
          <w:rtl w:val="0"/>
          <w:lang w:val="en-US"/>
        </w:rPr>
        <w:t xml:space="preserve"> This efficiency required access to wider markets, both in the core and periphery. As such, Prebisch made two core proposals:</w:t>
      </w:r>
    </w:p>
    <w:p>
      <w:pPr>
        <w:pStyle w:val="Body"/>
        <w:spacing w:line="360" w:lineRule="auto"/>
        <w:ind w:right="567"/>
        <w:rPr>
          <w:sz w:val="28"/>
          <w:szCs w:val="28"/>
        </w:rPr>
      </w:pPr>
    </w:p>
    <w:p>
      <w:pPr>
        <w:pStyle w:val="Body"/>
        <w:spacing w:line="360" w:lineRule="auto"/>
        <w:ind w:left="567" w:right="1134" w:firstLine="0"/>
        <w:rPr>
          <w:sz w:val="28"/>
          <w:szCs w:val="28"/>
        </w:rPr>
      </w:pPr>
      <w:r>
        <w:rPr>
          <w:sz w:val="28"/>
          <w:szCs w:val="28"/>
          <w:rtl w:val="0"/>
          <w:lang w:val="en-US"/>
        </w:rPr>
        <w:t>'</w:t>
      </w:r>
      <w:r>
        <w:rPr>
          <w:sz w:val="28"/>
          <w:szCs w:val="28"/>
          <w:rtl w:val="0"/>
          <w:lang w:val="en-US"/>
        </w:rPr>
        <w:t>(a) developing countries should give preference to imports from other developing</w:t>
      </w:r>
      <w:r>
        <w:rPr>
          <w:sz w:val="28"/>
          <w:szCs w:val="28"/>
          <w:rtl w:val="0"/>
        </w:rPr>
        <w:t> </w:t>
      </w:r>
      <w:r>
        <w:rPr>
          <w:sz w:val="28"/>
          <w:szCs w:val="28"/>
          <w:rtl w:val="0"/>
          <w:lang w:val="en-US"/>
        </w:rPr>
        <w:t>countries</w:t>
      </w:r>
      <w:r>
        <w:rPr>
          <w:sz w:val="28"/>
          <w:szCs w:val="28"/>
          <w:rtl w:val="0"/>
        </w:rPr>
        <w:t> </w:t>
      </w:r>
      <w:r>
        <w:rPr>
          <w:sz w:val="28"/>
          <w:szCs w:val="28"/>
          <w:rtl w:val="0"/>
          <w:lang w:val="en-US"/>
        </w:rPr>
        <w:t>in their own markets; (b) developed countries should give preference to imports from developing countries in their own markets.'</w:t>
      </w:r>
      <w:r>
        <w:rPr>
          <w:sz w:val="28"/>
          <w:szCs w:val="28"/>
          <w:vertAlign w:val="superscript"/>
        </w:rPr>
        <w:footnoteReference w:id="43"/>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For Prebisch's neo-classical critics, this vision was a protectionist nightmare. Anticipating this, he stressed that they did 'not have to be a permanent phenomenon.'</w:t>
      </w:r>
      <w:r>
        <w:rPr>
          <w:sz w:val="28"/>
          <w:szCs w:val="28"/>
          <w:vertAlign w:val="superscript"/>
        </w:rPr>
        <w:footnoteReference w:id="44"/>
      </w:r>
      <w:r>
        <w:rPr>
          <w:sz w:val="28"/>
          <w:szCs w:val="28"/>
          <w:rtl w:val="0"/>
          <w:lang w:val="en-US"/>
        </w:rPr>
        <w:t xml:space="preserve"> The entire purpose, in fact, was to create a world capitalist system in which no such interventions were needed. As peripheral exports grew, the 'disparity' with the core 'can be levelled out gradually.'</w:t>
      </w:r>
      <w:r>
        <w:rPr>
          <w:sz w:val="28"/>
          <w:szCs w:val="28"/>
          <w:vertAlign w:val="superscript"/>
        </w:rPr>
        <w:footnoteReference w:id="45"/>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Here lay the biggest difference between Prebisch and Nkrumah. Despite agreeing on the need for liberal reforms to world trade, they did so for entirely different reasons. Nkrumah saw NIEO-style policies as useful for creating global socialism. Prebisch saw them as paving the way for a world capitalist system that worked as its neo-classical boosters already believed it did. Thus, he wrote that:</w:t>
      </w:r>
    </w:p>
    <w:p>
      <w:pPr>
        <w:pStyle w:val="Body"/>
        <w:spacing w:line="360" w:lineRule="auto"/>
        <w:ind w:right="567"/>
        <w:rPr>
          <w:sz w:val="28"/>
          <w:szCs w:val="28"/>
        </w:rPr>
      </w:pPr>
    </w:p>
    <w:p>
      <w:pPr>
        <w:pStyle w:val="Body"/>
        <w:spacing w:line="360" w:lineRule="auto"/>
        <w:ind w:left="567" w:right="1134" w:firstLine="0"/>
        <w:rPr>
          <w:sz w:val="28"/>
          <w:szCs w:val="28"/>
        </w:rPr>
      </w:pPr>
      <w:r>
        <w:rPr>
          <w:i w:val="1"/>
          <w:iCs w:val="1"/>
          <w:sz w:val="28"/>
          <w:szCs w:val="28"/>
          <w:rtl w:val="0"/>
          <w:lang w:val="en-US"/>
        </w:rPr>
        <w:t>'</w:t>
      </w:r>
      <w:r>
        <w:rPr>
          <w:i w:val="1"/>
          <w:iCs w:val="1"/>
          <w:sz w:val="28"/>
          <w:szCs w:val="28"/>
          <w:rtl w:val="0"/>
          <w:lang w:val="en-US"/>
        </w:rPr>
        <w:t>With an effort of the imagination it is possible to visualize a situation of dynamic equilibrium in the distant future in which the trend in question disappears as a result of the world-wide process of industrialization.</w:t>
      </w:r>
      <w:r>
        <w:rPr>
          <w:i w:val="1"/>
          <w:iCs w:val="1"/>
          <w:sz w:val="28"/>
          <w:szCs w:val="28"/>
          <w:rtl w:val="0"/>
          <w:lang w:val="en-US"/>
        </w:rPr>
        <w:t>'</w:t>
      </w:r>
      <w:r>
        <w:rPr>
          <w:sz w:val="28"/>
          <w:szCs w:val="28"/>
          <w:vertAlign w:val="superscript"/>
        </w:rPr>
        <w:footnoteReference w:id="46"/>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Here lay the NIEO's essentially capitalist vision, that which was dismissed by Samir Amin. Prebisch appreciated that the history of colonisation had distorted international trade, such that comparative advantage didn't function properly between the core and periphery. However, he didn't want to transcend but to fix this. In doing so, Prebisch imagined NIEO-style reforms as benefitting the core just as much as the periphery.</w:t>
      </w:r>
      <w:r>
        <w:rPr>
          <w:sz w:val="28"/>
          <w:szCs w:val="28"/>
          <w:vertAlign w:val="superscript"/>
        </w:rPr>
        <w:footnoteReference w:id="47"/>
      </w:r>
      <w:r>
        <w:rPr>
          <w:sz w:val="28"/>
          <w:szCs w:val="28"/>
          <w:rtl w:val="0"/>
          <w:lang w:val="en-US"/>
        </w:rPr>
        <w:t xml:space="preserve"> This couldn't have been more different to Nrkumah's vision, which assumed that any reduction in imperialist superprofits would heighten contradictions in the core. </w:t>
      </w:r>
    </w:p>
    <w:p>
      <w:pPr>
        <w:pStyle w:val="Body"/>
        <w:spacing w:line="360" w:lineRule="auto"/>
        <w:ind w:right="567"/>
        <w:rPr>
          <w:sz w:val="28"/>
          <w:szCs w:val="28"/>
        </w:rPr>
      </w:pPr>
    </w:p>
    <w:p>
      <w:pPr>
        <w:pStyle w:val="Body"/>
        <w:spacing w:line="360" w:lineRule="auto"/>
        <w:ind w:right="567"/>
        <w:rPr>
          <w:b w:val="1"/>
          <w:bCs w:val="1"/>
          <w:sz w:val="28"/>
          <w:szCs w:val="28"/>
        </w:rPr>
      </w:pPr>
      <w:r>
        <w:rPr>
          <w:b w:val="1"/>
          <w:bCs w:val="1"/>
          <w:sz w:val="28"/>
          <w:szCs w:val="28"/>
          <w:rtl w:val="0"/>
          <w:lang w:val="en-US"/>
        </w:rPr>
        <w:t>Bedjaoui: The Strategic Imaginaries in Practice</w:t>
      </w:r>
    </w:p>
    <w:p>
      <w:pPr>
        <w:pStyle w:val="Body"/>
        <w:spacing w:line="360" w:lineRule="auto"/>
        <w:ind w:right="567"/>
        <w:rPr>
          <w:sz w:val="28"/>
          <w:szCs w:val="28"/>
        </w:rPr>
      </w:pPr>
      <w:r>
        <w:rPr>
          <w:sz w:val="28"/>
          <w:szCs w:val="28"/>
          <w:rtl w:val="0"/>
          <w:lang w:val="en-US"/>
        </w:rPr>
        <w:t>Despite their clear differences, the strategic imaginaries of Nkrumah and Prebisch were synthesised in the founding declarations of the New International Economic Order. Echoing Nkrumah, the NIEO called for multilateral disbursement of foreign aid, a code of conduct to regulate global monopolies, and the overthrow of neo-colonialism. Echoing Prebisch, the NIEO called for the regulation of commodity markets, trade preferences, and real compensation for the declining terms of trade. This 'common front', as Amin described it, was essential for the solidarity of the G77. It allowed capitalist and socialist state elites to find common ground. Nevertheless, this compromise masked fundamental strategic differences. As Nkrumah imagined it, NIEO-style reforms would damage the interests of imperialists. If true, then the G77's goal of reaching a global consensus in the UN General Assembly was unrealistic. It would be better for Non-Aligned state elites to act independently. For Prebisch, NIEO-style reforms were imagined as a more rational form of economic management. If true, a global consensus could be reached and it would benefit all. In practice, both tendencies were fused in a changing and contradictory synthesis. Each G77 leader, and each diplomat, had to strike a balance between these two imaginaries. This was an essential part of their decision making. An example of this synthesis can be found in the pioneering work of the Algerian jurist, and active participant in the NIEO, Mohammed Bedjaoui.</w:t>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 xml:space="preserve">Bedjaoui embraced the NIEO's contradictory synthesis, and grappled with its strategic tensions. Indeed, the stated gaol of </w:t>
      </w:r>
      <w:r>
        <w:rPr>
          <w:b w:val="1"/>
          <w:bCs w:val="1"/>
          <w:sz w:val="28"/>
          <w:szCs w:val="28"/>
          <w:rtl w:val="0"/>
          <w:lang w:val="en-US"/>
        </w:rPr>
        <w:t>his book</w:t>
      </w:r>
      <w:r>
        <w:rPr>
          <w:sz w:val="28"/>
          <w:szCs w:val="28"/>
          <w:rtl w:val="0"/>
          <w:lang w:val="en-US"/>
        </w:rPr>
        <w:t xml:space="preserve"> was 'to make a rapid diagnosis of the present economic order and add a forecast of what it will be or might become, after weighing up the contradictory demands of the various groups of protagonists in the world and identifying the balance of power between them as expressed by their antagonistic relations.'</w:t>
      </w:r>
      <w:r>
        <w:rPr>
          <w:sz w:val="28"/>
          <w:szCs w:val="28"/>
          <w:vertAlign w:val="superscript"/>
        </w:rPr>
        <w:footnoteReference w:id="48"/>
      </w:r>
      <w:r>
        <w:rPr>
          <w:sz w:val="28"/>
          <w:szCs w:val="28"/>
          <w:rtl w:val="0"/>
          <w:lang w:val="en-US"/>
        </w:rPr>
        <w:t xml:space="preserve"> For Bedjaoui, this meant understanding the contradictory possibilities of international law itself. Like Nkrumah, he saw international law as a creation, and perpetuator, of colonisation. However, he argued that it could be changed by decolonisation.</w:t>
      </w:r>
      <w:r>
        <w:rPr>
          <w:sz w:val="28"/>
          <w:szCs w:val="28"/>
          <w:vertAlign w:val="superscript"/>
        </w:rPr>
        <w:footnoteReference w:id="49"/>
      </w:r>
      <w:r>
        <w:rPr>
          <w:sz w:val="28"/>
          <w:szCs w:val="28"/>
          <w:rtl w:val="0"/>
          <w:lang w:val="en-US"/>
        </w:rPr>
        <w:t xml:space="preserve"> 'On this basis', he believed it 'should be possible, firstly, </w:t>
      </w:r>
      <w:r>
        <w:rPr>
          <w:sz w:val="28"/>
          <w:szCs w:val="28"/>
          <w:rtl w:val="0"/>
          <w:lang w:val="en-US"/>
        </w:rPr>
        <w:t>to determine the impact of these world-wide economic demands on the future of international law</w:t>
      </w:r>
      <w:r>
        <w:rPr>
          <w:sz w:val="28"/>
          <w:szCs w:val="28"/>
          <w:rtl w:val="0"/>
          <w:lang w:val="en-US"/>
        </w:rPr>
        <w:t>'</w:t>
      </w:r>
      <w:r>
        <w:rPr>
          <w:sz w:val="28"/>
          <w:szCs w:val="28"/>
          <w:rtl w:val="0"/>
        </w:rPr>
        <w:t xml:space="preserve">, </w:t>
      </w:r>
      <w:r>
        <w:rPr>
          <w:sz w:val="28"/>
          <w:szCs w:val="28"/>
          <w:rtl w:val="0"/>
          <w:lang w:val="en-US"/>
        </w:rPr>
        <w:t>and '</w:t>
      </w:r>
      <w:r>
        <w:rPr>
          <w:sz w:val="28"/>
          <w:szCs w:val="28"/>
          <w:rtl w:val="0"/>
          <w:lang w:val="en-US"/>
        </w:rPr>
        <w:t xml:space="preserve">to draw up a </w:t>
      </w:r>
      <w:r>
        <w:rPr>
          <w:sz w:val="28"/>
          <w:szCs w:val="28"/>
          <w:rtl w:val="1"/>
        </w:rPr>
        <w:t>‘</w:t>
      </w:r>
      <w:r>
        <w:rPr>
          <w:sz w:val="28"/>
          <w:szCs w:val="28"/>
          <w:rtl w:val="0"/>
        </w:rPr>
        <w:t>legal strategy</w:t>
      </w:r>
      <w:r>
        <w:rPr>
          <w:sz w:val="28"/>
          <w:szCs w:val="28"/>
          <w:rtl w:val="1"/>
        </w:rPr>
        <w:t xml:space="preserve">’ </w:t>
      </w:r>
      <w:r>
        <w:rPr>
          <w:sz w:val="28"/>
          <w:szCs w:val="28"/>
          <w:rtl w:val="0"/>
          <w:lang w:val="en-US"/>
        </w:rPr>
        <w:t>for seeking ways and means by which international law could in turn contribute to the establishment of this new international economic order.</w:t>
      </w:r>
      <w:r>
        <w:rPr>
          <w:sz w:val="28"/>
          <w:szCs w:val="28"/>
          <w:rtl w:val="1"/>
        </w:rPr>
        <w:t>’</w:t>
      </w:r>
      <w:r>
        <w:rPr>
          <w:sz w:val="28"/>
          <w:szCs w:val="28"/>
          <w:vertAlign w:val="superscript"/>
        </w:rPr>
        <w:footnoteReference w:id="50"/>
      </w:r>
      <w:r>
        <w:rPr>
          <w:sz w:val="28"/>
          <w:szCs w:val="28"/>
          <w:rtl w:val="0"/>
          <w:lang w:val="en-US"/>
        </w:rPr>
        <w:t xml:space="preserve"> In doing so, Bedjaoui relied on an eclectic mix of the intellectuals discussed in this article. He drew on Prebisch's theory of the declining terms of trade, a Nkrumahist theory of neo-colonialism, and Amin's work on dependency and underdevelopment.</w:t>
      </w:r>
      <w:r>
        <w:rPr>
          <w:sz w:val="28"/>
          <w:szCs w:val="28"/>
          <w:vertAlign w:val="superscript"/>
        </w:rPr>
        <w:footnoteReference w:id="51"/>
      </w:r>
      <w:r>
        <w:rPr>
          <w:sz w:val="28"/>
          <w:szCs w:val="28"/>
          <w:rtl w:val="0"/>
          <w:lang w:val="en-US"/>
        </w:rPr>
        <w:t xml:space="preserve"> </w:t>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The result does not always seem consistent. At one time Bedjaoui sides with Prebisch by concluding that a New International Economic Order would be beneficial to both the core and periphery.</w:t>
      </w:r>
      <w:r>
        <w:rPr>
          <w:sz w:val="28"/>
          <w:szCs w:val="28"/>
          <w:vertAlign w:val="superscript"/>
        </w:rPr>
        <w:footnoteReference w:id="52"/>
      </w:r>
      <w:r>
        <w:rPr>
          <w:sz w:val="28"/>
          <w:szCs w:val="28"/>
          <w:rtl w:val="0"/>
          <w:lang w:val="en-US"/>
        </w:rPr>
        <w:t xml:space="preserve"> At another he sides with Nkrumah, arguing that a NIEO would necessarily damage the interests of the core.</w:t>
      </w:r>
      <w:r>
        <w:rPr>
          <w:sz w:val="28"/>
          <w:szCs w:val="28"/>
          <w:vertAlign w:val="superscript"/>
        </w:rPr>
        <w:footnoteReference w:id="53"/>
      </w:r>
      <w:r>
        <w:rPr>
          <w:sz w:val="28"/>
          <w:szCs w:val="28"/>
          <w:rtl w:val="0"/>
          <w:lang w:val="en-US"/>
        </w:rPr>
        <w:t xml:space="preserve"> These conflicting conclusions reflect the long view of Bedjaoui's strategic imaginary, which included three phases '</w:t>
      </w:r>
      <w:r>
        <w:rPr>
          <w:sz w:val="28"/>
          <w:szCs w:val="28"/>
          <w:rtl w:val="0"/>
          <w:lang w:val="en-US"/>
        </w:rPr>
        <w:t>in the contradictory relationship which has grown up between imperialism and the new order</w:t>
      </w:r>
      <w:r>
        <w:rPr>
          <w:sz w:val="28"/>
          <w:szCs w:val="28"/>
          <w:rtl w:val="0"/>
          <w:lang w:val="en-US"/>
        </w:rPr>
        <w:t>':</w:t>
      </w:r>
    </w:p>
    <w:p>
      <w:pPr>
        <w:pStyle w:val="Body"/>
        <w:spacing w:line="360" w:lineRule="auto"/>
        <w:ind w:right="567"/>
        <w:rPr>
          <w:sz w:val="28"/>
          <w:szCs w:val="28"/>
        </w:rPr>
      </w:pPr>
    </w:p>
    <w:p>
      <w:pPr>
        <w:pStyle w:val="Body"/>
        <w:spacing w:line="360" w:lineRule="auto"/>
        <w:ind w:left="624" w:right="1134" w:firstLine="0"/>
        <w:rPr>
          <w:sz w:val="28"/>
          <w:szCs w:val="28"/>
        </w:rPr>
      </w:pPr>
      <w:r>
        <w:rPr>
          <w:sz w:val="28"/>
          <w:szCs w:val="28"/>
          <w:rtl w:val="0"/>
          <w:lang w:val="en-US"/>
        </w:rPr>
        <w:t>'</w:t>
      </w:r>
      <w:r>
        <w:rPr>
          <w:sz w:val="28"/>
          <w:szCs w:val="28"/>
          <w:rtl w:val="0"/>
          <w:lang w:val="en-US"/>
        </w:rPr>
        <w:t xml:space="preserve">In the first phase, imperialism is still strong enough to wage war against the still hesitant idea of establishing a new international order. In the second phase, imperialism comes to terms with the new order when it realizes either that disorder is too prejudicial to its own interests or that it may </w:t>
      </w:r>
      <w:r>
        <w:rPr>
          <w:sz w:val="28"/>
          <w:szCs w:val="28"/>
          <w:rtl w:val="1"/>
        </w:rPr>
        <w:t>‘</w:t>
      </w:r>
      <w:r>
        <w:rPr>
          <w:sz w:val="28"/>
          <w:szCs w:val="28"/>
          <w:rtl w:val="0"/>
          <w:lang w:val="en-US"/>
        </w:rPr>
        <w:t>co-opt</w:t>
      </w:r>
      <w:r>
        <w:rPr>
          <w:sz w:val="28"/>
          <w:szCs w:val="28"/>
          <w:rtl w:val="1"/>
        </w:rPr>
        <w:t xml:space="preserve">’ </w:t>
      </w:r>
      <w:r>
        <w:rPr>
          <w:sz w:val="28"/>
          <w:szCs w:val="28"/>
          <w:rtl w:val="0"/>
          <w:lang w:val="en-US"/>
        </w:rPr>
        <w:t>the new order and exploit it to its own advantage. In the third stage, imperialism loses out to the victorious new order, and a new structural revolution triumphs over the old structures.</w:t>
      </w:r>
      <w:r>
        <w:rPr>
          <w:sz w:val="28"/>
          <w:szCs w:val="28"/>
          <w:rtl w:val="0"/>
          <w:lang w:val="en-US"/>
        </w:rPr>
        <w:t>'</w:t>
      </w:r>
      <w:r>
        <w:rPr>
          <w:sz w:val="28"/>
          <w:szCs w:val="28"/>
          <w:vertAlign w:val="superscript"/>
        </w:rPr>
        <w:footnoteReference w:id="54"/>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By the 'second stage', a co-opted NIEO would be in in the interests of the core. By the 'third stage' the core and periphery would not longer exist. Until then, Bedjaoui imagined the G77 as 'a trade union of the poor' struggling against the contradictions of the first phase.</w:t>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The immediate task, he argued, lay in enshrining the principle of states' 'permanent rights over their natural resources'.</w:t>
      </w:r>
      <w:r>
        <w:rPr>
          <w:sz w:val="28"/>
          <w:szCs w:val="28"/>
          <w:vertAlign w:val="superscript"/>
        </w:rPr>
        <w:footnoteReference w:id="55"/>
      </w:r>
      <w:r>
        <w:rPr>
          <w:sz w:val="28"/>
          <w:szCs w:val="28"/>
          <w:rtl w:val="0"/>
          <w:lang w:val="en-US"/>
        </w:rPr>
        <w:t xml:space="preserve"> This was essential for tackling the core problem of neo-colonialism, the fact that postcolonial states had gained political but not economic sovereignty.</w:t>
      </w:r>
      <w:r>
        <w:rPr>
          <w:sz w:val="28"/>
          <w:szCs w:val="28"/>
          <w:vertAlign w:val="superscript"/>
        </w:rPr>
        <w:footnoteReference w:id="56"/>
      </w:r>
      <w:r>
        <w:rPr>
          <w:sz w:val="28"/>
          <w:szCs w:val="28"/>
          <w:rtl w:val="0"/>
          <w:lang w:val="en-US"/>
        </w:rPr>
        <w:t xml:space="preserve"> It also reflected the new balance of forces in the 1970s. By quadrupling the price of oil, OPEC implemented its right to permanent sovereignty of its natural resources in practice. </w:t>
      </w:r>
      <w:r>
        <w:rPr>
          <w:sz w:val="28"/>
          <w:szCs w:val="28"/>
          <w:rtl w:val="0"/>
          <w:lang w:val="en-US"/>
        </w:rPr>
        <w:t xml:space="preserve">In doing so, </w:t>
      </w:r>
      <w:r>
        <w:rPr>
          <w:sz w:val="28"/>
          <w:szCs w:val="28"/>
          <w:rtl w:val="0"/>
          <w:lang w:val="en-US"/>
        </w:rPr>
        <w:t>OPEC elites</w:t>
      </w:r>
      <w:r>
        <w:rPr>
          <w:sz w:val="28"/>
          <w:szCs w:val="28"/>
          <w:rtl w:val="0"/>
          <w:lang w:val="en-US"/>
        </w:rPr>
        <w:t xml:space="preserve"> acted in accordance with Nkrumah's vision, whereby the solidarity of postcolonial states </w:t>
      </w:r>
      <w:r>
        <w:rPr>
          <w:sz w:val="28"/>
          <w:szCs w:val="28"/>
          <w:rtl w:val="0"/>
          <w:lang w:val="en-US"/>
        </w:rPr>
        <w:t xml:space="preserve">could challenge global monopolies, and </w:t>
      </w:r>
      <w:r>
        <w:rPr>
          <w:sz w:val="28"/>
          <w:szCs w:val="28"/>
          <w:rtl w:val="0"/>
          <w:lang w:val="en-US"/>
        </w:rPr>
        <w:t>heighten contradictions within the imperial core.</w:t>
      </w:r>
      <w:r>
        <w:rPr>
          <w:sz w:val="28"/>
          <w:szCs w:val="28"/>
          <w:rtl w:val="0"/>
          <w:lang w:val="en-US"/>
        </w:rPr>
        <w:t xml:space="preserve"> Under Algerian leadership, the NAM leveraged OPEC's new source of power </w:t>
      </w:r>
      <w:r>
        <w:rPr>
          <w:sz w:val="28"/>
          <w:szCs w:val="28"/>
          <w:rtl w:val="0"/>
          <w:lang w:val="en-US"/>
        </w:rPr>
        <w:t xml:space="preserve">–– </w:t>
      </w:r>
      <w:r>
        <w:rPr>
          <w:sz w:val="28"/>
          <w:szCs w:val="28"/>
          <w:rtl w:val="0"/>
          <w:lang w:val="en-US"/>
        </w:rPr>
        <w:t xml:space="preserve">its control of strategic pools of global finance </w:t>
      </w:r>
      <w:r>
        <w:rPr>
          <w:sz w:val="28"/>
          <w:szCs w:val="28"/>
          <w:rtl w:val="0"/>
          <w:lang w:val="en-US"/>
        </w:rPr>
        <w:t xml:space="preserve">–– </w:t>
      </w:r>
      <w:r>
        <w:rPr>
          <w:sz w:val="28"/>
          <w:szCs w:val="28"/>
          <w:rtl w:val="0"/>
          <w:lang w:val="en-US"/>
        </w:rPr>
        <w:t>to call for the Sixth Special Session.</w:t>
      </w:r>
      <w:r>
        <w:rPr>
          <w:sz w:val="28"/>
          <w:szCs w:val="28"/>
          <w:vertAlign w:val="superscript"/>
        </w:rPr>
        <w:footnoteReference w:id="57"/>
      </w:r>
      <w:r>
        <w:rPr>
          <w:sz w:val="28"/>
          <w:szCs w:val="28"/>
          <w:rtl w:val="0"/>
          <w:lang w:val="en-US"/>
        </w:rPr>
        <w:t xml:space="preserve"> There, the G77 sought to legitimise OPEC's actions via the global consensus of the UN General Assembly. This tactic of building global consensus reflected the Prebischian belief that NIEO-style reforms would be beneficial to all. Thus, the NIEO's two strategic imaginaries were synthesised in practice, just as they were in theory. </w:t>
      </w:r>
    </w:p>
    <w:p>
      <w:pPr>
        <w:pStyle w:val="Body"/>
        <w:spacing w:line="360" w:lineRule="auto"/>
        <w:ind w:right="567"/>
        <w:rPr>
          <w:sz w:val="28"/>
          <w:szCs w:val="28"/>
        </w:rPr>
      </w:pPr>
    </w:p>
    <w:p>
      <w:pPr>
        <w:pStyle w:val="Body"/>
        <w:spacing w:line="360" w:lineRule="auto"/>
        <w:ind w:right="567"/>
        <w:rPr>
          <w:sz w:val="28"/>
          <w:szCs w:val="28"/>
        </w:rPr>
      </w:pPr>
      <w:r>
        <w:rPr>
          <w:sz w:val="28"/>
          <w:szCs w:val="28"/>
          <w:rtl w:val="0"/>
          <w:lang w:val="en-US"/>
        </w:rPr>
        <w:t xml:space="preserve">This contradictory synthesis was appreciated in Bedjaoui's critical support of the NIEO project. He viewed the project's legal strategy as a success because it had </w:t>
      </w:r>
      <w:r>
        <w:rPr>
          <w:sz w:val="28"/>
          <w:szCs w:val="28"/>
          <w:rtl w:val="0"/>
          <w:lang w:val="en-US"/>
        </w:rPr>
        <w:t xml:space="preserve">–– </w:t>
      </w:r>
      <w:r>
        <w:rPr>
          <w:sz w:val="28"/>
          <w:szCs w:val="28"/>
          <w:rtl w:val="0"/>
          <w:lang w:val="en-US"/>
        </w:rPr>
        <w:t xml:space="preserve">for the first time </w:t>
      </w:r>
      <w:r>
        <w:rPr>
          <w:sz w:val="28"/>
          <w:szCs w:val="28"/>
          <w:rtl w:val="0"/>
          <w:lang w:val="en-US"/>
        </w:rPr>
        <w:t xml:space="preserve">–– </w:t>
      </w:r>
      <w:r>
        <w:rPr>
          <w:sz w:val="28"/>
          <w:szCs w:val="28"/>
          <w:rtl w:val="0"/>
          <w:lang w:val="en-US"/>
        </w:rPr>
        <w:t>created a foundational contradiction within international law. The founding documents of the Sixth Special Session, passed by a global majority, meant that the 'right' of international law no longer correspond to the 'might' of the global minority.</w:t>
      </w:r>
      <w:r>
        <w:rPr>
          <w:sz w:val="28"/>
          <w:szCs w:val="28"/>
          <w:vertAlign w:val="superscript"/>
        </w:rPr>
        <w:footnoteReference w:id="58"/>
      </w:r>
      <w:r>
        <w:rPr>
          <w:sz w:val="28"/>
          <w:szCs w:val="28"/>
          <w:rtl w:val="0"/>
          <w:lang w:val="en-US"/>
        </w:rPr>
        <w:t xml:space="preserve"> Still, Bedjaoui was critical of how the G77 came to side with the more Prebischian goal of building global consensus. To show this, he compared the declarations of the Sixth Special Session to the Charter of Economic Rights and Duties of States. The founding documents of the NIEO declared the principle of permanent sovereignty over natural resources without any qualification. Only </w:t>
      </w:r>
      <w:r>
        <w:rPr>
          <w:b w:val="1"/>
          <w:bCs w:val="1"/>
          <w:sz w:val="28"/>
          <w:szCs w:val="28"/>
          <w:rtl w:val="0"/>
          <w:lang w:val="en-US"/>
        </w:rPr>
        <w:t>one year later</w:t>
      </w:r>
      <w:r>
        <w:rPr>
          <w:sz w:val="28"/>
          <w:szCs w:val="28"/>
          <w:rtl w:val="0"/>
          <w:lang w:val="en-US"/>
        </w:rPr>
        <w:t>, in an attempt at reaching consensus, the G77 made key concessions. For Bedjaoui, this compromise was a mistake. The imperialists continued to deny the G77 a consensus position, but the G77 had now qualified the principle of permanent sovereignty, conceding that states might have to pay compensation. In reflecting on this decision making, Bedjaoui claimed that all faith in global consensus building was over.</w:t>
      </w:r>
      <w:r>
        <w:rPr>
          <w:sz w:val="28"/>
          <w:szCs w:val="28"/>
          <w:vertAlign w:val="superscript"/>
        </w:rPr>
        <w:footnoteReference w:id="59"/>
      </w:r>
      <w:r>
        <w:rPr>
          <w:sz w:val="28"/>
          <w:szCs w:val="28"/>
          <w:rtl w:val="0"/>
          <w:lang w:val="en-US"/>
        </w:rPr>
        <w:t xml:space="preserve"> </w:t>
      </w:r>
    </w:p>
    <w:p>
      <w:pPr>
        <w:pStyle w:val="Body"/>
        <w:spacing w:line="360" w:lineRule="auto"/>
        <w:ind w:right="567"/>
        <w:rPr>
          <w:sz w:val="28"/>
          <w:szCs w:val="28"/>
        </w:rPr>
      </w:pPr>
    </w:p>
    <w:p>
      <w:pPr>
        <w:pStyle w:val="Body"/>
        <w:spacing w:line="360" w:lineRule="auto"/>
        <w:ind w:right="567"/>
        <w:rPr>
          <w:b w:val="0"/>
          <w:bCs w:val="0"/>
          <w:sz w:val="28"/>
          <w:szCs w:val="28"/>
        </w:rPr>
      </w:pPr>
      <w:r>
        <w:rPr>
          <w:b w:val="1"/>
          <w:bCs w:val="1"/>
          <w:sz w:val="28"/>
          <w:szCs w:val="28"/>
          <w:rtl w:val="0"/>
          <w:lang w:val="en-US"/>
        </w:rPr>
        <w:t>The Contradictory Synthesis Today: The Strategic Imaginary of Yanis Varoufakis</w:t>
      </w:r>
    </w:p>
    <w:p>
      <w:pPr>
        <w:pStyle w:val="Body"/>
        <w:spacing w:line="360" w:lineRule="auto"/>
        <w:ind w:right="567"/>
        <w:rPr>
          <w:b w:val="1"/>
          <w:bCs w:val="1"/>
          <w:sz w:val="28"/>
          <w:szCs w:val="28"/>
        </w:rPr>
      </w:pPr>
    </w:p>
    <w:p>
      <w:pPr>
        <w:pStyle w:val="Body"/>
        <w:spacing w:line="360" w:lineRule="auto"/>
        <w:ind w:right="567"/>
        <w:rPr>
          <w:sz w:val="28"/>
          <w:szCs w:val="28"/>
        </w:rPr>
      </w:pPr>
    </w:p>
    <w:p>
      <w:pPr>
        <w:pStyle w:val="Body"/>
        <w:spacing w:line="360" w:lineRule="auto"/>
        <w:ind w:right="567"/>
        <w:rPr>
          <w:i w:val="1"/>
          <w:iCs w:val="1"/>
          <w:sz w:val="28"/>
          <w:szCs w:val="28"/>
        </w:rPr>
      </w:pPr>
    </w:p>
    <w:p>
      <w:pPr>
        <w:pStyle w:val="Body"/>
        <w:spacing w:line="360" w:lineRule="auto"/>
        <w:ind w:right="567"/>
        <w:rPr>
          <w:i w:val="1"/>
          <w:iCs w:val="1"/>
          <w:sz w:val="28"/>
          <w:szCs w:val="28"/>
        </w:rPr>
      </w:pPr>
    </w:p>
    <w:p>
      <w:pPr>
        <w:pStyle w:val="Body"/>
        <w:spacing w:line="360" w:lineRule="auto"/>
        <w:ind w:right="567"/>
        <w:rPr>
          <w:i w:val="1"/>
          <w:iCs w:val="1"/>
          <w:sz w:val="28"/>
          <w:szCs w:val="28"/>
        </w:rPr>
      </w:pPr>
    </w:p>
    <w:p>
      <w:pPr>
        <w:pStyle w:val="Body"/>
        <w:spacing w:line="360" w:lineRule="auto"/>
        <w:ind w:right="567"/>
        <w:rPr>
          <w:sz w:val="28"/>
          <w:szCs w:val="28"/>
        </w:rPr>
      </w:pPr>
    </w:p>
    <w:p>
      <w:pPr>
        <w:pStyle w:val="Body"/>
        <w:spacing w:line="360" w:lineRule="auto"/>
        <w:ind w:right="567"/>
        <w:rPr>
          <w:sz w:val="28"/>
          <w:szCs w:val="28"/>
        </w:rPr>
      </w:pPr>
    </w:p>
    <w:p>
      <w:pPr>
        <w:pStyle w:val="Body"/>
        <w:spacing w:line="360" w:lineRule="auto"/>
        <w:ind w:right="567"/>
        <w:rPr>
          <w:sz w:val="28"/>
          <w:szCs w:val="28"/>
        </w:rPr>
      </w:pPr>
    </w:p>
    <w:p>
      <w:pPr>
        <w:pStyle w:val="Body"/>
        <w:spacing w:line="360" w:lineRule="auto"/>
        <w:ind w:right="567"/>
        <w:rPr>
          <w:sz w:val="28"/>
          <w:szCs w:val="28"/>
        </w:rPr>
      </w:pPr>
    </w:p>
    <w:p>
      <w:pPr>
        <w:pStyle w:val="Body"/>
        <w:spacing w:line="360" w:lineRule="auto"/>
        <w:ind w:right="567"/>
      </w:pPr>
      <w:r>
        <w:rPr>
          <w:sz w:val="24"/>
          <w:szCs w:val="24"/>
        </w:rPr>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Neue Ligh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footnotes.xml><?xml version="1.0" encoding="utf-8"?>
<w:footnotes xmlns:w="http://schemas.openxmlformats.org/wordprocessingml/2006/main" xmlns:r="http://schemas.openxmlformats.org/officeDocument/2006/relationships" xmlns:w14="http://schemas.microsoft.com/office/word/2010/wordml" xmlns:wp="http://schemas.openxmlformats.org/drawingml/2006/wordprocessingDrawing" xmlns:m="http://schemas.openxmlformats.org/officeDocument/2006/math">
  <w:footnote w:type="separator" w:id="-1">
    <w:p>
      <w:r>
        <w:separator/>
      </w:r>
    </w:p>
  </w:footnote>
  <w:footnote w:type="continuationSeparator" w:id="0">
    <w:p>
      <w:r>
        <w:continuationSeparator/>
      </w:r>
    </w:p>
  </w:footnote>
  <w:footnote w:type="continuationNotice" w:id="-2">
    <w:p>
      <w:r>
        <w:t/>
      </w:r>
    </w:p>
  </w:footnote>
  <w:footnote w:id="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The conception of the NIEO as a common front was made by: </w:t>
      </w:r>
    </w:p>
    <w:p>
      <w:pPr>
        <w:pStyle w:val="Footnote"/>
        <w:bidi w:val="0"/>
      </w:pPr>
    </w:p>
    <w:p>
      <w:pPr>
        <w:pStyle w:val="Footnote"/>
        <w:bidi w:val="0"/>
      </w:pPr>
      <w:r>
        <w:rPr>
          <w:rFonts w:cs="Arial Unicode MS" w:eastAsia="Arial Unicode MS"/>
          <w:rtl w:val="0"/>
          <w:lang w:val="en-US"/>
        </w:rPr>
        <w:t xml:space="preserve">Samir Amin, "After the New International Economic Order: The Future of International Economic Relations," </w:t>
      </w:r>
      <w:r>
        <w:rPr>
          <w:rFonts w:cs="Arial Unicode MS" w:eastAsia="Arial Unicode MS"/>
          <w:i w:val="1"/>
          <w:iCs w:val="1"/>
          <w:rtl w:val="0"/>
          <w:lang w:val="en-US"/>
        </w:rPr>
        <w:t xml:space="preserve">Journal of Contemporary Asia </w:t>
      </w:r>
      <w:r>
        <w:rPr>
          <w:rFonts w:cs="Arial Unicode MS" w:eastAsia="Arial Unicode MS"/>
          <w:rtl w:val="0"/>
        </w:rPr>
        <w:t xml:space="preserve">12, no. 4 (1982), </w:t>
      </w:r>
      <w:r>
        <w:rPr>
          <w:rStyle w:val="Hyperlink.0"/>
        </w:rPr>
        <w:fldChar w:fldCharType="begin" w:fldLock="0"/>
      </w:r>
      <w:r>
        <w:rPr>
          <w:rStyle w:val="Hyperlink.0"/>
        </w:rPr>
        <w:instrText xml:space="preserve"> HYPERLINK "https://doi.org/10.1080/00472338285390361:"</w:instrText>
      </w:r>
      <w:r>
        <w:rPr>
          <w:rStyle w:val="Hyperlink.0"/>
        </w:rPr>
        <w:fldChar w:fldCharType="separate" w:fldLock="0"/>
      </w:r>
      <w:r>
        <w:rPr>
          <w:rStyle w:val="Hyperlink.0"/>
          <w:rFonts w:cs="Arial Unicode MS" w:eastAsia="Arial Unicode MS"/>
          <w:rtl w:val="0"/>
          <w:lang w:val="en-US"/>
        </w:rPr>
        <w:t>https://doi.org/10.1080/00472338285390361</w:t>
      </w:r>
      <w:r>
        <w:rPr/>
        <w:fldChar w:fldCharType="end" w:fldLock="0"/>
      </w:r>
      <w:r>
        <w:rPr>
          <w:rFonts w:cs="Arial Unicode MS" w:eastAsia="Arial Unicode MS"/>
          <w:rtl w:val="0"/>
          <w:lang w:val="en-US"/>
        </w:rPr>
        <w:t xml:space="preserve">. </w:t>
      </w:r>
    </w:p>
  </w:footnote>
  <w:footnote w:id="2">
    <w:p>
      <w:pPr>
        <w:pStyle w:val="Footnote"/>
        <w:bidi w:val="0"/>
      </w:pPr>
      <w:r>
        <w:rPr>
          <w:vertAlign w:val="superscript"/>
        </w:rPr>
        <w:footnoteRef/>
      </w:r>
      <w:r>
        <w:rPr>
          <w:rFonts w:cs="Arial Unicode MS" w:eastAsia="Arial Unicode MS"/>
          <w:rtl w:val="0"/>
        </w:rPr>
        <w:t xml:space="preserve"> </w:t>
      </w:r>
    </w:p>
  </w:footnote>
  <w:footnote w:id="3">
    <w:p>
      <w:pPr>
        <w:pStyle w:val="Footnote"/>
        <w:bidi w:val="0"/>
      </w:pPr>
      <w:r>
        <w:rPr>
          <w:vertAlign w:val="superscript"/>
        </w:rPr>
        <w:footnoteRef/>
      </w:r>
      <w:r>
        <w:rPr>
          <w:rFonts w:cs="Arial Unicode MS" w:eastAsia="Arial Unicode MS"/>
          <w:rtl w:val="0"/>
        </w:rPr>
        <w:t xml:space="preserve"> </w:t>
      </w:r>
    </w:p>
  </w:footnote>
  <w:footnote w:id="4">
    <w:p>
      <w:pPr>
        <w:pStyle w:val="Footnote"/>
        <w:bidi w:val="0"/>
      </w:pPr>
      <w:r>
        <w:rPr>
          <w:vertAlign w:val="superscript"/>
        </w:rPr>
        <w:footnoteRef/>
      </w:r>
      <w:r>
        <w:rPr>
          <w:rFonts w:cs="Arial Unicode MS" w:eastAsia="Arial Unicode MS"/>
          <w:rtl w:val="0"/>
        </w:rPr>
        <w:t xml:space="preserve"> </w:t>
      </w:r>
    </w:p>
  </w:footnote>
  <w:footnote w:id="5">
    <w:p>
      <w:pPr>
        <w:pStyle w:val="Footnote"/>
        <w:bidi w:val="0"/>
      </w:pPr>
      <w:r>
        <w:rPr>
          <w:vertAlign w:val="superscript"/>
        </w:rPr>
        <w:footnoteRef/>
      </w:r>
      <w:r>
        <w:rPr>
          <w:rFonts w:cs="Arial Unicode MS" w:eastAsia="Arial Unicode MS"/>
          <w:rtl w:val="0"/>
        </w:rPr>
        <w:t xml:space="preserve"> </w:t>
      </w:r>
    </w:p>
  </w:footnote>
  <w:footnote w:id="6">
    <w:p>
      <w:pPr>
        <w:pStyle w:val="Footnote"/>
        <w:bidi w:val="0"/>
      </w:pPr>
      <w:r>
        <w:rPr>
          <w:vertAlign w:val="superscript"/>
        </w:rPr>
        <w:footnoteRef/>
      </w:r>
      <w:r>
        <w:rPr>
          <w:rFonts w:cs="Arial Unicode MS" w:eastAsia="Arial Unicode MS"/>
          <w:rtl w:val="0"/>
        </w:rPr>
        <w:t xml:space="preserve"> </w:t>
      </w:r>
    </w:p>
  </w:footnote>
  <w:footnote w:id="7">
    <w:p>
      <w:pPr>
        <w:pStyle w:val="Footnote"/>
        <w:bidi w:val="0"/>
      </w:pPr>
      <w:r>
        <w:rPr>
          <w:vertAlign w:val="superscript"/>
        </w:rPr>
        <w:footnoteRef/>
      </w:r>
      <w:r>
        <w:rPr>
          <w:rFonts w:cs="Arial Unicode MS" w:eastAsia="Arial Unicode MS"/>
          <w:rtl w:val="0"/>
          <w:lang w:val="en-US"/>
        </w:rPr>
        <w:t xml:space="preserve"> Samir Amin, "After the New International Economic Order: The Future of International Economic Relations," </w:t>
      </w:r>
      <w:r>
        <w:rPr>
          <w:rFonts w:cs="Arial Unicode MS" w:eastAsia="Arial Unicode MS"/>
          <w:i w:val="1"/>
          <w:iCs w:val="1"/>
          <w:rtl w:val="0"/>
          <w:lang w:val="en-US"/>
        </w:rPr>
        <w:t xml:space="preserve">Journal of Contemporary Asia </w:t>
      </w:r>
      <w:r>
        <w:rPr>
          <w:rFonts w:cs="Arial Unicode MS" w:eastAsia="Arial Unicode MS"/>
          <w:rtl w:val="0"/>
        </w:rPr>
        <w:t xml:space="preserve">12, no. 4 (1982), </w:t>
      </w:r>
      <w:r>
        <w:rPr>
          <w:rStyle w:val="Hyperlink.0"/>
        </w:rPr>
        <w:fldChar w:fldCharType="begin" w:fldLock="0"/>
      </w:r>
      <w:r>
        <w:rPr>
          <w:rStyle w:val="Hyperlink.0"/>
        </w:rPr>
        <w:instrText xml:space="preserve"> HYPERLINK "https://doi.org/10.1080/00472338285390361:"</w:instrText>
      </w:r>
      <w:r>
        <w:rPr>
          <w:rStyle w:val="Hyperlink.0"/>
        </w:rPr>
        <w:fldChar w:fldCharType="separate" w:fldLock="0"/>
      </w:r>
      <w:r>
        <w:rPr>
          <w:rStyle w:val="Hyperlink.0"/>
          <w:rFonts w:cs="Arial Unicode MS" w:eastAsia="Arial Unicode MS"/>
          <w:rtl w:val="0"/>
          <w:lang w:val="en-US"/>
        </w:rPr>
        <w:t>https://doi.org/10.1080/0047233828539036</w:t>
      </w:r>
      <w:r>
        <w:rPr>
          <w:rStyle w:val="Hyperlink.0"/>
          <w:rFonts w:cs="Arial Unicode MS" w:eastAsia="Arial Unicode MS"/>
          <w:rtl w:val="0"/>
          <w:lang w:val="en-US"/>
        </w:rPr>
        <w:t>1:</w:t>
      </w:r>
      <w:r>
        <w:rPr/>
        <w:fldChar w:fldCharType="end" w:fldLock="0"/>
      </w:r>
      <w:r>
        <w:rPr>
          <w:rFonts w:cs="Arial Unicode MS" w:eastAsia="Arial Unicode MS"/>
          <w:rtl w:val="0"/>
          <w:lang w:val="en-US"/>
        </w:rPr>
        <w:t xml:space="preserve"> p. 436.</w:t>
      </w:r>
    </w:p>
  </w:footnote>
  <w:footnote w:id="8">
    <w:p>
      <w:pPr>
        <w:pStyle w:val="Footnote"/>
        <w:bidi w:val="0"/>
        <w:rPr>
          <w:sz w:val="20"/>
          <w:szCs w:val="20"/>
        </w:rPr>
      </w:pPr>
      <w:r>
        <w:rPr>
          <w:vertAlign w:val="superscript"/>
        </w:rPr>
        <w:footnoteRef/>
      </w:r>
      <w:r>
        <w:rPr>
          <w:rFonts w:cs="Arial Unicode MS" w:eastAsia="Arial Unicode MS"/>
          <w:rtl w:val="0"/>
        </w:rPr>
        <w:t xml:space="preserve"> </w:t>
      </w:r>
      <w:r>
        <w:rPr>
          <w:rFonts w:cs="Arial Unicode MS" w:eastAsia="Arial Unicode MS"/>
          <w:sz w:val="20"/>
          <w:szCs w:val="20"/>
          <w:rtl w:val="0"/>
          <w:lang w:val="it-IT"/>
        </w:rPr>
        <w:t>Karl P.</w:t>
      </w:r>
      <w:r>
        <w:rPr>
          <w:rFonts w:cs="Arial Unicode MS" w:eastAsia="Arial Unicode MS"/>
          <w:sz w:val="20"/>
          <w:szCs w:val="20"/>
          <w:rtl w:val="0"/>
          <w:lang w:val="en-US"/>
        </w:rPr>
        <w:t xml:space="preserve"> </w:t>
      </w:r>
      <w:r>
        <w:rPr>
          <w:rFonts w:cs="Arial Unicode MS" w:eastAsia="Arial Unicode MS"/>
          <w:sz w:val="20"/>
          <w:szCs w:val="20"/>
          <w:rtl w:val="0"/>
          <w:lang w:val="fr-FR"/>
        </w:rPr>
        <w:t>Sauvant</w:t>
      </w:r>
      <w:r>
        <w:rPr>
          <w:rFonts w:cs="Arial Unicode MS" w:eastAsia="Arial Unicode MS"/>
          <w:sz w:val="20"/>
          <w:szCs w:val="20"/>
          <w:rtl w:val="0"/>
          <w:lang w:val="en-US"/>
        </w:rPr>
        <w:t>,</w:t>
      </w:r>
      <w:r>
        <w:rPr>
          <w:rFonts w:cs="Arial Unicode MS" w:eastAsia="Arial Unicode MS"/>
          <w:sz w:val="20"/>
          <w:szCs w:val="20"/>
          <w:rtl w:val="0"/>
          <w:lang w:val="en-US"/>
        </w:rPr>
        <w:t xml:space="preserve"> "The early days of the Group of 77</w:t>
      </w:r>
      <w:r>
        <w:rPr>
          <w:rFonts w:cs="Arial Unicode MS" w:eastAsia="Arial Unicode MS"/>
          <w:sz w:val="20"/>
          <w:szCs w:val="20"/>
          <w:rtl w:val="0"/>
          <w:lang w:val="en-US"/>
        </w:rPr>
        <w:t>,</w:t>
      </w:r>
      <w:r>
        <w:rPr>
          <w:rFonts w:cs="Arial Unicode MS" w:eastAsia="Arial Unicode MS"/>
          <w:sz w:val="20"/>
          <w:szCs w:val="20"/>
          <w:rtl w:val="0"/>
          <w:lang w:val="ru-RU"/>
        </w:rPr>
        <w:t xml:space="preserve">" </w:t>
      </w:r>
      <w:r>
        <w:rPr>
          <w:rFonts w:cs="Arial Unicode MS" w:eastAsia="Arial Unicode MS"/>
          <w:i w:val="1"/>
          <w:iCs w:val="1"/>
          <w:sz w:val="20"/>
          <w:szCs w:val="20"/>
          <w:rtl w:val="0"/>
          <w:lang w:val="en-US"/>
        </w:rPr>
        <w:t>UN Chronicle: The Magazine of the United Nations</w:t>
      </w:r>
      <w:r>
        <w:rPr>
          <w:rFonts w:cs="Arial Unicode MS" w:eastAsia="Arial Unicode MS"/>
          <w:sz w:val="20"/>
          <w:szCs w:val="20"/>
          <w:rtl w:val="0"/>
        </w:rPr>
        <w:t xml:space="preserve"> 51, no. 1 (2014): </w:t>
      </w:r>
      <w:r>
        <w:rPr>
          <w:rFonts w:cs="Arial Unicode MS" w:eastAsia="Arial Unicode MS"/>
          <w:sz w:val="20"/>
          <w:szCs w:val="20"/>
          <w:rtl w:val="0"/>
          <w:lang w:val="en-US"/>
        </w:rPr>
        <w:t xml:space="preserve">p. 9; Samuel Moyn, </w:t>
      </w:r>
      <w:r>
        <w:rPr>
          <w:rFonts w:cs="Arial Unicode MS" w:eastAsia="Arial Unicode MS"/>
          <w:i w:val="1"/>
          <w:iCs w:val="1"/>
          <w:sz w:val="20"/>
          <w:szCs w:val="20"/>
          <w:rtl w:val="0"/>
          <w:lang w:val="en-US"/>
        </w:rPr>
        <w:t>Not Enough: Human Rights in an Unequal World</w:t>
      </w:r>
      <w:r>
        <w:rPr>
          <w:rFonts w:cs="Arial Unicode MS" w:eastAsia="Arial Unicode MS"/>
          <w:sz w:val="20"/>
          <w:szCs w:val="20"/>
          <w:rtl w:val="0"/>
          <w:lang w:val="en-US"/>
        </w:rPr>
        <w:t>, (Belknap Press, 2019), pp. 103-104.</w:t>
      </w:r>
    </w:p>
    <w:p>
      <w:pPr>
        <w:pStyle w:val="Footnote"/>
        <w:rPr>
          <w:sz w:val="20"/>
          <w:szCs w:val="20"/>
        </w:rPr>
      </w:pPr>
    </w:p>
    <w:p>
      <w:pPr>
        <w:pStyle w:val="Footnote"/>
        <w:rPr>
          <w:sz w:val="20"/>
          <w:szCs w:val="20"/>
        </w:rPr>
      </w:pPr>
      <w:r>
        <w:rPr>
          <w:sz w:val="20"/>
          <w:szCs w:val="20"/>
          <w:rtl w:val="0"/>
          <w:lang w:val="en-US"/>
        </w:rPr>
        <w:t xml:space="preserve">Curiously, the term 'proletarian nations' had also been used in 1919 by Mussolini to describe fascist states. See: Adam Tooze, </w:t>
      </w:r>
      <w:r>
        <w:rPr>
          <w:i w:val="1"/>
          <w:iCs w:val="1"/>
          <w:sz w:val="20"/>
          <w:szCs w:val="20"/>
          <w:rtl w:val="0"/>
          <w:lang w:val="en-US"/>
        </w:rPr>
        <w:t>Deluge: The Great War, America and the Remaking of Global Order</w:t>
      </w:r>
      <w:r>
        <w:rPr>
          <w:sz w:val="20"/>
          <w:szCs w:val="20"/>
          <w:rtl w:val="0"/>
          <w:lang w:val="en-US"/>
        </w:rPr>
        <w:t xml:space="preserve"> (Penguin, 2015), p. 10:</w:t>
      </w:r>
    </w:p>
    <w:p>
      <w:pPr>
        <w:pStyle w:val="Footnote"/>
        <w:rPr>
          <w:sz w:val="20"/>
          <w:szCs w:val="2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 w:val="left" w:pos="9520"/>
        </w:tabs>
        <w:bidi w:val="0"/>
        <w:spacing w:before="0" w:line="240" w:lineRule="auto"/>
        <w:ind w:left="0" w:right="0" w:firstLine="0"/>
        <w:jc w:val="left"/>
        <w:rPr>
          <w:rtl w:val="0"/>
        </w:rPr>
      </w:pPr>
      <w:r>
        <w:rPr>
          <w:sz w:val="20"/>
          <w:szCs w:val="20"/>
          <w:rtl w:val="1"/>
        </w:rPr>
        <w:t>‘</w:t>
      </w:r>
      <w:r>
        <w:rPr>
          <w:sz w:val="20"/>
          <w:szCs w:val="20"/>
          <w:rtl w:val="0"/>
          <w:lang w:val="en-US"/>
        </w:rPr>
        <w:t>In Milan in March 1919 he launched his Fascist Party by denouncing the emerging new order as a solemn "swindle" of the rich, by which he meant Britain, France and America, 'against the proletarian nations', by which he meant Italy, to fix forever the actual conditions of world equilibrium</w:t>
      </w:r>
      <w:r>
        <w:rPr>
          <w:sz w:val="20"/>
          <w:szCs w:val="20"/>
          <w:rtl w:val="0"/>
          <w:lang w:val="en-US"/>
        </w:rPr>
        <w:t xml:space="preserve">' </w:t>
      </w:r>
      <w:r>
        <w:rPr>
          <w:sz w:val="20"/>
          <w:szCs w:val="20"/>
          <w:rtl w:val="0"/>
        </w:rPr>
        <w:t>p. 10</w:t>
      </w:r>
    </w:p>
  </w:footnote>
  <w:footnote w:id="9">
    <w:p>
      <w:pPr>
        <w:pStyle w:val="Footnote"/>
        <w:bidi w:val="0"/>
      </w:pPr>
      <w:r>
        <w:rPr>
          <w:vertAlign w:val="superscript"/>
        </w:rPr>
        <w:footnoteRef/>
      </w:r>
    </w:p>
  </w:footnote>
  <w:footnote w:id="10">
    <w:p>
      <w:pPr>
        <w:pStyle w:val="Footnote"/>
        <w:bidi w:val="0"/>
      </w:pPr>
      <w:r>
        <w:rPr>
          <w:vertAlign w:val="superscript"/>
        </w:rPr>
        <w:footnoteRef/>
      </w:r>
      <w:r>
        <w:rPr>
          <w:rFonts w:cs="Arial Unicode MS" w:eastAsia="Arial Unicode MS"/>
          <w:rtl w:val="0"/>
          <w:lang w:val="en-US"/>
        </w:rPr>
        <w:t xml:space="preserve"> For Amin, then, a NIEO could only result in 'a deepening of the international division of labour', and increased 'superexploitation'. </w:t>
      </w:r>
      <w:r>
        <w:rPr>
          <w:rFonts w:cs="Arial Unicode MS" w:eastAsia="Arial Unicode MS"/>
          <w:rtl w:val="0"/>
          <w:lang w:val="en-US"/>
        </w:rPr>
        <w:t>p. 432.</w:t>
      </w:r>
    </w:p>
  </w:footnote>
  <w:footnote w:id="11">
    <w:p>
      <w:pPr>
        <w:pStyle w:val="Footnote"/>
        <w:bidi w:val="0"/>
      </w:pPr>
      <w:r>
        <w:rPr>
          <w:vertAlign w:val="superscript"/>
        </w:rPr>
        <w:footnoteRef/>
      </w:r>
      <w:r>
        <w:rPr>
          <w:rFonts w:cs="Arial Unicode MS" w:eastAsia="Arial Unicode MS"/>
          <w:rtl w:val="0"/>
        </w:rPr>
        <w:t xml:space="preserve"> </w:t>
      </w:r>
    </w:p>
  </w:footnote>
  <w:footnote w:id="12">
    <w:p>
      <w:pPr>
        <w:pStyle w:val="Footnote"/>
        <w:bidi w:val="0"/>
      </w:pPr>
      <w:r>
        <w:rPr>
          <w:vertAlign w:val="superscript"/>
        </w:rPr>
        <w:footnoteRef/>
      </w:r>
      <w:r>
        <w:rPr>
          <w:rFonts w:cs="Arial Unicode MS" w:eastAsia="Arial Unicode MS"/>
          <w:rtl w:val="0"/>
        </w:rPr>
        <w:t xml:space="preserve"> </w:t>
      </w:r>
    </w:p>
  </w:footnote>
  <w:footnote w:id="13">
    <w:p>
      <w:pPr>
        <w:pStyle w:val="Footnote"/>
        <w:bidi w:val="0"/>
      </w:pPr>
      <w:r>
        <w:rPr>
          <w:vertAlign w:val="superscript"/>
        </w:rPr>
        <w:footnoteRef/>
      </w:r>
      <w:r>
        <w:rPr>
          <w:rFonts w:cs="Arial Unicode MS" w:eastAsia="Arial Unicode MS"/>
          <w:rtl w:val="0"/>
          <w:lang w:val="en-US"/>
        </w:rPr>
        <w:t xml:space="preserve"> </w:t>
      </w:r>
      <w:r>
        <w:rPr>
          <w:rFonts w:cs="Arial Unicode MS" w:eastAsia="Arial Unicode MS" w:hint="default"/>
          <w:rtl w:val="1"/>
        </w:rPr>
        <w:t>‘</w:t>
      </w:r>
      <w:r>
        <w:rPr>
          <w:rFonts w:cs="Arial Unicode MS" w:eastAsia="Arial Unicode MS"/>
          <w:rtl w:val="0"/>
          <w:lang w:val="en-US"/>
        </w:rPr>
        <w:t>Thus, the principal stages in the history of monopolies are the following: (1) 1860-70, the highest stage, the apex of development of free competition; monopoly is in the barely discernible, embryonic stage. (2) After the crisis of 1873, a lengthy period of development of cartels; but they are still the exception. They are not yet durable. They are still a transitory phenomenon. (3) The boom at the end of the nineteenth century and the crisis of 1900-03. Cartels become one of the foundations of the whole of economic life. Capitalism has been transformed into imperialism.</w:t>
      </w:r>
      <w:r>
        <w:rPr>
          <w:rFonts w:cs="Arial Unicode MS" w:eastAsia="Arial Unicode MS" w:hint="default"/>
          <w:rtl w:val="1"/>
        </w:rPr>
        <w:t>’</w:t>
      </w:r>
    </w:p>
    <w:p>
      <w:pPr>
        <w:pStyle w:val="Footnote"/>
        <w:bidi w:val="0"/>
      </w:pPr>
      <w:r>
        <w:rPr>
          <w:rFonts w:cs="Arial Unicode MS" w:eastAsia="Arial Unicode MS"/>
          <w:rtl w:val="0"/>
          <w:lang w:val="en-US"/>
        </w:rPr>
        <w:t>...</w:t>
      </w:r>
    </w:p>
    <w:p>
      <w:pPr>
        <w:pStyle w:val="Footnote"/>
        <w:bidi w:val="0"/>
      </w:pPr>
      <w:r>
        <w:rPr>
          <w:rFonts w:cs="Arial Unicode MS" w:eastAsia="Arial Unicode MS" w:hint="default"/>
          <w:rtl w:val="1"/>
        </w:rPr>
        <w:t>‘</w:t>
      </w:r>
      <w:r>
        <w:rPr>
          <w:rFonts w:cs="Arial Unicode MS" w:eastAsia="Arial Unicode MS"/>
          <w:rtl w:val="0"/>
          <w:lang w:val="en-US"/>
        </w:rPr>
        <w:t xml:space="preserve">Half a century ago, when Marx was writing Capital, free competition appeared to the overwhelming majority of economists to be a </w:t>
      </w:r>
      <w:r>
        <w:rPr>
          <w:rFonts w:cs="Arial Unicode MS" w:eastAsia="Arial Unicode MS" w:hint="default"/>
          <w:rtl w:val="1"/>
          <w:lang w:val="ar-SA" w:bidi="ar-SA"/>
        </w:rPr>
        <w:t>“</w:t>
      </w:r>
      <w:r>
        <w:rPr>
          <w:rFonts w:cs="Arial Unicode MS" w:eastAsia="Arial Unicode MS"/>
          <w:rtl w:val="0"/>
          <w:lang w:val="en-US"/>
        </w:rPr>
        <w:t>natural law</w:t>
      </w:r>
      <w:r>
        <w:rPr>
          <w:rFonts w:cs="Arial Unicode MS" w:eastAsia="Arial Unicode MS" w:hint="default"/>
          <w:rtl w:val="0"/>
        </w:rPr>
        <w:t>”</w:t>
      </w:r>
      <w:r>
        <w:rPr>
          <w:rFonts w:cs="Arial Unicode MS" w:eastAsia="Arial Unicode MS"/>
          <w:rtl w:val="0"/>
          <w:lang w:val="en-US"/>
        </w:rPr>
        <w:t xml:space="preserve">. Official science tried, by a conspiracy of silence, to kill the works of Marx, who by a theoretical and historical analysis of capitalism had proved that free competition gives rise to the concentration of production, which, in turn, at a certain stage of development, leads to monopoly. Today, monopoly has become a fact. Economists are writing mountains of books in which they describe the diverse manifestations of monopoly, and continue to declare in chorus that </w:t>
      </w:r>
      <w:r>
        <w:rPr>
          <w:rFonts w:cs="Arial Unicode MS" w:eastAsia="Arial Unicode MS" w:hint="default"/>
          <w:rtl w:val="1"/>
          <w:lang w:val="ar-SA" w:bidi="ar-SA"/>
        </w:rPr>
        <w:t>“</w:t>
      </w:r>
      <w:r>
        <w:rPr>
          <w:rFonts w:cs="Arial Unicode MS" w:eastAsia="Arial Unicode MS"/>
          <w:rtl w:val="0"/>
          <w:lang w:val="en-US"/>
        </w:rPr>
        <w:t>Marxism is refuted.</w:t>
      </w:r>
      <w:r>
        <w:rPr>
          <w:rFonts w:cs="Arial Unicode MS" w:eastAsia="Arial Unicode MS" w:hint="default"/>
          <w:rtl w:val="0"/>
        </w:rPr>
        <w:t xml:space="preserve">” </w:t>
      </w:r>
      <w:r>
        <w:rPr>
          <w:rFonts w:cs="Arial Unicode MS" w:eastAsia="Arial Unicode MS"/>
          <w:rtl w:val="0"/>
          <w:lang w:val="en-US"/>
        </w:rPr>
        <w:t>But facts are stubborn things, as the English proverb says, and they have to be reckoned with, whether we like it or not. The facts show that differences between capitalist countries, e.g., in the matter of protection or free trade, only give rise to insignificant variations in the form of monopolies or in the moment of their appearance; and that the rise of monopolies, as the result of the concentration of production, is a general and fundamental law of the present stage of development of capitalism.</w:t>
      </w:r>
      <w:r>
        <w:rPr>
          <w:rFonts w:cs="Arial Unicode MS" w:eastAsia="Arial Unicode MS" w:hint="default"/>
          <w:rtl w:val="1"/>
        </w:rPr>
        <w:t>’</w:t>
      </w:r>
    </w:p>
    <w:p>
      <w:pPr>
        <w:pStyle w:val="Footnote"/>
        <w:bidi w:val="0"/>
      </w:pPr>
      <w:r>
        <w:rPr>
          <w:rFonts w:cs="Arial Unicode MS" w:eastAsia="Arial Unicode MS"/>
          <w:rtl w:val="0"/>
          <w:lang w:val="en-US"/>
        </w:rPr>
        <w:t>...</w:t>
      </w:r>
    </w:p>
    <w:p>
      <w:pPr>
        <w:pStyle w:val="Footnote"/>
        <w:bidi w:val="0"/>
      </w:pPr>
      <w:r>
        <w:rPr>
          <w:rFonts w:cs="Arial Unicode MS" w:eastAsia="Arial Unicode MS"/>
          <w:rtl w:val="0"/>
          <w:lang w:val="en-US"/>
        </w:rPr>
        <w:t>'</w:t>
      </w:r>
      <w:r>
        <w:rPr>
          <w:rFonts w:cs="Arial Unicode MS" w:eastAsia="Arial Unicode MS" w:hint="default"/>
          <w:rtl w:val="1"/>
        </w:rPr>
        <w:t>‘</w:t>
      </w:r>
      <w:r>
        <w:rPr>
          <w:rFonts w:cs="Arial Unicode MS" w:eastAsia="Arial Unicode MS"/>
          <w:rtl w:val="0"/>
          <w:lang w:val="en-US"/>
        </w:rPr>
        <w:t>Competition becomes transformed into monopoly. The result is immense progress in the socialisation of production. In particular, the process of technical invention and improvement becomes socialised.</w:t>
      </w:r>
    </w:p>
    <w:p>
      <w:pPr>
        <w:pStyle w:val="Footnote"/>
        <w:bidi w:val="0"/>
      </w:pPr>
      <w:r>
        <w:rPr>
          <w:rFonts w:cs="Arial Unicode MS" w:eastAsia="Arial Unicode MS"/>
          <w:rtl w:val="0"/>
          <w:lang w:val="en-US"/>
        </w:rPr>
        <w:t xml:space="preserve">This is something quite different from the old free competition between manufacturers, scattered and out of touch with one another, and producing for an unknown market. Concentration has reached the point at which it is possible to make an approximate estimate of all sources of raw materials (for example, the iron ore deposits) of a country and even, as we shall see, of several countries, or of the whole world. Not only are such estimates made, but these sources are captured by gigantic monopolist associations. An approximate estimate of the capacity of markets is also made, and the associations </w:t>
      </w:r>
      <w:r>
        <w:rPr>
          <w:rFonts w:cs="Arial Unicode MS" w:eastAsia="Arial Unicode MS" w:hint="default"/>
          <w:rtl w:val="1"/>
          <w:lang w:val="ar-SA" w:bidi="ar-SA"/>
        </w:rPr>
        <w:t>“</w:t>
      </w:r>
      <w:r>
        <w:rPr>
          <w:rFonts w:cs="Arial Unicode MS" w:eastAsia="Arial Unicode MS"/>
          <w:rtl w:val="0"/>
          <w:lang w:val="it-IT"/>
        </w:rPr>
        <w:t>divide</w:t>
      </w:r>
      <w:r>
        <w:rPr>
          <w:rFonts w:cs="Arial Unicode MS" w:eastAsia="Arial Unicode MS" w:hint="default"/>
          <w:rtl w:val="0"/>
        </w:rPr>
        <w:t xml:space="preserve">” </w:t>
      </w:r>
      <w:r>
        <w:rPr>
          <w:rFonts w:cs="Arial Unicode MS" w:eastAsia="Arial Unicode MS"/>
          <w:rtl w:val="0"/>
          <w:lang w:val="en-US"/>
        </w:rPr>
        <w:t>them up amongst themselves by agreement. Skilled labour is monopolised, the best engineers are engaged; the means of transport are captured</w:t>
      </w:r>
      <w:r>
        <w:rPr>
          <w:rFonts w:cs="Arial Unicode MS" w:eastAsia="Arial Unicode MS" w:hint="default"/>
          <w:rtl w:val="0"/>
          <w:lang w:val="en-US"/>
        </w:rPr>
        <w:t>—</w:t>
      </w:r>
      <w:r>
        <w:rPr>
          <w:rFonts w:cs="Arial Unicode MS" w:eastAsia="Arial Unicode MS"/>
          <w:rtl w:val="0"/>
          <w:lang w:val="en-US"/>
        </w:rPr>
        <w:t>railways in America, shipping companies in Europe and America. Capitalism in its imperialist stage leads directly to the most comprehensive socialisation of production; it, so to speak, drags the capitalists, against their will and consciousness, into some sort of a new social order, a transitional one from complete free competition to complete socialisation.</w:t>
      </w:r>
    </w:p>
    <w:p>
      <w:pPr>
        <w:pStyle w:val="Footnote"/>
        <w:bidi w:val="0"/>
      </w:pPr>
      <w:r>
        <w:rPr>
          <w:rFonts w:cs="Arial Unicode MS" w:eastAsia="Arial Unicode MS"/>
          <w:rtl w:val="0"/>
          <w:lang w:val="en-US"/>
        </w:rPr>
        <w:t>Production becomes social, but appropriation remains private. The social means of production remain the private property of a few. The general framework of formally recognised free competition remains, and the yoke of a few monopolists on the rest of the population becomes a hundred times heavier, more burdensome and intolerable.</w:t>
      </w:r>
      <w:r>
        <w:rPr>
          <w:rFonts w:cs="Arial Unicode MS" w:eastAsia="Arial Unicode MS" w:hint="default"/>
          <w:rtl w:val="1"/>
        </w:rPr>
        <w:t xml:space="preserve">’ </w:t>
      </w:r>
    </w:p>
  </w:footnote>
  <w:footnote w:id="1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447.</w:t>
      </w:r>
    </w:p>
  </w:footnote>
  <w:footnote w:id="1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447.</w:t>
      </w:r>
    </w:p>
  </w:footnote>
  <w:footnote w:id="1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447.</w:t>
      </w:r>
    </w:p>
  </w:footnote>
  <w:footnote w:id="1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w:t>
      </w:r>
      <w:r>
        <w:rPr>
          <w:rFonts w:cs="Arial Unicode MS" w:eastAsia="Arial Unicode MS"/>
          <w:rtl w:val="0"/>
          <w:lang w:val="en-US"/>
        </w:rPr>
        <w:t>Even when, as sometimes happens, recourse is made to old antagonisms it is to exploit them in furtherance of the strategies of established emergent dependent bourgeoises aspiring to improve their position on the world system at the expense of the weak. Nor is the recourse to external powers a pure accident, for the intervention of these powers is needed to make up for the weaknesses of a strategy which cannot but be weak because it is not rooted in the profound aspirations of the popular masses but can, at best, only associate them in the pursuit of limited objectives consistent with the path chosen by the exploiting classes. Each passing day carries with it more evidence that this strategy has the effect of turning the Third World into a fair game for the rival superpowers.</w:t>
      </w:r>
      <w:r>
        <w:rPr>
          <w:rFonts w:cs="Arial Unicode MS" w:eastAsia="Arial Unicode MS"/>
          <w:rtl w:val="0"/>
          <w:lang w:val="en-US"/>
        </w:rPr>
        <w:t>' pp. 447-448.</w:t>
      </w:r>
    </w:p>
  </w:footnote>
  <w:footnote w:id="18">
    <w:p>
      <w:pPr>
        <w:pStyle w:val="Footnote"/>
        <w:bidi w:val="0"/>
      </w:pPr>
      <w:r>
        <w:rPr>
          <w:vertAlign w:val="superscript"/>
        </w:rPr>
        <w:footnoteRef/>
      </w:r>
      <w:r>
        <w:rPr>
          <w:rFonts w:cs="Arial Unicode MS" w:eastAsia="Arial Unicode MS"/>
          <w:rtl w:val="0"/>
        </w:rPr>
        <w:t xml:space="preserve"> </w:t>
      </w:r>
    </w:p>
  </w:footnote>
  <w:footnote w:id="19">
    <w:p>
      <w:pPr>
        <w:pStyle w:val="Footnote"/>
        <w:bidi w:val="0"/>
      </w:pPr>
      <w:r>
        <w:rPr>
          <w:vertAlign w:val="superscript"/>
        </w:rPr>
        <w:footnoteRef/>
      </w:r>
      <w:r>
        <w:rPr>
          <w:rFonts w:cs="Arial Unicode MS" w:eastAsia="Arial Unicode MS"/>
          <w:rtl w:val="0"/>
        </w:rPr>
        <w:t xml:space="preserve"> pp. 441-442.</w:t>
      </w:r>
    </w:p>
  </w:footnote>
  <w:footnote w:id="2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Kwame Nkrumah, </w:t>
      </w:r>
      <w:r>
        <w:rPr>
          <w:rFonts w:cs="Arial Unicode MS" w:eastAsia="Arial Unicode MS"/>
          <w:i w:val="1"/>
          <w:iCs w:val="1"/>
          <w:rtl w:val="0"/>
          <w:lang w:val="en-US"/>
        </w:rPr>
        <w:t xml:space="preserve">Neo-Colonialism: The Last Stage of Imperialism </w:t>
      </w:r>
      <w:r>
        <w:rPr>
          <w:rFonts w:cs="Arial Unicode MS" w:eastAsia="Arial Unicode MS"/>
          <w:rtl w:val="0"/>
          <w:lang w:val="en-US"/>
        </w:rPr>
        <w:t>(</w:t>
      </w:r>
      <w:r>
        <w:rPr>
          <w:rFonts w:cs="Arial Unicode MS" w:eastAsia="Arial Unicode MS"/>
          <w:rtl w:val="0"/>
          <w:lang w:val="it-IT"/>
        </w:rPr>
        <w:t>Thomas Nelson &amp; Sons, Ltd.</w:t>
      </w:r>
      <w:r>
        <w:rPr>
          <w:rFonts w:cs="Arial Unicode MS" w:eastAsia="Arial Unicode MS"/>
          <w:rtl w:val="0"/>
          <w:lang w:val="en-US"/>
        </w:rPr>
        <w:t>, 1965): [</w:t>
      </w:r>
      <w:r>
        <w:rPr>
          <w:rStyle w:val="Hyperlink.0"/>
        </w:rPr>
        <w:fldChar w:fldCharType="begin" w:fldLock="0"/>
      </w:r>
      <w:r>
        <w:rPr>
          <w:rStyle w:val="Hyperlink.0"/>
        </w:rPr>
        <w:instrText xml:space="preserve"> HYPERLINK "https://www.marxists.org/subject/africa/nkrumah/neo-colonialism/"</w:instrText>
      </w:r>
      <w:r>
        <w:rPr>
          <w:rStyle w:val="Hyperlink.0"/>
        </w:rPr>
        <w:fldChar w:fldCharType="separate" w:fldLock="0"/>
      </w:r>
      <w:r>
        <w:rPr>
          <w:rStyle w:val="Hyperlink.0"/>
          <w:rFonts w:cs="Arial Unicode MS" w:eastAsia="Arial Unicode MS"/>
          <w:rtl w:val="0"/>
          <w:lang w:val="fr-FR"/>
        </w:rPr>
        <w:t>https://www.marxists.org/subject/africa/nkrumah/neo-colonialism/</w:t>
      </w:r>
      <w:r>
        <w:rPr/>
        <w:fldChar w:fldCharType="end" w:fldLock="0"/>
      </w:r>
      <w:r>
        <w:rPr>
          <w:rFonts w:cs="Arial Unicode MS" w:eastAsia="Arial Unicode MS"/>
          <w:rtl w:val="0"/>
          <w:lang w:val="en-US"/>
        </w:rPr>
        <w:t>], p. 31.</w:t>
      </w:r>
    </w:p>
  </w:footnote>
  <w:footnote w:id="21">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In fact, the idea of neo-colonialism can be seen already in Lenin's work on imperialism:</w:t>
      </w:r>
    </w:p>
    <w:p>
      <w:pPr>
        <w:pStyle w:val="Footnote"/>
        <w:bidi w:val="0"/>
      </w:pPr>
    </w:p>
    <w:p>
      <w:pPr>
        <w:pStyle w:val="Footnote"/>
        <w:bidi w:val="0"/>
      </w:pPr>
      <w:r>
        <w:rPr>
          <w:rFonts w:cs="Arial Unicode MS" w:eastAsia="Arial Unicode MS" w:hint="default"/>
          <w:rtl w:val="1"/>
        </w:rPr>
        <w:t>‘</w:t>
      </w:r>
      <w:r>
        <w:rPr>
          <w:rFonts w:cs="Arial Unicode MS" w:eastAsia="Arial Unicode MS"/>
          <w:rtl w:val="0"/>
          <w:lang w:val="en-US"/>
        </w:rPr>
        <w:t>Since we are speaking of colonial policy in the epoch of capitalist imperialism, it must be observed that finance capital and its foreign policy, which is the struggle of the great powers for the economic and political division of the world, give rise to a number of transitional forms of state dependence. Not only are the two main groups of countries, those owning colonies, and the colonies themselves, but also the diverse forms of dependent countries which, politically, are formally independent, but in fact, are enmeshed in the net of financial and diplomatic dependence, typical of this epoch. We have already referred to one form of dependence</w:t>
      </w:r>
      <w:r>
        <w:rPr>
          <w:rFonts w:cs="Arial Unicode MS" w:eastAsia="Arial Unicode MS" w:hint="default"/>
          <w:rtl w:val="0"/>
          <w:lang w:val="en-US"/>
        </w:rPr>
        <w:t>—</w:t>
      </w:r>
      <w:r>
        <w:rPr>
          <w:rFonts w:cs="Arial Unicode MS" w:eastAsia="Arial Unicode MS"/>
          <w:rtl w:val="0"/>
          <w:lang w:val="en-US"/>
        </w:rPr>
        <w:t>the semi-colony. An example of another is provided by Argentina.</w:t>
      </w:r>
      <w:r>
        <w:rPr>
          <w:rFonts w:cs="Arial Unicode MS" w:eastAsia="Arial Unicode MS"/>
          <w:rtl w:val="0"/>
          <w:lang w:val="en-US"/>
        </w:rPr>
        <w:t>'</w:t>
      </w:r>
    </w:p>
  </w:footnote>
  <w:footnote w:id="2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35-36.</w:t>
      </w:r>
    </w:p>
  </w:footnote>
  <w:footnote w:id="2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32.</w:t>
      </w:r>
    </w:p>
  </w:footnote>
  <w:footnote w:id="2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32.</w:t>
      </w:r>
    </w:p>
  </w:footnote>
  <w:footnote w:id="2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pp. </w:t>
      </w:r>
      <w:r>
        <w:rPr>
          <w:rFonts w:cs="Arial Unicode MS" w:eastAsia="Arial Unicode MS"/>
          <w:rtl w:val="0"/>
          <w:lang w:val="it-IT"/>
        </w:rPr>
        <w:t>253-254.</w:t>
      </w:r>
    </w:p>
  </w:footnote>
  <w:footnote w:id="2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30-31.</w:t>
      </w:r>
    </w:p>
  </w:footnote>
  <w:footnote w:id="2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257.</w:t>
      </w:r>
    </w:p>
  </w:footnote>
  <w:footnote w:id="28">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w:t>
      </w:r>
      <w:r>
        <w:rPr>
          <w:rFonts w:cs="Arial Unicode MS" w:eastAsia="Arial Unicode MS"/>
          <w:rtl w:val="0"/>
          <w:lang w:val="en-US"/>
        </w:rPr>
        <w:t>When Africa becomes economically free and politically united, the monopolists will come face to face with their own working class in their own countries, and a new struggle will arise within which the liquidation and collapse of imperialism will be complete.</w:t>
      </w:r>
      <w:r>
        <w:rPr>
          <w:rFonts w:cs="Arial Unicode MS" w:eastAsia="Arial Unicode MS" w:hint="default"/>
          <w:rtl w:val="1"/>
        </w:rPr>
        <w:t xml:space="preserve">’ </w:t>
      </w:r>
      <w:r>
        <w:rPr>
          <w:rFonts w:cs="Arial Unicode MS" w:eastAsia="Arial Unicode MS"/>
          <w:rtl w:val="0"/>
        </w:rPr>
        <w:t>pp. 255-256.</w:t>
      </w:r>
    </w:p>
  </w:footnote>
  <w:footnote w:id="29">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Ibid., pp. 255-256; Lenin, </w:t>
      </w:r>
      <w:r>
        <w:rPr>
          <w:rFonts w:cs="Arial Unicode MS" w:eastAsia="Arial Unicode MS"/>
          <w:i w:val="1"/>
          <w:iCs w:val="1"/>
          <w:rtl w:val="0"/>
          <w:lang w:val="en-US"/>
        </w:rPr>
        <w:t>Imperialism</w:t>
      </w:r>
      <w:r>
        <w:rPr>
          <w:rFonts w:cs="Arial Unicode MS" w:eastAsia="Arial Unicode MS"/>
          <w:rtl w:val="0"/>
          <w:lang w:val="en-US"/>
        </w:rPr>
        <w:t xml:space="preserve">: </w:t>
      </w:r>
      <w:r>
        <w:rPr>
          <w:rFonts w:cs="Arial Unicode MS" w:eastAsia="Arial Unicode MS" w:hint="default"/>
          <w:rtl w:val="1"/>
        </w:rPr>
        <w:t>‘</w:t>
      </w:r>
      <w:r>
        <w:rPr>
          <w:rFonts w:cs="Arial Unicode MS" w:eastAsia="Arial Unicode MS"/>
          <w:rtl w:val="0"/>
          <w:lang w:val="en-US"/>
        </w:rPr>
        <w:t xml:space="preserve">Obviously, out of such enormous superprofits (since they are obtained over and above the profits which capitalists squeeze out of the workers of their </w:t>
      </w:r>
      <w:r>
        <w:rPr>
          <w:rFonts w:cs="Arial Unicode MS" w:eastAsia="Arial Unicode MS" w:hint="default"/>
          <w:rtl w:val="1"/>
          <w:lang w:val="ar-SA" w:bidi="ar-SA"/>
        </w:rPr>
        <w:t>“</w:t>
      </w:r>
      <w:r>
        <w:rPr>
          <w:rFonts w:cs="Arial Unicode MS" w:eastAsia="Arial Unicode MS"/>
          <w:rtl w:val="0"/>
        </w:rPr>
        <w:t>own</w:t>
      </w:r>
      <w:r>
        <w:rPr>
          <w:rFonts w:cs="Arial Unicode MS" w:eastAsia="Arial Unicode MS" w:hint="default"/>
          <w:rtl w:val="0"/>
        </w:rPr>
        <w:t xml:space="preserve">” </w:t>
      </w:r>
      <w:r>
        <w:rPr>
          <w:rFonts w:cs="Arial Unicode MS" w:eastAsia="Arial Unicode MS"/>
          <w:rtl w:val="0"/>
          <w:lang w:val="en-US"/>
        </w:rPr>
        <w:t xml:space="preserve">country) it is possible to bribe the labour leaders and the upper stratum of the labour aristocracy. And that is just what the capitalists of the </w:t>
      </w:r>
      <w:r>
        <w:rPr>
          <w:rFonts w:cs="Arial Unicode MS" w:eastAsia="Arial Unicode MS" w:hint="default"/>
          <w:rtl w:val="1"/>
          <w:lang w:val="ar-SA" w:bidi="ar-SA"/>
        </w:rPr>
        <w:t>“</w:t>
      </w:r>
      <w:r>
        <w:rPr>
          <w:rFonts w:cs="Arial Unicode MS" w:eastAsia="Arial Unicode MS"/>
          <w:rtl w:val="0"/>
          <w:lang w:val="en-US"/>
        </w:rPr>
        <w:t>advanced</w:t>
      </w:r>
      <w:r>
        <w:rPr>
          <w:rFonts w:cs="Arial Unicode MS" w:eastAsia="Arial Unicode MS" w:hint="default"/>
          <w:rtl w:val="0"/>
        </w:rPr>
        <w:t xml:space="preserve">” </w:t>
      </w:r>
      <w:r>
        <w:rPr>
          <w:rFonts w:cs="Arial Unicode MS" w:eastAsia="Arial Unicode MS"/>
          <w:rtl w:val="0"/>
          <w:lang w:val="en-US"/>
        </w:rPr>
        <w:t>countries are doing: they are bribing them in a thousand different ways, direct and indirect, overt and covert.</w:t>
      </w:r>
      <w:r>
        <w:rPr>
          <w:rFonts w:cs="Arial Unicode MS" w:eastAsia="Arial Unicode MS" w:hint="default"/>
          <w:rtl w:val="1"/>
        </w:rPr>
        <w:t>’</w:t>
      </w:r>
    </w:p>
  </w:footnote>
  <w:footnote w:id="30">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255-256.</w:t>
      </w:r>
    </w:p>
  </w:footnote>
  <w:footnote w:id="31">
    <w:p>
      <w:pPr>
        <w:pStyle w:val="Footnote"/>
        <w:bidi w:val="0"/>
      </w:pPr>
      <w:r>
        <w:rPr>
          <w:vertAlign w:val="superscript"/>
        </w:rPr>
        <w:footnoteRef/>
      </w:r>
      <w:r>
        <w:rPr>
          <w:rFonts w:cs="Arial Unicode MS" w:eastAsia="Arial Unicode MS"/>
          <w:rtl w:val="0"/>
        </w:rPr>
        <w:t xml:space="preserve"> </w:t>
      </w:r>
    </w:p>
  </w:footnote>
  <w:footnote w:id="3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Ibid.</w:t>
      </w:r>
    </w:p>
  </w:footnote>
  <w:footnote w:id="33">
    <w:p>
      <w:pPr>
        <w:pStyle w:val="Footnote"/>
        <w:bidi w:val="0"/>
      </w:pPr>
      <w:r>
        <w:rPr>
          <w:vertAlign w:val="superscript"/>
        </w:rPr>
        <w:footnoteRef/>
      </w:r>
      <w:r>
        <w:rPr>
          <w:rFonts w:cs="Arial Unicode MS" w:eastAsia="Arial Unicode MS"/>
          <w:rtl w:val="0"/>
        </w:rPr>
        <w:t xml:space="preserve"> </w:t>
      </w:r>
    </w:p>
  </w:footnote>
  <w:footnote w:id="3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 xml:space="preserve">Ibid. </w:t>
      </w:r>
    </w:p>
  </w:footnote>
  <w:footnote w:id="3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27-29.</w:t>
      </w:r>
    </w:p>
  </w:footnote>
  <w:footnote w:id="3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29.</w:t>
      </w:r>
    </w:p>
  </w:footnote>
  <w:footnote w:id="37">
    <w:p>
      <w:pPr>
        <w:pStyle w:val="Footnote"/>
        <w:bidi w:val="0"/>
      </w:pPr>
      <w:r>
        <w:rPr>
          <w:vertAlign w:val="superscript"/>
        </w:rPr>
        <w:footnoteRef/>
      </w:r>
      <w:r>
        <w:rPr>
          <w:rFonts w:cs="Arial Unicode MS" w:eastAsia="Arial Unicode MS"/>
          <w:rtl w:val="0"/>
        </w:rPr>
        <w:t xml:space="preserve"> </w:t>
      </w:r>
    </w:p>
  </w:footnote>
  <w:footnote w:id="38">
    <w:p>
      <w:pPr>
        <w:pStyle w:val="Footnote"/>
        <w:bidi w:val="0"/>
      </w:pPr>
      <w:r>
        <w:rPr>
          <w:vertAlign w:val="superscript"/>
        </w:rPr>
        <w:footnoteRef/>
      </w:r>
      <w:r>
        <w:rPr>
          <w:rFonts w:cs="Arial Unicode MS" w:eastAsia="Arial Unicode MS"/>
          <w:rtl w:val="0"/>
        </w:rPr>
        <w:t xml:space="preserve"> </w:t>
      </w:r>
    </w:p>
  </w:footnote>
  <w:footnote w:id="39">
    <w:p>
      <w:pPr>
        <w:pStyle w:val="Footnote"/>
        <w:bidi w:val="0"/>
      </w:pPr>
      <w:r>
        <w:rPr>
          <w:vertAlign w:val="superscript"/>
        </w:rPr>
        <w:footnoteRef/>
      </w:r>
      <w:r>
        <w:rPr>
          <w:rFonts w:cs="Arial Unicode MS" w:eastAsia="Arial Unicode MS"/>
          <w:rtl w:val="0"/>
        </w:rPr>
        <w:t xml:space="preserve"> </w:t>
      </w:r>
    </w:p>
  </w:footnote>
  <w:footnote w:id="40">
    <w:p>
      <w:pPr>
        <w:pStyle w:val="Footnote"/>
        <w:bidi w:val="0"/>
      </w:pPr>
      <w:r>
        <w:rPr>
          <w:vertAlign w:val="superscript"/>
        </w:rPr>
        <w:footnoteRef/>
      </w:r>
      <w:r>
        <w:rPr>
          <w:rFonts w:cs="Arial Unicode MS" w:eastAsia="Arial Unicode MS"/>
          <w:rtl w:val="0"/>
        </w:rPr>
        <w:t xml:space="preserve"> p. 20.</w:t>
      </w:r>
    </w:p>
  </w:footnote>
  <w:footnote w:id="41">
    <w:p>
      <w:pPr>
        <w:pStyle w:val="Footnote"/>
        <w:bidi w:val="0"/>
      </w:pPr>
      <w:r>
        <w:rPr>
          <w:vertAlign w:val="superscript"/>
        </w:rPr>
        <w:footnoteRef/>
      </w:r>
      <w:r>
        <w:rPr>
          <w:rFonts w:cs="Arial Unicode MS" w:eastAsia="Arial Unicode MS"/>
          <w:rtl w:val="0"/>
          <w:lang w:val="en-US"/>
        </w:rPr>
        <w:t xml:space="preserve"> 'The stress just laid on industrial exports does not mean that import substitution policy should be abandoned. On the contrary, it should be maintained. In calculating the potential trade gap, it was assumed that the tempo of the substitution process will remain the same as in the past. There is still a margin for import substitution, although it has shrunk considerably in those peripheral countries which have made more headway with industrialization. The margin could be appreciably widened if substitution were to be carried out, not within each individual country's domestic market, but within groupings of countries so as to reap more easily the benefits of competition, specialization and economies of scale.</w:t>
      </w:r>
    </w:p>
    <w:p>
      <w:pPr>
        <w:pStyle w:val="Footnote"/>
        <w:bidi w:val="0"/>
      </w:pPr>
    </w:p>
    <w:p>
      <w:pPr>
        <w:pStyle w:val="Footnote"/>
        <w:bidi w:val="0"/>
      </w:pPr>
      <w:r>
        <w:rPr>
          <w:rFonts w:cs="Arial Unicode MS" w:eastAsia="Arial Unicode MS"/>
          <w:rtl w:val="0"/>
          <w:lang w:val="en-US"/>
        </w:rPr>
        <w:t>This more rational form of substitution policy could be applied to imports not only of goods but also of services, such as freight and insurance, which form an important component of the potential gap. Furthermore, in some cases the export of these services might be increased if a collective approach were to be adopted through such groupings. But the difficulties in the way are by no means negligible.</w:t>
      </w:r>
    </w:p>
    <w:p>
      <w:pPr>
        <w:pStyle w:val="Footnote"/>
        <w:bidi w:val="0"/>
      </w:pPr>
      <w:r>
        <w:rPr>
          <w:rFonts w:cs="Arial Unicode MS" w:eastAsia="Arial Unicode MS"/>
          <w:rtl w:val="0"/>
        </w:rPr>
        <w:t>' p. 25-26.</w:t>
      </w:r>
    </w:p>
  </w:footnote>
  <w:footnote w:id="42">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65-66.</w:t>
      </w:r>
    </w:p>
  </w:footnote>
  <w:footnote w:id="43">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65-66.</w:t>
      </w:r>
    </w:p>
  </w:footnote>
  <w:footnote w:id="44">
    <w:p>
      <w:pPr>
        <w:pStyle w:val="Footnote"/>
        <w:bidi w:val="0"/>
      </w:pPr>
      <w:r>
        <w:rPr>
          <w:vertAlign w:val="superscript"/>
        </w:rPr>
        <w:footnoteRef/>
      </w:r>
      <w:r>
        <w:rPr>
          <w:rFonts w:cs="Arial Unicode MS" w:eastAsia="Arial Unicode MS"/>
          <w:rtl w:val="0"/>
        </w:rPr>
        <w:t xml:space="preserve"> </w:t>
      </w:r>
    </w:p>
  </w:footnote>
  <w:footnote w:id="45">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29-31.</w:t>
      </w:r>
    </w:p>
  </w:footnote>
  <w:footnote w:id="46">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15.</w:t>
      </w:r>
    </w:p>
  </w:footnote>
  <w:footnote w:id="47">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pp. 23-25.</w:t>
      </w:r>
    </w:p>
  </w:footnote>
  <w:footnote w:id="48">
    <w:p>
      <w:pPr>
        <w:pStyle w:val="Footnote"/>
        <w:bidi w:val="0"/>
      </w:pPr>
      <w:r>
        <w:rPr>
          <w:vertAlign w:val="superscript"/>
        </w:rPr>
        <w:footnoteRef/>
      </w:r>
      <w:r>
        <w:rPr>
          <w:rFonts w:cs="Arial Unicode MS" w:eastAsia="Arial Unicode MS"/>
          <w:rtl w:val="0"/>
          <w:lang w:val="en-US"/>
        </w:rPr>
        <w:t xml:space="preserve"> 'Our investigation cannot, indeed, be governed by such a prior condition as the precise determination of the exact outline of the new international economic order. For our approach, which must inevitably be more modest, it is both necessary and sufficient to make a rapid diagnosis of the present economic order and add a forecast of what it will be or might become, after weighing up the contradictory</w:t>
      </w:r>
      <w:r>
        <w:rPr>
          <w:rFonts w:cs="Arial Unicode MS" w:eastAsia="Arial Unicode MS" w:hint="default"/>
          <w:rtl w:val="0"/>
        </w:rPr>
        <w:t> </w:t>
      </w:r>
      <w:r>
        <w:rPr>
          <w:rFonts w:cs="Arial Unicode MS" w:eastAsia="Arial Unicode MS"/>
          <w:rtl w:val="0"/>
          <w:lang w:val="en-US"/>
        </w:rPr>
        <w:t xml:space="preserve">demands of the various groups of protagonists in the world and identifying the balance of power between them as expressed by their antagonistic relations. On this basis it should be possible, firstly, to determine the impact of these world-wide economic demands on the future of international law, and secondly, contrariwise, to draw up a </w:t>
      </w:r>
      <w:r>
        <w:rPr>
          <w:rFonts w:cs="Arial Unicode MS" w:eastAsia="Arial Unicode MS" w:hint="default"/>
          <w:rtl w:val="1"/>
        </w:rPr>
        <w:t>‘</w:t>
      </w:r>
      <w:r>
        <w:rPr>
          <w:rFonts w:cs="Arial Unicode MS" w:eastAsia="Arial Unicode MS"/>
          <w:rtl w:val="0"/>
        </w:rPr>
        <w:t>legal strategy</w:t>
      </w:r>
      <w:r>
        <w:rPr>
          <w:rFonts w:cs="Arial Unicode MS" w:eastAsia="Arial Unicode MS" w:hint="default"/>
          <w:rtl w:val="1"/>
        </w:rPr>
        <w:t xml:space="preserve">’ </w:t>
      </w:r>
      <w:r>
        <w:rPr>
          <w:rFonts w:cs="Arial Unicode MS" w:eastAsia="Arial Unicode MS"/>
          <w:rtl w:val="0"/>
          <w:lang w:val="en-US"/>
        </w:rPr>
        <w:t>for seeking ways and means by which international law could in turn contribute to the establishment of this new international economic order.</w:t>
      </w:r>
      <w:r>
        <w:rPr>
          <w:rFonts w:cs="Arial Unicode MS" w:eastAsia="Arial Unicode MS" w:hint="default"/>
          <w:rtl w:val="1"/>
        </w:rPr>
        <w:t xml:space="preserve">’ </w:t>
      </w:r>
      <w:r>
        <w:rPr>
          <w:rFonts w:cs="Arial Unicode MS" w:eastAsia="Arial Unicode MS"/>
          <w:rtl w:val="0"/>
        </w:rPr>
        <w:t>p. 15.</w:t>
      </w:r>
    </w:p>
  </w:footnote>
  <w:footnote w:id="49">
    <w:p>
      <w:pPr>
        <w:pStyle w:val="Footnote"/>
        <w:bidi w:val="0"/>
      </w:pPr>
      <w:r>
        <w:rPr>
          <w:vertAlign w:val="superscript"/>
        </w:rPr>
        <w:footnoteRef/>
      </w:r>
      <w:r>
        <w:rPr>
          <w:rFonts w:cs="Arial Unicode MS" w:eastAsia="Arial Unicode MS"/>
          <w:rtl w:val="0"/>
        </w:rPr>
        <w:t xml:space="preserve"> </w:t>
      </w:r>
    </w:p>
  </w:footnote>
  <w:footnote w:id="50">
    <w:p>
      <w:pPr>
        <w:pStyle w:val="Footnote"/>
        <w:bidi w:val="0"/>
      </w:pPr>
      <w:r>
        <w:rPr>
          <w:vertAlign w:val="superscript"/>
        </w:rPr>
        <w:footnoteRef/>
      </w:r>
      <w:r>
        <w:rPr>
          <w:rFonts w:cs="Arial Unicode MS" w:eastAsia="Arial Unicode MS"/>
          <w:rtl w:val="0"/>
        </w:rPr>
        <w:t xml:space="preserve"> </w:t>
      </w:r>
    </w:p>
  </w:footnote>
  <w:footnote w:id="51">
    <w:p>
      <w:pPr>
        <w:pStyle w:val="Footnote"/>
        <w:bidi w:val="0"/>
      </w:pPr>
      <w:r>
        <w:rPr>
          <w:vertAlign w:val="superscript"/>
        </w:rPr>
        <w:footnoteRef/>
      </w:r>
      <w:r>
        <w:rPr>
          <w:rFonts w:cs="Arial Unicode MS" w:eastAsia="Arial Unicode MS"/>
          <w:rtl w:val="0"/>
        </w:rPr>
        <w:t xml:space="preserve"> </w:t>
      </w:r>
    </w:p>
  </w:footnote>
  <w:footnote w:id="52">
    <w:p>
      <w:pPr>
        <w:pStyle w:val="Footnote"/>
        <w:bidi w:val="0"/>
      </w:pPr>
      <w:r>
        <w:rPr>
          <w:vertAlign w:val="superscript"/>
        </w:rPr>
        <w:footnoteRef/>
      </w:r>
      <w:r>
        <w:rPr>
          <w:rFonts w:cs="Arial Unicode MS" w:eastAsia="Arial Unicode MS"/>
          <w:rtl w:val="0"/>
        </w:rPr>
        <w:t xml:space="preserve"> </w:t>
      </w:r>
    </w:p>
  </w:footnote>
  <w:footnote w:id="53">
    <w:p>
      <w:pPr>
        <w:pStyle w:val="Footnote"/>
        <w:bidi w:val="0"/>
      </w:pPr>
      <w:r>
        <w:rPr>
          <w:vertAlign w:val="superscript"/>
        </w:rPr>
        <w:footnoteRef/>
      </w:r>
      <w:r>
        <w:rPr>
          <w:rFonts w:cs="Arial Unicode MS" w:eastAsia="Arial Unicode MS"/>
          <w:rtl w:val="0"/>
        </w:rPr>
        <w:t xml:space="preserve"> </w:t>
      </w:r>
    </w:p>
  </w:footnote>
  <w:footnote w:id="54">
    <w:p>
      <w:pPr>
        <w:pStyle w:val="Footnote"/>
        <w:bidi w:val="0"/>
      </w:pPr>
      <w:r>
        <w:rPr>
          <w:vertAlign w:val="superscript"/>
        </w:rPr>
        <w:footnoteRef/>
      </w:r>
      <w:r>
        <w:rPr>
          <w:rFonts w:cs="Arial Unicode MS" w:eastAsia="Arial Unicode MS"/>
          <w:rtl w:val="0"/>
        </w:rPr>
        <w:t xml:space="preserve"> </w:t>
      </w:r>
      <w:r>
        <w:rPr>
          <w:rFonts w:cs="Arial Unicode MS" w:eastAsia="Arial Unicode MS"/>
          <w:rtl w:val="0"/>
          <w:lang w:val="en-US"/>
        </w:rPr>
        <w:t>p. 92.</w:t>
      </w:r>
    </w:p>
  </w:footnote>
  <w:footnote w:id="55">
    <w:p>
      <w:pPr>
        <w:pStyle w:val="Footnote"/>
        <w:bidi w:val="0"/>
      </w:pPr>
      <w:r>
        <w:rPr>
          <w:vertAlign w:val="superscript"/>
        </w:rPr>
        <w:footnoteRef/>
      </w:r>
      <w:r>
        <w:rPr>
          <w:rFonts w:cs="Arial Unicode MS" w:eastAsia="Arial Unicode MS"/>
          <w:rtl w:val="0"/>
        </w:rPr>
        <w:t xml:space="preserve"> </w:t>
      </w:r>
    </w:p>
  </w:footnote>
  <w:footnote w:id="56">
    <w:p>
      <w:pPr>
        <w:pStyle w:val="Footnote"/>
        <w:bidi w:val="0"/>
      </w:pPr>
      <w:r>
        <w:rPr>
          <w:vertAlign w:val="superscript"/>
        </w:rPr>
        <w:footnoteRef/>
      </w:r>
      <w:r>
        <w:rPr>
          <w:rFonts w:cs="Arial Unicode MS" w:eastAsia="Arial Unicode MS"/>
          <w:rtl w:val="0"/>
        </w:rPr>
        <w:t xml:space="preserve"> </w:t>
      </w:r>
    </w:p>
  </w:footnote>
  <w:footnote w:id="57">
    <w:p>
      <w:pPr>
        <w:pStyle w:val="Footnote"/>
        <w:bidi w:val="0"/>
      </w:pPr>
      <w:r>
        <w:rPr>
          <w:vertAlign w:val="superscript"/>
        </w:rPr>
        <w:footnoteRef/>
      </w:r>
      <w:r>
        <w:rPr>
          <w:rFonts w:cs="Arial Unicode MS" w:eastAsia="Arial Unicode MS"/>
          <w:rtl w:val="0"/>
        </w:rPr>
        <w:t xml:space="preserve"> </w:t>
      </w:r>
    </w:p>
  </w:footnote>
  <w:footnote w:id="58">
    <w:p>
      <w:pPr>
        <w:pStyle w:val="Footnote"/>
        <w:bidi w:val="0"/>
      </w:pPr>
      <w:r>
        <w:rPr>
          <w:vertAlign w:val="superscript"/>
        </w:rPr>
        <w:footnoteRef/>
      </w:r>
      <w:r>
        <w:rPr>
          <w:rFonts w:cs="Arial Unicode MS" w:eastAsia="Arial Unicode MS"/>
          <w:rtl w:val="0"/>
        </w:rPr>
        <w:t xml:space="preserve"> </w:t>
      </w:r>
    </w:p>
  </w:footnote>
  <w:footnote w:id="59">
    <w:p>
      <w:pPr>
        <w:pStyle w:val="Footnote"/>
        <w:bidi w:val="0"/>
      </w:pPr>
      <w:r>
        <w:rPr>
          <w:vertAlign w:val="superscript"/>
        </w:rPr>
        <w:footnoteRef/>
      </w:r>
      <w:r>
        <w:rPr>
          <w:rFonts w:cs="Arial Unicode MS" w:eastAsia="Arial Unicode MS"/>
          <w:rtl w:val="0"/>
        </w:rPr>
        <w:t xml:space="preserve"> </w:t>
      </w:r>
    </w:p>
  </w:footnote>
</w:footnotes>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footnotePr>
    <w:numFmt w:val="decimal"/>
    <w:numStart w:val="1"/>
    <w:numRestart w:val="continuous"/>
    <w:footnote w:id="-1"/>
    <w:footnote w:id="0"/>
    <w:footnote w:id="-2"/>
  </w:footnotePr>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note">
    <w:name w:val="Footnote"/>
    <w:next w:val="Footnote"/>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character" w:styleId="Hyperlink.0">
    <w:name w:val="Hyperlink.0"/>
    <w:basedOn w:val="Hyperlink"/>
    <w:next w:val="Hyperlink.0"/>
    <w:rPr>
      <w:u w:val="single"/>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Table Title 1">
    <w:name w:val="Table Title 1"/>
    <w:next w:val="Table Title 1"/>
    <w:pPr>
      <w:keepNext w:val="0"/>
      <w:keepLines w:val="0"/>
      <w:pageBreakBefore w:val="0"/>
      <w:widowControl w:val="1"/>
      <w:shd w:val="clear" w:color="auto" w:fill="auto"/>
      <w:suppressAutoHyphens w:val="0"/>
      <w:bidi w:val="0"/>
      <w:spacing w:before="240" w:after="80" w:line="240" w:lineRule="auto"/>
      <w:ind w:left="0" w:right="0" w:firstLine="0"/>
      <w:jc w:val="center"/>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Object Caption">
    <w:name w:val="Object Caption"/>
    <w:next w:val="Object Caption"/>
    <w:pPr>
      <w:keepNext w:val="0"/>
      <w:keepLines w:val="0"/>
      <w:pageBreakBefore w:val="0"/>
      <w:widowControl w:val="1"/>
      <w:shd w:val="clear" w:color="auto" w:fill="auto"/>
      <w:suppressAutoHyphens w:val="0"/>
      <w:bidi w:val="0"/>
      <w:spacing w:before="0" w:after="0" w:line="240" w:lineRule="auto"/>
      <w:ind w:left="0" w:right="0" w:firstLine="0"/>
      <w:jc w:val="center"/>
      <w:outlineLvl w:val="9"/>
    </w:pPr>
    <w:rPr>
      <w:rFonts w:ascii="Helvetica Neue Light" w:cs="Arial Unicode MS" w:hAnsi="Helvetica Neue Light"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otnotes" Target="footnotes.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