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mons"/>
    <w:p>
      <w:pPr>
        <w:pStyle w:val="Heading1"/>
      </w:pPr>
      <w:r>
        <w:t xml:space="preserve">Commons</w:t>
      </w:r>
    </w:p>
    <w:p>
      <w:pPr>
        <w:pStyle w:val="FirstParagraph"/>
      </w:pPr>
      <w:r>
        <w:t xml:space="preserve">Regimes vary (Ostrom 1990); the tragedy framing (Hardin 1968) was critiqued (Benkler 2006).</w:t>
      </w:r>
    </w:p>
    <w:bookmarkStart w:id="20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Ostrom, Elinor (1990). Governing the Commons. Cambridge University Press.</w:t>
      </w:r>
    </w:p>
    <w:p>
      <w:pPr>
        <w:pStyle w:val="BodyText"/>
      </w:pPr>
      <w:r>
        <w:t xml:space="preserve">Hardin, Garrett (1968). The Tragedy of the Commons. Science.</w:t>
      </w:r>
    </w:p>
    <w:p>
      <w:pPr>
        <w:pStyle w:val="BodyText"/>
      </w:pPr>
      <w:r>
        <w:t xml:space="preserve">Benkler, Yochai (2006). The Wealth of Networks. Yale UP.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2026-06-02T05:17:01Z</dcterms:created>
  <dcterms:modified xsi:type="dcterms:W3CDTF">2026-06-02T05:17:01Z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