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-study-of-the-commons"/>
    <w:p>
      <w:pPr>
        <w:pStyle w:val="Heading1"/>
      </w:pPr>
      <w:r>
        <w:t xml:space="preserve">A Study of the Commons</w:t>
      </w:r>
    </w:p>
    <w:p>
      <w:pPr>
        <w:pStyle w:val="FirstParagraph"/>
      </w:pPr>
      <w:r>
        <w:t xml:space="preserve">The governance of shared resources is central to political economy. Communities devise institutions to manage common-pool resources over time.</w:t>
      </w:r>
    </w:p>
    <w:bookmarkStart w:id="2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Ostrom, Elinor (1990). Governing the Commons. Cambridge University Press.</w:t>
      </w:r>
    </w:p>
    <w:p>
      <w:pPr>
        <w:pStyle w:val="BodyText"/>
      </w:pPr>
      <w:r>
        <w:t xml:space="preserve">Hardin, Garrett (1968). The Tragedy of the Commons. Science.</w:t>
      </w:r>
    </w:p>
    <w:p>
      <w:pPr>
        <w:pStyle w:val="BodyText"/>
      </w:pPr>
      <w:r>
        <w:t xml:space="preserve">Benkler, Yochai (2006). The Wealth of Networks. Yale UP.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2026-06-02T05:17:02Z</dcterms:created>
  <dcterms:modified xsi:type="dcterms:W3CDTF">2026-06-02T05:17:02Z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