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plain-report"/>
    <w:p>
      <w:pPr>
        <w:pStyle w:val="Heading1"/>
      </w:pPr>
      <w:r>
        <w:t xml:space="preserve">A Plain Report</w:t>
      </w:r>
    </w:p>
    <w:p>
      <w:pPr>
        <w:pStyle w:val="FirstParagraph"/>
      </w:pPr>
      <w:r>
        <w:t xml:space="preserve">This document contains ordinary prose with no footnotes at all. It has several paragraphs to give the converter real structure to chew on.</w:t>
      </w:r>
    </w:p>
    <w:p>
      <w:pPr>
        <w:pStyle w:val="BodyText"/>
      </w:pPr>
      <w:r>
        <w:t xml:space="preserve">A second paragraph continues the discussion without any citations or notes, just plain narrative text.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2026-06-02T05:00:30Z</dcterms:created>
  <dcterms:modified xsi:type="dcterms:W3CDTF">2026-06-02T05:00:30Z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