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Arial" w:cs="Arial" w:hAnsi="Arial" w:eastAsia="Arial"/>
        </w:rPr>
      </w:pPr>
      <w:r>
        <w:rPr>
          <w:rFonts w:ascii="Arial" w:hAnsi="Arial"/>
          <w:rtl w:val="0"/>
          <w:lang w:val="en-US"/>
        </w:rPr>
        <w:t xml:space="preserve">The </w:t>
      </w:r>
      <w:commentRangeStart w:id="0"/>
      <w:r>
        <w:rPr>
          <w:rFonts w:ascii="Arial" w:hAnsi="Arial"/>
          <w:rtl w:val="0"/>
          <w:lang w:val="en-US"/>
        </w:rPr>
        <w:t>Solidarity of Monopoly Capital: The Rise and Decline of the NIEO</w:t>
      </w:r>
      <w:commentRangeEnd w:id="0"/>
      <w:r>
        <w:commentReference w:id="0"/>
      </w:r>
    </w:p>
    <w:p>
      <w:pPr>
        <w:pStyle w:val="Heading"/>
        <w:rPr>
          <w:rFonts w:ascii="Arial" w:cs="Arial" w:hAnsi="Arial" w:eastAsia="Arial"/>
        </w:rPr>
      </w:pPr>
      <w:r>
        <w:rPr>
          <w:rFonts w:ascii="Arial" w:hAnsi="Arial"/>
          <w:rtl w:val="0"/>
          <w:lang w:val="en-US"/>
        </w:rPr>
        <w:t>Introduction: The Rise and Decline of the Ol</w:t>
      </w:r>
      <w:r>
        <w:rPr>
          <w:rFonts w:ascii="Arial" w:hAnsi="Arial"/>
          <w:rtl w:val="0"/>
          <w:lang w:val="en-US"/>
        </w:rPr>
        <w:t xml:space="preserve">d </w:t>
      </w:r>
      <w:r>
        <w:rPr>
          <w:rFonts w:ascii="Arial" w:hAnsi="Arial"/>
          <w:rtl w:val="0"/>
          <w:lang w:val="en-US"/>
        </w:rPr>
        <w:t>New International Economic Order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I</w:t>
      </w:r>
      <w:r>
        <w:rPr>
          <w:rFonts w:ascii="Arial" w:hAnsi="Arial"/>
          <w:rtl w:val="0"/>
        </w:rPr>
        <w:t xml:space="preserve">n </w:t>
      </w:r>
      <w:r>
        <w:rPr>
          <w:rFonts w:ascii="Arial" w:hAnsi="Arial"/>
          <w:rtl w:val="0"/>
          <w:lang w:val="en-US"/>
        </w:rPr>
        <w:t xml:space="preserve">January </w:t>
      </w:r>
      <w:r>
        <w:rPr>
          <w:rFonts w:ascii="Arial" w:hAnsi="Arial"/>
          <w:rtl w:val="0"/>
        </w:rPr>
        <w:t>2022</w:t>
      </w:r>
      <w:r>
        <w:rPr>
          <w:rFonts w:ascii="Arial" w:hAnsi="Arial"/>
          <w:rtl w:val="0"/>
          <w:lang w:val="en-US"/>
        </w:rPr>
        <w:t xml:space="preserve">, the Progressive International held the </w:t>
      </w:r>
      <w:r>
        <w:rPr>
          <w:rFonts w:ascii="Arial" w:hAnsi="Arial" w:hint="default"/>
          <w:rtl w:val="0"/>
          <w:lang w:val="en-US"/>
        </w:rPr>
        <w:t>‘</w:t>
      </w:r>
      <w:r>
        <w:rPr>
          <w:rFonts w:ascii="Arial" w:hAnsi="Arial"/>
          <w:rtl w:val="0"/>
          <w:lang w:val="en-US"/>
        </w:rPr>
        <w:t>Havana Congress on the New International Economic Order</w:t>
      </w:r>
      <w:r>
        <w:rPr>
          <w:rFonts w:ascii="Arial" w:hAnsi="Arial" w:hint="default"/>
          <w:rtl w:val="0"/>
          <w:lang w:val="en-US"/>
        </w:rPr>
        <w:t xml:space="preserve">’ </w:t>
      </w:r>
      <w:r>
        <w:rPr>
          <w:rFonts w:ascii="Arial" w:hAnsi="Arial"/>
          <w:rtl w:val="0"/>
          <w:lang w:val="en-US"/>
        </w:rPr>
        <w:t>(NIEO).</w:t>
      </w:r>
      <w:r>
        <w:rPr>
          <w:rFonts w:ascii="Arial" w:cs="Arial" w:hAnsi="Arial" w:eastAsia="Arial"/>
          <w:vertAlign w:val="superscript"/>
          <w:rtl w:val="0"/>
        </w:rPr>
        <w:footnoteReference w:id="1"/>
      </w:r>
      <w:r>
        <w:rPr>
          <w:rFonts w:ascii="Arial" w:hAnsi="Arial"/>
          <w:rtl w:val="0"/>
          <w:lang w:val="en-US"/>
        </w:rPr>
        <w:t xml:space="preserve"> Scholars, parliamentarians and policy makers from 26 countries declared their support for renewing the Non-Aligned Movement (NAM) and renovating the NIEO.</w:t>
      </w:r>
      <w:r>
        <w:rPr>
          <w:rFonts w:ascii="Arial" w:cs="Arial" w:hAnsi="Arial" w:eastAsia="Arial"/>
          <w:vertAlign w:val="superscript"/>
          <w:rtl w:val="0"/>
        </w:rPr>
        <w:footnoteReference w:id="2"/>
      </w:r>
      <w:r>
        <w:rPr>
          <w:rFonts w:ascii="Arial" w:hAnsi="Arial"/>
          <w:rtl w:val="0"/>
          <w:lang w:val="en-US"/>
        </w:rPr>
        <w:t xml:space="preserve"> The original NIEO was brought to the Sixth Special Session of the United Nations General Assembly in 1974 by the leaders of 95 states of the Global South.</w:t>
      </w:r>
      <w:r>
        <w:rPr>
          <w:rFonts w:ascii="Arial" w:cs="Arial" w:hAnsi="Arial" w:eastAsia="Arial"/>
          <w:vertAlign w:val="superscript"/>
          <w:rtl w:val="0"/>
        </w:rPr>
        <w:footnoteReference w:id="3"/>
      </w:r>
      <w:r>
        <w:rPr>
          <w:rFonts w:ascii="Arial" w:hAnsi="Arial"/>
          <w:rtl w:val="0"/>
          <w:lang w:val="en-US"/>
        </w:rPr>
        <w:t xml:space="preserve"> Caucused as the Group of 77 (G77), they sought to overthrow neocolonialism, and resolve the world economic crisis, by reconstructing the rules and institutions of global political economy. In reviving the project, the Progressive International (PI) has sought a sober, historically-based analysis. Yanis Varoufakis, for example, posed the core question of the NIEO's praxis directly, stating that the PI: '</w:t>
      </w:r>
      <w:r>
        <w:rPr>
          <w:rFonts w:ascii="Arial" w:hAnsi="Arial"/>
          <w:rtl w:val="0"/>
          <w:lang w:val="en-US"/>
        </w:rPr>
        <w:t>must ask ourselves: Why did we lose last time round?</w:t>
      </w:r>
      <w:r>
        <w:rPr>
          <w:rFonts w:ascii="Arial" w:hAnsi="Arial"/>
          <w:rtl w:val="0"/>
          <w:lang w:val="en-US"/>
        </w:rPr>
        <w:t xml:space="preserve">' Varoufakis' 'short answer' </w:t>
      </w:r>
      <w:r>
        <w:rPr>
          <w:rFonts w:ascii="Arial" w:hAnsi="Arial" w:hint="default"/>
          <w:rtl w:val="0"/>
          <w:lang w:val="en-US"/>
        </w:rPr>
        <w:t xml:space="preserve">–– </w:t>
      </w:r>
      <w:r>
        <w:rPr>
          <w:rFonts w:ascii="Arial" w:hAnsi="Arial"/>
          <w:rtl w:val="0"/>
          <w:lang w:val="en-US"/>
        </w:rPr>
        <w:t xml:space="preserve">that capitalist elites 'better understood the class war' </w:t>
      </w:r>
      <w:r>
        <w:rPr>
          <w:rFonts w:ascii="Arial" w:hAnsi="Arial" w:hint="default"/>
          <w:sz w:val="22"/>
          <w:szCs w:val="22"/>
          <w:rtl w:val="0"/>
          <w:lang w:val="en-US"/>
        </w:rPr>
        <w:t>––</w:t>
      </w:r>
      <w:r>
        <w:rPr>
          <w:rFonts w:ascii="Arial" w:hAnsi="Arial"/>
          <w:rtl w:val="0"/>
          <w:lang w:val="en-US"/>
        </w:rPr>
        <w:t xml:space="preserve"> is insufficient. At the time, no one knew what would happen next.</w:t>
      </w:r>
      <w:r>
        <w:rPr>
          <w:rFonts w:ascii="Arial" w:cs="Arial" w:hAnsi="Arial" w:eastAsia="Arial"/>
          <w:vertAlign w:val="superscript"/>
          <w:rtl w:val="0"/>
        </w:rPr>
        <w:footnoteReference w:id="4"/>
      </w:r>
      <w:r>
        <w:rPr>
          <w:rFonts w:ascii="Arial" w:hAnsi="Arial"/>
          <w:rtl w:val="0"/>
          <w:lang w:val="en-US"/>
        </w:rPr>
        <w:t xml:space="preserve"> But offering a better answer is made difficult by the baseless Eurocentrism of international theory.</w:t>
      </w:r>
      <w:r>
        <w:rPr>
          <w:rFonts w:ascii="Arial" w:cs="Arial" w:hAnsi="Arial" w:eastAsia="Arial"/>
          <w:vertAlign w:val="superscript"/>
          <w:rtl w:val="0"/>
        </w:rPr>
        <w:footnoteReference w:id="5"/>
      </w:r>
      <w:r>
        <w:rPr>
          <w:rFonts w:ascii="Arial" w:hAnsi="Arial"/>
          <w:rtl w:val="0"/>
          <w:lang w:val="en-US"/>
        </w:rPr>
        <w:t xml:space="preserve"> Ever since people realised that the original NIEO had failed, a scholarly consensus emerged that it had never stood a chance. There is nothing wrong with this conclusion, per se. It may or may not be true. The problem is that it was never tested with the requisite historical research. That is the task of this book. By drawing on the historical method of C.L.R. James, and new archival sources, I trace the strategic decision making of G77 elites, as they responded to an unpredictable world economic crisis. This brings the power of the once-available options into new light. B</w:t>
      </w:r>
      <w:r>
        <w:rPr>
          <w:rFonts w:ascii="Arial" w:hAnsi="Arial"/>
          <w:rtl w:val="0"/>
          <w:lang w:val="en-US"/>
        </w:rPr>
        <w:t xml:space="preserve">y maintaining solidarity the leaders of </w:t>
      </w:r>
      <w:r>
        <w:rPr>
          <w:rFonts w:ascii="Arial" w:hAnsi="Arial"/>
          <w:rtl w:val="0"/>
          <w:lang w:val="en-US"/>
        </w:rPr>
        <w:t>the Global South</w:t>
      </w:r>
      <w:r>
        <w:rPr>
          <w:rFonts w:ascii="Arial" w:hAnsi="Arial"/>
          <w:rtl w:val="0"/>
          <w:lang w:val="en-US"/>
        </w:rPr>
        <w:t xml:space="preserve"> wielded the</w:t>
      </w:r>
      <w:r>
        <w:rPr>
          <w:rFonts w:ascii="Arial" w:hAnsi="Arial"/>
          <w:rtl w:val="0"/>
          <w:lang w:val="en-US"/>
        </w:rPr>
        <w:t xml:space="preserve"> monopoly</w:t>
      </w:r>
      <w:r>
        <w:rPr>
          <w:rFonts w:ascii="Arial" w:hAnsi="Arial"/>
          <w:rtl w:val="0"/>
          <w:lang w:val="it-IT"/>
        </w:rPr>
        <w:t xml:space="preserve"> capital </w:t>
      </w:r>
      <w:r>
        <w:rPr>
          <w:rFonts w:ascii="Arial" w:hAnsi="Arial"/>
          <w:rtl w:val="0"/>
          <w:lang w:val="en-US"/>
        </w:rPr>
        <w:t>necessary</w:t>
      </w:r>
      <w:r>
        <w:rPr>
          <w:rFonts w:ascii="Arial" w:hAnsi="Arial"/>
          <w:rtl w:val="0"/>
          <w:lang w:val="en-US"/>
        </w:rPr>
        <w:t xml:space="preserve"> to invest in an entirely new world order. Th</w:t>
      </w:r>
      <w:r>
        <w:rPr>
          <w:rFonts w:ascii="Arial" w:hAnsi="Arial"/>
          <w:rtl w:val="0"/>
          <w:lang w:val="en-US"/>
        </w:rPr>
        <w:t>is option was uncertain and experimental, but also real and deeply considered. The results of such an experiment in world making will never be known, because the test was never run.</w:t>
      </w:r>
      <w:r>
        <w:rPr>
          <w:rFonts w:ascii="Arial" w:cs="Arial" w:hAnsi="Arial" w:eastAsia="Arial"/>
          <w:vertAlign w:val="superscript"/>
          <w:rtl w:val="0"/>
        </w:rPr>
        <w:footnoteReference w:id="6"/>
      </w:r>
      <w:r>
        <w:rPr>
          <w:rFonts w:ascii="Arial" w:hAnsi="Arial"/>
          <w:rtl w:val="0"/>
          <w:lang w:val="en-US"/>
        </w:rPr>
        <w:t xml:space="preserve"> Still, the G77 had the power to run it, and very nearly did.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Heading 2"/>
        <w:bidi w:val="0"/>
      </w:pPr>
      <w:r>
        <w:rPr>
          <w:rtl w:val="0"/>
        </w:rPr>
        <w:t>The Creation of a Praxis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How had the NIEO been possible? How could the state elites of the G77 </w:t>
      </w:r>
      <w:r>
        <w:rPr>
          <w:rFonts w:ascii="Arial" w:hAnsi="Arial" w:hint="default"/>
          <w:rtl w:val="0"/>
          <w:lang w:val="en-US"/>
        </w:rPr>
        <w:t xml:space="preserve">–– </w:t>
      </w:r>
      <w:r>
        <w:rPr>
          <w:rFonts w:ascii="Arial" w:hAnsi="Arial"/>
          <w:rtl w:val="0"/>
          <w:lang w:val="en-US"/>
        </w:rPr>
        <w:t xml:space="preserve">who were beset by severe conflicts of interest </w:t>
      </w:r>
      <w:r>
        <w:rPr>
          <w:rFonts w:ascii="Arial" w:hAnsi="Arial" w:hint="default"/>
          <w:rtl w:val="0"/>
          <w:lang w:val="en-US"/>
        </w:rPr>
        <w:t xml:space="preserve">–– </w:t>
      </w:r>
      <w:r>
        <w:rPr>
          <w:rFonts w:ascii="Arial" w:hAnsi="Arial"/>
          <w:rtl w:val="0"/>
          <w:lang w:val="en-US"/>
        </w:rPr>
        <w:t>forge global solidarity amidst world disorder? This is related to another question: what were G77 elites proposing? What did they think a New International Economic Order would look like? To introduce this, I show how the founding UN Declarations on the NIEO drew on the work of two distinct political economists: the Leninist anti-colonial leader of Ghana, Kwame Nkrumah, and the liberal economist Ra</w:t>
      </w:r>
      <w:r>
        <w:rPr>
          <w:rFonts w:ascii="Arial" w:hAnsi="Arial" w:hint="default"/>
          <w:rtl w:val="0"/>
          <w:lang w:val="en-US"/>
        </w:rPr>
        <w:t>ú</w:t>
      </w:r>
      <w:r>
        <w:rPr>
          <w:rFonts w:ascii="Arial" w:hAnsi="Arial"/>
          <w:rtl w:val="0"/>
          <w:lang w:val="en-US"/>
        </w:rPr>
        <w:t xml:space="preserve">l Prebisch, who was the founding Secretary General of the United Nations Conference on Trade and Development. Despite strong disagreements over domestic and regional economic development, Nkrumah and Prebisch agreed, broadly, on the need for liberal reforms to world order. After showing how G77 elites fused these ideas into a unique synthesis, I turn to the work of the Algerian jurist and diplomat, Mohammed Badejaoui. An active participant in the original NIEO project, Bedjaoui showed how Nkrumah's critique of neo-colonialism, and Prebisch's work on the declining terms of trade, were both fundamental to the NIEO's strategy of reforming international law.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The project's economic theory came primarily from the Argentinian economist, central banker, and founding Secretary General of the United Nations Conference on Trade and Development (UNCTAD), Ra</w:t>
      </w:r>
      <w:r>
        <w:rPr>
          <w:rFonts w:ascii="Arial" w:hAnsi="Arial" w:hint="default"/>
          <w:rtl w:val="0"/>
          <w:lang w:val="en-US"/>
        </w:rPr>
        <w:t>ú</w:t>
      </w:r>
      <w:r>
        <w:rPr>
          <w:rFonts w:ascii="Arial" w:hAnsi="Arial"/>
          <w:rtl w:val="0"/>
          <w:lang w:val="en-US"/>
        </w:rPr>
        <w:t>l Prebisch.</w:t>
      </w:r>
      <w:r>
        <w:rPr>
          <w:rFonts w:ascii="Arial" w:cs="Arial" w:hAnsi="Arial" w:eastAsia="Arial"/>
          <w:vertAlign w:val="superscript"/>
          <w:rtl w:val="0"/>
        </w:rPr>
        <w:footnoteReference w:id="7"/>
      </w:r>
      <w:r>
        <w:rPr>
          <w:rFonts w:ascii="Arial" w:hAnsi="Arial"/>
          <w:rtl w:val="0"/>
          <w:lang w:val="en-US"/>
        </w:rPr>
        <w:t xml:space="preserve"> Prebisch was not opposed to free trade, nor the Ricardian principle of comparative advantage.</w:t>
      </w:r>
      <w:r>
        <w:rPr>
          <w:rFonts w:ascii="Arial" w:cs="Arial" w:hAnsi="Arial" w:eastAsia="Arial"/>
          <w:vertAlign w:val="superscript"/>
          <w:rtl w:val="0"/>
        </w:rPr>
        <w:footnoteReference w:id="8"/>
      </w:r>
      <w:r>
        <w:rPr>
          <w:rFonts w:ascii="Arial" w:hAnsi="Arial"/>
          <w:rtl w:val="0"/>
          <w:lang w:val="en-US"/>
        </w:rPr>
        <w:t xml:space="preserve"> He wanted free trade to help with the much-needed economic development of the Global South, but was </w:t>
      </w:r>
      <w:r>
        <w:rPr>
          <w:rFonts w:ascii="Arial" w:hAnsi="Arial"/>
          <w:rtl w:val="0"/>
          <w:lang w:val="fr-FR"/>
        </w:rPr>
        <w:t>concern</w:t>
      </w:r>
      <w:r>
        <w:rPr>
          <w:rFonts w:ascii="Arial" w:hAnsi="Arial"/>
          <w:rtl w:val="0"/>
          <w:lang w:val="en-US"/>
        </w:rPr>
        <w:t xml:space="preserve">ed </w:t>
      </w:r>
      <w:r>
        <w:rPr>
          <w:rFonts w:ascii="Arial" w:hAnsi="Arial"/>
          <w:rtl w:val="0"/>
          <w:lang w:val="en-US"/>
        </w:rPr>
        <w:t>that the actual history of capitalism and colonisation stood in the way.</w:t>
      </w:r>
      <w:r>
        <w:rPr>
          <w:rFonts w:ascii="Arial" w:cs="Arial" w:hAnsi="Arial" w:eastAsia="Arial"/>
          <w:vertAlign w:val="superscript"/>
          <w:rtl w:val="0"/>
        </w:rPr>
        <w:footnoteReference w:id="9"/>
      </w:r>
      <w:r>
        <w:rPr>
          <w:rFonts w:ascii="Arial" w:hAnsi="Arial"/>
          <w:rtl w:val="0"/>
          <w:lang w:val="en-US"/>
        </w:rPr>
        <w:t xml:space="preserve"> The problem was two fold. The colonies had been set up for the extraction of raw materials for the industrial core, but the price of these raw materials showed a long-term tendency to decline relative to industrial goods.</w:t>
      </w:r>
      <w:r>
        <w:rPr>
          <w:rFonts w:ascii="Arial" w:cs="Arial" w:hAnsi="Arial" w:eastAsia="Arial"/>
          <w:vertAlign w:val="superscript"/>
          <w:rtl w:val="0"/>
        </w:rPr>
        <w:footnoteReference w:id="10"/>
      </w:r>
      <w:r>
        <w:rPr>
          <w:rFonts w:ascii="Arial" w:hAnsi="Arial"/>
          <w:rtl w:val="0"/>
          <w:lang w:val="en-US"/>
        </w:rPr>
        <w:t xml:space="preserve"> As Prebisch showed simultaneously with Hans Singer, this meant an uphill battle for the Global South, whose societies had to sustain large increases in productivity just to break even.</w:t>
      </w:r>
      <w:r>
        <w:rPr>
          <w:rFonts w:ascii="Arial" w:cs="Arial" w:hAnsi="Arial" w:eastAsia="Arial"/>
          <w:vertAlign w:val="superscript"/>
          <w:rtl w:val="0"/>
        </w:rPr>
        <w:footnoteReference w:id="11"/>
      </w:r>
      <w:r>
        <w:rPr>
          <w:rFonts w:ascii="Arial" w:hAnsi="Arial"/>
          <w:rtl w:val="0"/>
          <w:lang w:val="en-US"/>
        </w:rPr>
        <w:t xml:space="preserve"> Prebisch never believed this could be solved solely via reforms to the rules and institutions of world trade.</w:t>
      </w:r>
      <w:r>
        <w:rPr>
          <w:rFonts w:ascii="Arial" w:cs="Arial" w:hAnsi="Arial" w:eastAsia="Arial"/>
          <w:vertAlign w:val="superscript"/>
          <w:rtl w:val="0"/>
        </w:rPr>
        <w:footnoteReference w:id="12"/>
      </w:r>
      <w:r>
        <w:rPr>
          <w:rFonts w:ascii="Arial" w:hAnsi="Arial"/>
          <w:rtl w:val="0"/>
          <w:lang w:val="en-US"/>
        </w:rPr>
        <w:t xml:space="preserve"> Still, he elaborated forcefully how the status quo world order was making the problem far worse.</w:t>
      </w:r>
      <w:r>
        <w:rPr>
          <w:rFonts w:ascii="Arial" w:cs="Arial" w:hAnsi="Arial" w:eastAsia="Arial"/>
          <w:vertAlign w:val="superscript"/>
          <w:rtl w:val="0"/>
        </w:rPr>
        <w:footnoteReference w:id="13"/>
      </w:r>
      <w:r>
        <w:rPr>
          <w:rFonts w:ascii="Arial" w:hAnsi="Arial"/>
          <w:rtl w:val="0"/>
          <w:lang w:val="en-US"/>
        </w:rPr>
        <w:t xml:space="preserve"> This was the focus of his work as the first Secretary General of UNCTAD, which formed the basis of the NIEO's core economic demands.</w:t>
      </w:r>
      <w:r>
        <w:rPr>
          <w:rFonts w:ascii="Arial" w:cs="Arial" w:hAnsi="Arial" w:eastAsia="Arial"/>
          <w:vertAlign w:val="superscript"/>
          <w:rtl w:val="0"/>
        </w:rPr>
        <w:footnoteReference w:id="14"/>
      </w:r>
      <w:r>
        <w:rPr>
          <w:rFonts w:ascii="Arial" w:hAnsi="Arial"/>
          <w:rtl w:val="0"/>
          <w:lang w:val="en-US"/>
        </w:rPr>
        <w:t xml:space="preserve"> For example, the first section of the </w:t>
      </w:r>
      <w:r>
        <w:rPr>
          <w:rFonts w:ascii="Arial" w:hAnsi="Arial"/>
          <w:i w:val="1"/>
          <w:iCs w:val="1"/>
          <w:rtl w:val="0"/>
          <w:lang w:val="en-US"/>
        </w:rPr>
        <w:t xml:space="preserve">Programme of Action on the Establishment of a New International Economic Order </w:t>
      </w:r>
      <w:r>
        <w:rPr>
          <w:rFonts w:ascii="Arial" w:hAnsi="Arial"/>
          <w:rtl w:val="0"/>
          <w:lang w:val="en-US"/>
        </w:rPr>
        <w:t>was titled 'Fundamental Problems of Raw Materials and Primary Commodities as Related to Trade and Development'. It stated that 'All efforts should be made':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567" w:right="567" w:firstLine="0"/>
        <w:jc w:val="left"/>
        <w:rPr>
          <w:rFonts w:ascii="Arial" w:cs="Arial" w:hAnsi="Arial" w:eastAsia="Arial"/>
          <w:i w:val="1"/>
          <w:iCs w:val="1"/>
          <w:rtl w:val="0"/>
        </w:rPr>
      </w:pPr>
      <w:r>
        <w:rPr>
          <w:rFonts w:ascii="Arial" w:hAnsi="Arial"/>
          <w:i w:val="1"/>
          <w:iCs w:val="1"/>
          <w:rtl w:val="0"/>
          <w:lang w:val="en-US"/>
        </w:rPr>
        <w:t>(d) To evolve a just and equitable relationship between the prices of raw materials, primary commodities, manufactured and semi-manufactured goods exported by developing countries and the prices of raw</w:t>
      </w:r>
      <w:r>
        <w:rPr>
          <w:rFonts w:ascii="Arial" w:hAnsi="Arial"/>
          <w:i w:val="1"/>
          <w:iCs w:val="1"/>
          <w:rtl w:val="0"/>
          <w:lang w:val="en-US"/>
        </w:rPr>
        <w:t xml:space="preserve"> </w:t>
      </w:r>
      <w:r>
        <w:rPr>
          <w:rFonts w:ascii="Arial" w:hAnsi="Arial"/>
          <w:i w:val="1"/>
          <w:iCs w:val="1"/>
          <w:rtl w:val="0"/>
          <w:lang w:val="en-US"/>
        </w:rPr>
        <w:t>primary commodities, food, manufactured and semi-manufactured goods a</w:t>
      </w:r>
      <w:r>
        <w:rPr>
          <w:rFonts w:ascii="Arial" w:hAnsi="Arial"/>
          <w:i w:val="1"/>
          <w:iCs w:val="1"/>
          <w:rtl w:val="0"/>
          <w:lang w:val="en-US"/>
        </w:rPr>
        <w:t>nd</w:t>
      </w:r>
      <w:r>
        <w:rPr>
          <w:rFonts w:ascii="Arial" w:hAnsi="Arial"/>
          <w:i w:val="1"/>
          <w:iCs w:val="1"/>
          <w:rtl w:val="0"/>
          <w:lang w:val="en-US"/>
        </w:rPr>
        <w:t xml:space="preserve"> capital equipment imported by them, and to work for a link between the prices of exports of developing countries and the prices of their imports from developed countries</w:t>
      </w:r>
      <w:r>
        <w:rPr>
          <w:rFonts w:ascii="Arial" w:hAnsi="Arial"/>
          <w:i w:val="1"/>
          <w:iCs w:val="1"/>
          <w:rtl w:val="0"/>
          <w:lang w:val="en-US"/>
        </w:rPr>
        <w:t>'.</w:t>
      </w:r>
      <w:r>
        <w:rPr>
          <w:rFonts w:ascii="Arial" w:cs="Arial" w:hAnsi="Arial" w:eastAsia="Arial"/>
          <w:i w:val="1"/>
          <w:iCs w:val="1"/>
          <w:vertAlign w:val="superscript"/>
          <w:rtl w:val="0"/>
        </w:rPr>
        <w:footnoteReference w:id="15"/>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In the section on 'General Trade', the </w:t>
      </w:r>
      <w:r>
        <w:rPr>
          <w:rFonts w:ascii="Arial" w:hAnsi="Arial"/>
          <w:i w:val="1"/>
          <w:iCs w:val="1"/>
          <w:rtl w:val="0"/>
          <w:lang w:val="en-US"/>
        </w:rPr>
        <w:t>Program of Action</w:t>
      </w:r>
      <w:r>
        <w:rPr>
          <w:rFonts w:ascii="Arial" w:hAnsi="Arial"/>
          <w:rtl w:val="0"/>
          <w:lang w:val="en-US"/>
        </w:rPr>
        <w:t xml:space="preserve"> listed many proposals created under Prebisch's leadership of UNCTAD.</w:t>
      </w:r>
      <w:r>
        <w:rPr>
          <w:rFonts w:ascii="Arial" w:cs="Arial" w:hAnsi="Arial" w:eastAsia="Arial"/>
          <w:vertAlign w:val="superscript"/>
          <w:rtl w:val="0"/>
        </w:rPr>
        <w:footnoteReference w:id="16"/>
      </w:r>
      <w:r>
        <w:rPr>
          <w:rFonts w:ascii="Arial" w:hAnsi="Arial"/>
          <w:rtl w:val="0"/>
          <w:lang w:val="en-US"/>
        </w:rPr>
        <w:t xml:space="preserve"> These included: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numPr>
          <w:ilvl w:val="0"/>
          <w:numId w:val="2"/>
        </w:numPr>
        <w:bidi w:val="0"/>
        <w:spacing w:before="0"/>
        <w:ind w:right="0"/>
        <w:jc w:val="left"/>
        <w:rPr>
          <w:rFonts w:ascii="Arial" w:hAnsi="Arial"/>
          <w:rtl w:val="0"/>
          <w:lang w:val="en-US"/>
        </w:rPr>
      </w:pPr>
      <w:r>
        <w:rPr>
          <w:rFonts w:ascii="Arial" w:hAnsi="Arial"/>
          <w:rtl w:val="0"/>
          <w:lang w:val="en-US"/>
        </w:rPr>
        <w:t>'improved access to markets in developed countries'</w:t>
      </w:r>
    </w:p>
    <w:p>
      <w:pPr>
        <w:pStyle w:val="Default"/>
        <w:numPr>
          <w:ilvl w:val="0"/>
          <w:numId w:val="2"/>
        </w:numPr>
        <w:bidi w:val="0"/>
        <w:spacing w:before="0"/>
        <w:ind w:right="0"/>
        <w:jc w:val="left"/>
        <w:rPr>
          <w:rFonts w:ascii="Arial" w:hAnsi="Arial"/>
          <w:rtl w:val="0"/>
          <w:lang w:val="en-US"/>
        </w:rPr>
      </w:pPr>
      <w:r>
        <w:rPr>
          <w:rFonts w:ascii="Arial" w:hAnsi="Arial"/>
          <w:rtl w:val="0"/>
          <w:lang w:val="en-US"/>
        </w:rPr>
        <w:t>'expeditious formation of commodity agreements'</w:t>
      </w:r>
    </w:p>
    <w:p>
      <w:pPr>
        <w:pStyle w:val="Default"/>
        <w:numPr>
          <w:ilvl w:val="0"/>
          <w:numId w:val="2"/>
        </w:numPr>
        <w:bidi w:val="0"/>
        <w:spacing w:before="0"/>
        <w:ind w:right="0"/>
        <w:jc w:val="left"/>
        <w:rPr>
          <w:rFonts w:ascii="Arial" w:hAnsi="Arial"/>
          <w:rtl w:val="0"/>
          <w:lang w:val="en-US"/>
        </w:rPr>
      </w:pPr>
      <w:r>
        <w:rPr>
          <w:rFonts w:ascii="Arial" w:hAnsi="Arial"/>
          <w:rtl w:val="0"/>
          <w:lang w:val="en-US"/>
        </w:rPr>
        <w:t>'compensatory financing schemes'</w:t>
      </w:r>
    </w:p>
    <w:p>
      <w:pPr>
        <w:pStyle w:val="Default"/>
        <w:numPr>
          <w:ilvl w:val="0"/>
          <w:numId w:val="2"/>
        </w:numPr>
        <w:bidi w:val="0"/>
        <w:spacing w:before="0"/>
        <w:ind w:right="0"/>
        <w:jc w:val="left"/>
        <w:rPr>
          <w:rFonts w:ascii="Arial" w:hAnsi="Arial"/>
          <w:rtl w:val="0"/>
          <w:lang w:val="en-US"/>
        </w:rPr>
      </w:pPr>
      <w:r>
        <w:rPr>
          <w:rFonts w:ascii="Arial" w:hAnsi="Arial"/>
          <w:rtl w:val="0"/>
          <w:lang w:val="en-US"/>
        </w:rPr>
        <w:t>'improvement and enlargement of the generalized system of preferences'</w:t>
      </w:r>
    </w:p>
    <w:p>
      <w:pPr>
        <w:pStyle w:val="Default"/>
        <w:numPr>
          <w:ilvl w:val="0"/>
          <w:numId w:val="2"/>
        </w:numPr>
        <w:bidi w:val="0"/>
        <w:spacing w:before="0"/>
        <w:ind w:right="0"/>
        <w:jc w:val="left"/>
        <w:rPr>
          <w:rFonts w:ascii="Arial" w:hAnsi="Arial"/>
          <w:rtl w:val="0"/>
          <w:lang w:val="en-US"/>
        </w:rPr>
      </w:pPr>
      <w:r>
        <w:rPr>
          <w:rFonts w:ascii="Arial" w:hAnsi="Arial"/>
          <w:rtl w:val="0"/>
          <w:lang w:val="en-US"/>
        </w:rPr>
        <w:t>'</w:t>
      </w:r>
      <w:r>
        <w:rPr>
          <w:rFonts w:ascii="Arial" w:hAnsi="Arial"/>
          <w:rtl w:val="0"/>
          <w:lang w:val="en-US"/>
        </w:rPr>
        <w:t>setting up of buffer stocks within the framework of commodity arrangements and their financing by international financial institutions</w:t>
      </w:r>
      <w:r>
        <w:rPr>
          <w:rFonts w:ascii="Arial" w:hAnsi="Arial"/>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Prebisch's analysis was read widely by intellectuals in South America, Asia and Africa.</w:t>
      </w:r>
      <w:r>
        <w:rPr>
          <w:rFonts w:ascii="Arial" w:cs="Arial" w:hAnsi="Arial" w:eastAsia="Arial"/>
          <w:vertAlign w:val="superscript"/>
          <w:rtl w:val="0"/>
        </w:rPr>
        <w:footnoteReference w:id="17"/>
      </w:r>
      <w:r>
        <w:rPr>
          <w:rFonts w:ascii="Arial" w:hAnsi="Arial"/>
          <w:rtl w:val="0"/>
          <w:lang w:val="en-US"/>
        </w:rPr>
        <w:t xml:space="preserve"> It became foundational to work on neo-colonialism, the NIEO's political theory. This was expounded most famously by the Marxist, anti-colonial revolutionary, and co-founder of the Non-Aligned Movement, Kwame Nkrumah.</w:t>
      </w:r>
      <w:r>
        <w:rPr>
          <w:rFonts w:ascii="Arial" w:cs="Arial" w:hAnsi="Arial" w:eastAsia="Arial"/>
          <w:vertAlign w:val="superscript"/>
          <w:rtl w:val="0"/>
        </w:rPr>
        <w:footnoteReference w:id="18"/>
      </w:r>
      <w:r>
        <w:rPr>
          <w:rFonts w:ascii="Arial" w:hAnsi="Arial"/>
          <w:rtl w:val="0"/>
          <w:lang w:val="en-US"/>
        </w:rPr>
        <w:t xml:space="preserve"> In </w:t>
      </w:r>
      <w:r>
        <w:rPr>
          <w:rFonts w:ascii="Arial" w:hAnsi="Arial"/>
          <w:i w:val="1"/>
          <w:iCs w:val="1"/>
          <w:rtl w:val="0"/>
          <w:lang w:val="en-US"/>
        </w:rPr>
        <w:t xml:space="preserve">Neocolonialism: The Highest Stage of Imperialism, </w:t>
      </w:r>
      <w:r>
        <w:rPr>
          <w:rFonts w:ascii="Arial" w:hAnsi="Arial"/>
          <w:rtl w:val="0"/>
          <w:lang w:val="en-US"/>
        </w:rPr>
        <w:t xml:space="preserve">he wrote that the: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cs="Arial" w:hAnsi="Arial" w:eastAsia="Arial"/>
          <w:rtl w:val="0"/>
          <w:lang w:val="en-US"/>
        </w:rPr>
        <w:tab/>
        <w:t xml:space="preserve">'essence of neo-colonialism </w:t>
      </w:r>
      <w:r>
        <w:rPr>
          <w:rFonts w:ascii="Arial" w:hAnsi="Arial"/>
          <w:rtl w:val="0"/>
          <w:lang w:val="en-US"/>
        </w:rPr>
        <w:t xml:space="preserve">is that the State which is subject to it is, in theory, </w:t>
      </w:r>
      <w:r>
        <w:rPr>
          <w:rFonts w:ascii="Arial" w:cs="Arial" w:hAnsi="Arial" w:eastAsia="Arial"/>
          <w:rtl w:val="0"/>
        </w:rPr>
        <w:tab/>
        <w:tab/>
        <w:tab/>
      </w:r>
      <w:r>
        <w:rPr>
          <w:rFonts w:ascii="Arial" w:hAnsi="Arial"/>
          <w:rtl w:val="0"/>
          <w:lang w:val="en-US"/>
        </w:rPr>
        <w:t xml:space="preserve">independent and has all the outward trappings of international sovereignty. In reality </w:t>
      </w:r>
      <w:r>
        <w:rPr>
          <w:rFonts w:ascii="Arial" w:cs="Arial" w:hAnsi="Arial" w:eastAsia="Arial"/>
          <w:rtl w:val="0"/>
        </w:rPr>
        <w:tab/>
        <w:tab/>
      </w:r>
      <w:r>
        <w:rPr>
          <w:rFonts w:ascii="Arial" w:hAnsi="Arial"/>
          <w:rtl w:val="0"/>
          <w:lang w:val="en-US"/>
        </w:rPr>
        <w:t>its economic system and thus its political policy is directed from outside.'</w:t>
      </w:r>
      <w:r>
        <w:rPr>
          <w:rFonts w:ascii="Arial" w:cs="Arial" w:hAnsi="Arial" w:eastAsia="Arial"/>
          <w:vertAlign w:val="superscript"/>
          <w:rtl w:val="0"/>
        </w:rPr>
        <w:footnoteReference w:id="19"/>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To explain this 'economic system', Nkrumah used Prebisch's theory of the declining terms of trade.</w:t>
      </w:r>
      <w:r>
        <w:rPr>
          <w:rFonts w:ascii="Arial" w:cs="Arial" w:hAnsi="Arial" w:eastAsia="Arial"/>
          <w:vertAlign w:val="superscript"/>
          <w:rtl w:val="0"/>
        </w:rPr>
        <w:footnoteReference w:id="20"/>
      </w:r>
      <w:r>
        <w:rPr>
          <w:rFonts w:ascii="Arial" w:hAnsi="Arial"/>
          <w:rtl w:val="0"/>
          <w:lang w:val="en-US"/>
        </w:rPr>
        <w:t xml:space="preserve"> This is curious because of the clear differences between Prebisch and Nkrumah. Prebisch </w:t>
      </w:r>
      <w:r>
        <w:rPr>
          <w:rFonts w:ascii="Arial" w:hAnsi="Arial" w:hint="default"/>
          <w:rtl w:val="0"/>
          <w:lang w:val="en-US"/>
        </w:rPr>
        <w:t xml:space="preserve">–– </w:t>
      </w:r>
      <w:r>
        <w:rPr>
          <w:rFonts w:ascii="Arial" w:hAnsi="Arial"/>
          <w:rtl w:val="0"/>
          <w:lang w:val="en-US"/>
        </w:rPr>
        <w:t xml:space="preserve">a liberal economist </w:t>
      </w:r>
      <w:r>
        <w:rPr>
          <w:rFonts w:ascii="Arial" w:hAnsi="Arial" w:hint="default"/>
          <w:rtl w:val="0"/>
          <w:lang w:val="en-US"/>
        </w:rPr>
        <w:t xml:space="preserve">–– </w:t>
      </w:r>
      <w:r>
        <w:rPr>
          <w:rFonts w:ascii="Arial" w:hAnsi="Arial"/>
          <w:rtl w:val="0"/>
          <w:lang w:val="en-US"/>
        </w:rPr>
        <w:t>favoured export-focused regional free-trade agreements designed to boost infant industries.</w:t>
      </w:r>
      <w:r>
        <w:rPr>
          <w:rFonts w:ascii="Arial" w:cs="Arial" w:hAnsi="Arial" w:eastAsia="Arial"/>
          <w:vertAlign w:val="superscript"/>
          <w:rtl w:val="0"/>
        </w:rPr>
        <w:footnoteReference w:id="21"/>
      </w:r>
      <w:r>
        <w:rPr>
          <w:rFonts w:ascii="Arial" w:hAnsi="Arial"/>
          <w:rtl w:val="0"/>
          <w:lang w:val="en-US"/>
        </w:rPr>
        <w:t xml:space="preserve"> Nkrumah wanted socialist planning by 'an all African Union Government'.</w:t>
      </w:r>
      <w:r>
        <w:rPr>
          <w:rFonts w:ascii="Arial" w:cs="Arial" w:hAnsi="Arial" w:eastAsia="Arial"/>
          <w:vertAlign w:val="superscript"/>
          <w:rtl w:val="0"/>
        </w:rPr>
        <w:footnoteReference w:id="22"/>
      </w:r>
      <w:r>
        <w:rPr>
          <w:rFonts w:ascii="Arial" w:hAnsi="Arial"/>
          <w:rtl w:val="0"/>
          <w:lang w:val="en-US"/>
        </w:rPr>
        <w:t xml:space="preserve"> But at the level of world order the two agreed. Like Prebisch, Nkrumah didn't oppose free trade, nor foreign direct investment.</w:t>
      </w:r>
      <w:r>
        <w:rPr>
          <w:rFonts w:ascii="Arial" w:cs="Arial" w:hAnsi="Arial" w:eastAsia="Arial"/>
          <w:vertAlign w:val="superscript"/>
          <w:rtl w:val="0"/>
        </w:rPr>
        <w:footnoteReference w:id="23"/>
      </w:r>
      <w:r>
        <w:rPr>
          <w:rFonts w:ascii="Arial" w:hAnsi="Arial"/>
          <w:rtl w:val="0"/>
          <w:lang w:val="en-US"/>
        </w:rPr>
        <w:t xml:space="preserve"> He just wanted it to be controlled by the international solidarity of the periphery. In so far as the NIEO was concerned, then, the work of Nkrumah and Prebisch were complimentary. Prebsich laid the intellectual foundations with a historical-empirical economic analysis, and corresponding prescriptions for the rules and institutions of global trade and finance. Nkrumah added an overtly political analysis. He emphasised that the declining terms of trade was reinforced by a continuation of imperial violence by monopolies and their neo-imperialist 'invisible government' apparatus.</w:t>
      </w:r>
      <w:r>
        <w:rPr>
          <w:rFonts w:ascii="Arial" w:cs="Arial" w:hAnsi="Arial" w:eastAsia="Arial"/>
          <w:vertAlign w:val="superscript"/>
          <w:rtl w:val="0"/>
        </w:rPr>
        <w:footnoteReference w:id="24"/>
      </w:r>
      <w:r>
        <w:rPr>
          <w:rFonts w:ascii="Arial" w:hAnsi="Arial"/>
          <w:rtl w:val="0"/>
          <w:lang w:val="en-US"/>
        </w:rPr>
        <w:t xml:space="preserve"> The CIA, Nkrumah wrote, stoked internal divisions, and overthrew democratically elected leaders.</w:t>
      </w:r>
      <w:r>
        <w:rPr>
          <w:rFonts w:ascii="Arial" w:cs="Arial" w:hAnsi="Arial" w:eastAsia="Arial"/>
          <w:vertAlign w:val="superscript"/>
          <w:rtl w:val="0"/>
        </w:rPr>
        <w:footnoteReference w:id="25"/>
      </w:r>
      <w:r>
        <w:rPr>
          <w:rFonts w:ascii="Arial" w:hAnsi="Arial"/>
          <w:rtl w:val="0"/>
          <w:lang w:val="en-US"/>
        </w:rPr>
        <w:t xml:space="preserve"> A year after penning </w:t>
      </w:r>
      <w:r>
        <w:rPr>
          <w:rFonts w:ascii="Arial" w:hAnsi="Arial"/>
          <w:i w:val="1"/>
          <w:iCs w:val="1"/>
          <w:rtl w:val="0"/>
          <w:lang w:val="en-US"/>
        </w:rPr>
        <w:t>Neo-colonialism</w:t>
      </w:r>
      <w:r>
        <w:rPr>
          <w:rFonts w:ascii="Arial" w:hAnsi="Arial"/>
          <w:rtl w:val="0"/>
          <w:lang w:val="en-US"/>
        </w:rPr>
        <w:t>, much of his argument was proven correct. Nkrumah, sharing the fate of other popular leaders of the global South, was ousted in a CIA-backed coup.</w:t>
      </w:r>
      <w:r>
        <w:rPr>
          <w:rFonts w:ascii="Arial" w:cs="Arial" w:hAnsi="Arial" w:eastAsia="Arial"/>
          <w:vertAlign w:val="superscript"/>
          <w:rtl w:val="0"/>
        </w:rPr>
        <w:footnoteReference w:id="26"/>
      </w:r>
      <w:r>
        <w:rPr>
          <w:rFonts w:ascii="Arial" w:hAnsi="Arial"/>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None of this was lost on G77 elites. Nkrumah's critique of neo-colonialism, precisely because of its interdependence with Prebischian economics, became a key plank of the NIEO project. Besides overt calls to abolish colonialism and neo-colonialism in all its forms, the NIEO's founding documents called for specific solutions espoused in Nkrumah's work.</w:t>
      </w:r>
      <w:r>
        <w:rPr>
          <w:rFonts w:ascii="Arial" w:cs="Arial" w:hAnsi="Arial" w:eastAsia="Arial"/>
          <w:vertAlign w:val="superscript"/>
          <w:rtl w:val="0"/>
        </w:rPr>
        <w:footnoteReference w:id="27"/>
      </w:r>
      <w:r>
        <w:rPr>
          <w:rFonts w:ascii="Arial" w:hAnsi="Arial"/>
          <w:rtl w:val="0"/>
          <w:lang w:val="en-US"/>
        </w:rPr>
        <w:t xml:space="preserve"> Most notable are Nkrumah's criticisms of foreign aid and transnational monopolies.</w:t>
      </w:r>
      <w:r>
        <w:rPr>
          <w:rFonts w:ascii="Arial" w:cs="Arial" w:hAnsi="Arial" w:eastAsia="Arial"/>
          <w:vertAlign w:val="superscript"/>
          <w:rtl w:val="0"/>
        </w:rPr>
        <w:footnoteReference w:id="28"/>
      </w:r>
      <w:r>
        <w:rPr>
          <w:rFonts w:ascii="Arial" w:hAnsi="Arial"/>
          <w:rtl w:val="0"/>
          <w:lang w:val="en-US"/>
        </w:rPr>
        <w:t xml:space="preserve"> Both aid and foreign direct investment were seen, by Nkrumah, as tools of neo-colonial domination, but his proposed alternatives were pragmatic. Foreign aid should be distributed by multilateral institutions so that all states </w:t>
      </w:r>
      <w:r>
        <w:rPr>
          <w:rFonts w:ascii="Arial" w:hAnsi="Arial" w:hint="default"/>
          <w:rtl w:val="0"/>
          <w:lang w:val="en-US"/>
        </w:rPr>
        <w:t xml:space="preserve">–– </w:t>
      </w:r>
      <w:r>
        <w:rPr>
          <w:rFonts w:ascii="Arial" w:hAnsi="Arial"/>
          <w:rtl w:val="0"/>
          <w:lang w:val="en-US"/>
        </w:rPr>
        <w:t xml:space="preserve">including those receiving the aid </w:t>
      </w:r>
      <w:r>
        <w:rPr>
          <w:rFonts w:ascii="Arial" w:hAnsi="Arial" w:hint="default"/>
          <w:rtl w:val="0"/>
          <w:lang w:val="en-US"/>
        </w:rPr>
        <w:t xml:space="preserve">–– </w:t>
      </w:r>
      <w:r>
        <w:rPr>
          <w:rFonts w:ascii="Arial" w:hAnsi="Arial"/>
          <w:rtl w:val="0"/>
          <w:lang w:val="en-US"/>
        </w:rPr>
        <w:t>would share decision-making power.</w:t>
      </w:r>
      <w:r>
        <w:rPr>
          <w:rFonts w:ascii="Arial" w:cs="Arial" w:hAnsi="Arial" w:eastAsia="Arial"/>
          <w:vertAlign w:val="superscript"/>
          <w:rtl w:val="0"/>
        </w:rPr>
        <w:footnoteReference w:id="29"/>
      </w:r>
      <w:r>
        <w:rPr>
          <w:rFonts w:ascii="Arial" w:hAnsi="Arial"/>
          <w:rtl w:val="0"/>
          <w:lang w:val="en-US"/>
        </w:rPr>
        <w:t xml:space="preserve"> A similar position was taken with respect to monopolies. Nkrumah reasoned that it was impossible to 'avoid dealing with monopoly in some form or another'.</w:t>
      </w:r>
      <w:r>
        <w:rPr>
          <w:rFonts w:ascii="Arial" w:cs="Arial" w:hAnsi="Arial" w:eastAsia="Arial"/>
          <w:vertAlign w:val="superscript"/>
          <w:rtl w:val="0"/>
        </w:rPr>
        <w:footnoteReference w:id="30"/>
      </w:r>
      <w:r>
        <w:rPr>
          <w:rFonts w:ascii="Arial" w:hAnsi="Arial"/>
          <w:rtl w:val="0"/>
          <w:lang w:val="en-US"/>
        </w:rPr>
        <w:t xml:space="preserve"> In fact, so long as foreign investment was 'carefully regulated' he argued that it 'must be encouraged'. He thought this could be achieved with 'a continental code to govern foreign direct investment.'</w:t>
      </w:r>
      <w:r>
        <w:rPr>
          <w:rFonts w:ascii="Arial" w:cs="Arial" w:hAnsi="Arial" w:eastAsia="Arial"/>
          <w:vertAlign w:val="superscript"/>
          <w:rtl w:val="0"/>
        </w:rPr>
        <w:footnoteReference w:id="31"/>
      </w:r>
      <w:r>
        <w:rPr>
          <w:rFonts w:ascii="Arial" w:hAnsi="Arial"/>
          <w:rtl w:val="0"/>
          <w:lang w:val="en-US"/>
        </w:rPr>
        <w:t xml:space="preserve"> These critiques, and Nkrumah's corresponding proposals, feature prominently in the founding declarations of the NIEO. For example, in Section V, titled 'Regulation and Control Over the Activities of Transnational Corporations', the </w:t>
      </w:r>
      <w:r>
        <w:rPr>
          <w:rFonts w:ascii="Arial" w:hAnsi="Arial"/>
          <w:i w:val="1"/>
          <w:iCs w:val="1"/>
          <w:rtl w:val="0"/>
          <w:lang w:val="en-US"/>
        </w:rPr>
        <w:t>Program of Action</w:t>
      </w:r>
      <w:r>
        <w:rPr>
          <w:rFonts w:ascii="Arial" w:hAnsi="Arial"/>
          <w:rtl w:val="0"/>
          <w:lang w:val="en-US"/>
        </w:rPr>
        <w:t xml:space="preserve"> states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i w:val="1"/>
          <w:iCs w:val="1"/>
          <w:rtl w:val="0"/>
        </w:rPr>
      </w:pPr>
      <w:r>
        <w:rPr>
          <w:rFonts w:ascii="Arial" w:hAnsi="Arial"/>
          <w:i w:val="1"/>
          <w:iCs w:val="1"/>
          <w:rtl w:val="0"/>
          <w:lang w:val="en-US"/>
        </w:rPr>
        <w:t>'</w:t>
      </w:r>
      <w:r>
        <w:rPr>
          <w:rFonts w:ascii="Arial" w:hAnsi="Arial"/>
          <w:i w:val="1"/>
          <w:iCs w:val="1"/>
          <w:rtl w:val="0"/>
          <w:lang w:val="en-US"/>
        </w:rPr>
        <w:t>All efforts should be made to formulate, adopt and implement an international code of conduct for transnational corporations: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i w:val="1"/>
          <w:iCs w:val="1"/>
          <w:rtl w:val="0"/>
        </w:rPr>
      </w:pPr>
      <w:r>
        <w:rPr>
          <w:rFonts w:ascii="Arial" w:hAnsi="Arial"/>
          <w:i w:val="1"/>
          <w:iCs w:val="1"/>
          <w:rtl w:val="0"/>
          <w:lang w:val="en-US"/>
        </w:rPr>
        <w:t>(a) To prevent interference in the internal affairs of the countries where they operate and their collaboration with racist r</w:t>
      </w:r>
      <w:r>
        <w:rPr>
          <w:rFonts w:ascii="Arial" w:hAnsi="Arial" w:hint="default"/>
          <w:i w:val="1"/>
          <w:iCs w:val="1"/>
          <w:rtl w:val="0"/>
          <w:lang w:val="fr-FR"/>
        </w:rPr>
        <w:t>é</w:t>
      </w:r>
      <w:r>
        <w:rPr>
          <w:rFonts w:ascii="Arial" w:hAnsi="Arial"/>
          <w:i w:val="1"/>
          <w:iCs w:val="1"/>
          <w:rtl w:val="0"/>
          <w:lang w:val="en-US"/>
        </w:rPr>
        <w:t>gimes and</w:t>
      </w:r>
      <w:r>
        <w:rPr>
          <w:rFonts w:ascii="Arial" w:hAnsi="Arial"/>
          <w:i w:val="1"/>
          <w:iCs w:val="1"/>
          <w:rtl w:val="0"/>
          <w:lang w:val="en-US"/>
        </w:rPr>
        <w:t xml:space="preserve"> </w:t>
      </w:r>
      <w:r>
        <w:rPr>
          <w:rFonts w:ascii="Arial" w:hAnsi="Arial"/>
          <w:i w:val="1"/>
          <w:iCs w:val="1"/>
          <w:rtl w:val="0"/>
          <w:lang w:val="fr-FR"/>
        </w:rPr>
        <w:t>colonial administrations;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i w:val="1"/>
          <w:iCs w:val="1"/>
          <w:rtl w:val="0"/>
        </w:rPr>
      </w:pPr>
      <w:r>
        <w:rPr>
          <w:rFonts w:ascii="Arial" w:hAnsi="Arial"/>
          <w:i w:val="1"/>
          <w:iCs w:val="1"/>
          <w:rtl w:val="0"/>
          <w:lang w:val="en-US"/>
        </w:rPr>
        <w:t>(b) To regulate their activities in host countries, to eliminate restrictive business practices and to conform to the national development plans and ob</w:t>
      </w:r>
      <w:r>
        <w:rPr>
          <w:rFonts w:ascii="Arial" w:hAnsi="Arial"/>
          <w:i w:val="1"/>
          <w:iCs w:val="1"/>
          <w:rtl w:val="0"/>
          <w:lang w:val="en-US"/>
        </w:rPr>
        <w:t>j</w:t>
      </w:r>
      <w:r>
        <w:rPr>
          <w:rFonts w:ascii="Arial" w:hAnsi="Arial"/>
          <w:i w:val="1"/>
          <w:iCs w:val="1"/>
          <w:rtl w:val="0"/>
          <w:lang w:val="en-US"/>
        </w:rPr>
        <w:t>ectives of developing countries, and</w:t>
      </w:r>
      <w:r>
        <w:rPr>
          <w:rFonts w:ascii="Arial" w:hAnsi="Arial"/>
          <w:i w:val="1"/>
          <w:iCs w:val="1"/>
          <w:rtl w:val="0"/>
          <w:lang w:val="en-US"/>
        </w:rPr>
        <w:t xml:space="preserve"> </w:t>
      </w:r>
      <w:r>
        <w:rPr>
          <w:rFonts w:ascii="Arial" w:hAnsi="Arial"/>
          <w:i w:val="1"/>
          <w:iCs w:val="1"/>
          <w:rtl w:val="0"/>
          <w:lang w:val="en-US"/>
        </w:rPr>
        <w:t>in this context facilitate</w:t>
      </w:r>
      <w:r>
        <w:rPr>
          <w:rFonts w:ascii="Arial" w:hAnsi="Arial"/>
          <w:i w:val="1"/>
          <w:iCs w:val="1"/>
          <w:rtl w:val="0"/>
          <w:lang w:val="en-US"/>
        </w:rPr>
        <w:t xml:space="preserve">, </w:t>
      </w:r>
      <w:r>
        <w:rPr>
          <w:rFonts w:ascii="Arial" w:hAnsi="Arial"/>
          <w:i w:val="1"/>
          <w:iCs w:val="1"/>
          <w:rtl w:val="0"/>
          <w:lang w:val="en-US"/>
        </w:rPr>
        <w:t>as necessary, the review and revision of previously concluded arrangements;</w:t>
      </w:r>
      <w:r>
        <w:rPr>
          <w:rFonts w:ascii="Arial" w:hAnsi="Arial"/>
          <w:i w:val="1"/>
          <w:iCs w:val="1"/>
          <w:rtl w:val="0"/>
          <w:lang w:val="en-US"/>
        </w:rPr>
        <w:t>'</w:t>
      </w:r>
      <w:r>
        <w:rPr>
          <w:rFonts w:ascii="Arial" w:cs="Arial" w:hAnsi="Arial" w:eastAsia="Arial"/>
          <w:i w:val="1"/>
          <w:iCs w:val="1"/>
          <w:vertAlign w:val="superscript"/>
          <w:rtl w:val="0"/>
        </w:rPr>
        <w:footnoteReference w:id="32"/>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With their basis in international cooperation, Nkrumah's proposals allude to the NIEO's third ideological pillar, a historical critique of international law.</w:t>
      </w:r>
      <w:r>
        <w:rPr>
          <w:rFonts w:ascii="Arial" w:cs="Arial" w:hAnsi="Arial" w:eastAsia="Arial"/>
          <w:vertAlign w:val="superscript"/>
          <w:rtl w:val="0"/>
        </w:rPr>
        <w:footnoteReference w:id="33"/>
      </w:r>
      <w:r>
        <w:rPr>
          <w:rFonts w:ascii="Arial" w:hAnsi="Arial"/>
          <w:rtl w:val="0"/>
          <w:lang w:val="en-US"/>
        </w:rPr>
        <w:t xml:space="preserve"> This was best explained by the Algerian jurist and diplomat, Mohammed Bedjaoui, who was an active participant in the NIEO.</w:t>
      </w:r>
      <w:r>
        <w:rPr>
          <w:rFonts w:ascii="Arial" w:cs="Arial" w:hAnsi="Arial" w:eastAsia="Arial"/>
          <w:vertAlign w:val="superscript"/>
          <w:rtl w:val="0"/>
        </w:rPr>
        <w:footnoteReference w:id="34"/>
      </w:r>
      <w:r>
        <w:rPr>
          <w:rFonts w:ascii="Arial" w:hAnsi="Arial"/>
          <w:rtl w:val="0"/>
          <w:lang w:val="en-US"/>
        </w:rPr>
        <w:t xml:space="preserve"> </w:t>
      </w:r>
      <w:r>
        <w:rPr>
          <w:rFonts w:ascii="Arial" w:hAnsi="Arial"/>
          <w:rtl w:val="0"/>
          <w:lang w:val="en-US"/>
        </w:rPr>
        <w:t>Unlike Prebisch and Nkrumah, Bedjaoui</w:t>
      </w:r>
      <w:r>
        <w:rPr>
          <w:rFonts w:ascii="Arial" w:hAnsi="Arial" w:hint="default"/>
          <w:rtl w:val="1"/>
        </w:rPr>
        <w:t>’</w:t>
      </w:r>
      <w:r>
        <w:rPr>
          <w:rFonts w:ascii="Arial" w:hAnsi="Arial"/>
          <w:rtl w:val="0"/>
          <w:lang w:val="en-US"/>
        </w:rPr>
        <w:t xml:space="preserve">s work did not form part of the underlying ideas of the NIEO in the sense that its publication preceded the project. </w:t>
      </w:r>
      <w:r>
        <w:rPr>
          <w:rFonts w:ascii="Arial" w:hAnsi="Arial"/>
          <w:rtl w:val="0"/>
          <w:lang w:val="en-US"/>
        </w:rPr>
        <w:t xml:space="preserve">Rather, published in 1979, his </w:t>
      </w:r>
      <w:r>
        <w:rPr>
          <w:rFonts w:ascii="Arial" w:hAnsi="Arial"/>
          <w:i w:val="1"/>
          <w:iCs w:val="1"/>
          <w:rtl w:val="0"/>
          <w:lang w:val="en-US"/>
        </w:rPr>
        <w:t>Towards a New International Economic Order</w:t>
      </w:r>
      <w:r>
        <w:rPr>
          <w:rFonts w:ascii="Arial" w:hAnsi="Arial"/>
          <w:rtl w:val="0"/>
          <w:lang w:val="en-US"/>
        </w:rPr>
        <w:t xml:space="preserve"> was a reflection on the project's praxis.</w:t>
      </w:r>
      <w:r>
        <w:rPr>
          <w:rFonts w:ascii="Arial" w:cs="Arial" w:hAnsi="Arial" w:eastAsia="Arial"/>
          <w:vertAlign w:val="superscript"/>
          <w:rtl w:val="0"/>
        </w:rPr>
        <w:footnoteReference w:id="35"/>
      </w:r>
      <w:r>
        <w:rPr>
          <w:rFonts w:ascii="Arial" w:hAnsi="Arial"/>
          <w:rtl w:val="0"/>
          <w:lang w:val="en-US"/>
        </w:rPr>
        <w:t xml:space="preserve"> In accordance with Prebisch, Bedjaoui described 'the declining terms of trade' as 'the new form of slavery of modern times'. Like Nkrumah, Bedjaoui understood international law as a tool of neo-colonialism, writing that the formal equality of sovereign states hid the continued structural exploitation first begun in the colonial era</w:t>
      </w:r>
      <w:r>
        <w:rPr>
          <w:rFonts w:ascii="Arial" w:hAnsi="Arial"/>
          <w:rtl w:val="0"/>
        </w:rPr>
        <w:t>.</w:t>
      </w:r>
      <w:r>
        <w:rPr>
          <w:rFonts w:ascii="Arial" w:cs="Arial" w:hAnsi="Arial" w:eastAsia="Arial"/>
          <w:vertAlign w:val="superscript"/>
          <w:rtl w:val="0"/>
        </w:rPr>
        <w:footnoteReference w:id="36"/>
      </w:r>
      <w:r>
        <w:rPr>
          <w:rFonts w:ascii="Arial" w:hAnsi="Arial"/>
          <w:rtl w:val="0"/>
          <w:lang w:val="en-US"/>
        </w:rPr>
        <w:t xml:space="preserve"> By becoming formally sovereign, postcolonial governments entered an international law written by their former colonial masters.</w:t>
      </w:r>
      <w:r>
        <w:rPr>
          <w:rFonts w:ascii="Arial" w:cs="Arial" w:hAnsi="Arial" w:eastAsia="Arial"/>
          <w:vertAlign w:val="superscript"/>
          <w:rtl w:val="0"/>
        </w:rPr>
        <w:footnoteReference w:id="37"/>
      </w:r>
      <w:r>
        <w:rPr>
          <w:rFonts w:ascii="Arial" w:hAnsi="Arial"/>
          <w:rtl w:val="0"/>
          <w:lang w:val="en-US"/>
        </w:rPr>
        <w:t xml:space="preserve"> This meant that, legally, G77 state elites had to honour contracts made with global monopolies, even if these contracts had been signed by their former colonial masters.</w:t>
      </w:r>
      <w:r>
        <w:rPr>
          <w:rFonts w:ascii="Arial" w:cs="Arial" w:hAnsi="Arial" w:eastAsia="Arial"/>
          <w:vertAlign w:val="superscript"/>
          <w:rtl w:val="0"/>
        </w:rPr>
        <w:footnoteReference w:id="38"/>
      </w:r>
      <w:r>
        <w:rPr>
          <w:rFonts w:ascii="Arial" w:hAnsi="Arial"/>
          <w:rtl w:val="0"/>
          <w:lang w:val="en-US"/>
        </w:rPr>
        <w:t xml:space="preserve"> Thus, despite all pretences, international law legitimised neo-colonial disorder, or what Bedjaoui called 'the international order of poverty'.</w:t>
      </w:r>
      <w:r>
        <w:rPr>
          <w:rFonts w:ascii="Arial" w:cs="Arial" w:hAnsi="Arial" w:eastAsia="Arial"/>
          <w:vertAlign w:val="superscript"/>
          <w:rtl w:val="0"/>
        </w:rPr>
        <w:footnoteReference w:id="39"/>
      </w:r>
      <w:r>
        <w:rPr>
          <w:rFonts w:ascii="Arial" w:hAnsi="Arial"/>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Still, Bedjaoui's work injected a sense of possibility. International law 'was an obstacle to decolonization', but decolonization 'represents a stimulus to the transformation of that law.'</w:t>
      </w:r>
      <w:r>
        <w:rPr>
          <w:rFonts w:ascii="Arial" w:cs="Arial" w:hAnsi="Arial" w:eastAsia="Arial"/>
          <w:vertAlign w:val="superscript"/>
          <w:rtl w:val="0"/>
        </w:rPr>
        <w:footnoteReference w:id="40"/>
      </w:r>
      <w:r>
        <w:rPr>
          <w:rFonts w:ascii="Arial" w:hAnsi="Arial"/>
          <w:rtl w:val="0"/>
          <w:lang w:val="en-US"/>
        </w:rPr>
        <w:t xml:space="preserve"> This was the task of the NIEO, not to oppose the principles and institutions of international law, but to use and fulfil them, via a new wave of decolonisation that would empower states with full economic sovereignty over their natural resources. Here, it is worth quoting Bedjaoui at length: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567" w:firstLine="0"/>
        <w:jc w:val="left"/>
        <w:rPr>
          <w:rFonts w:ascii="Arial" w:cs="Arial" w:hAnsi="Arial" w:eastAsia="Arial"/>
          <w:i w:val="1"/>
          <w:iCs w:val="1"/>
          <w:rtl w:val="0"/>
        </w:rPr>
      </w:pPr>
      <w:r>
        <w:rPr>
          <w:rFonts w:ascii="Arial" w:hAnsi="Arial"/>
          <w:i w:val="1"/>
          <w:iCs w:val="1"/>
          <w:rtl w:val="0"/>
          <w:lang w:val="en-US"/>
        </w:rPr>
        <w:t>'</w:t>
      </w:r>
      <w:r>
        <w:rPr>
          <w:rFonts w:ascii="Arial" w:hAnsi="Arial"/>
          <w:i w:val="1"/>
          <w:iCs w:val="1"/>
          <w:rtl w:val="0"/>
          <w:lang w:val="en-US"/>
        </w:rPr>
        <w:t>Formal and fictitious sovereignty was bound to remain an institutional mirage so long as there was not a modern conception of sovereignty incorporating the dimension of economic independence. The Third World has also become aware that if the principle of sovereign equality between States is really to be rid of all its illusions, it must be formulated afresh so as to restore to each State the basic elements of its national independence on the economic level. With this end in view, the principle of economic independence, invested with a crucial new legal function, and thus raised to the rank of a principle of modern international law, must in particular be reflected in the right of peoples and States to dispose of their own natural resources, in the prohibition of all forms of illegitimate interference in their economic affairs, and in the banning from international economic affairs of force and all other forms of constraint. That indeed is the outline of a new international economic order.</w:t>
      </w:r>
      <w:r>
        <w:rPr>
          <w:rFonts w:ascii="Arial" w:hAnsi="Arial" w:hint="default"/>
          <w:i w:val="1"/>
          <w:iCs w:val="1"/>
          <w:rtl w:val="1"/>
        </w:rPr>
        <w:t>’</w:t>
      </w:r>
      <w:r>
        <w:rPr>
          <w:rFonts w:ascii="Arial" w:cs="Arial" w:hAnsi="Arial" w:eastAsia="Arial"/>
          <w:i w:val="1"/>
          <w:iCs w:val="1"/>
          <w:vertAlign w:val="superscript"/>
          <w:rtl w:val="0"/>
        </w:rPr>
        <w:footnoteReference w:id="41"/>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Here, Bedjaoui shows how the three core ideas of the NIEO were related in practice. The declining terms of trade, as Nkrumah argued, underpinned a neo-colonial system, where formal sovereignty is used to hide a continuation of external control. This was legitimised by international law, which newly-independent state elites were forced to agree to as a condition of independence. G77 elites challenged this 'through the exercise of permanent sovereignty over natural resources'.</w:t>
      </w:r>
      <w:r>
        <w:rPr>
          <w:rFonts w:ascii="Arial" w:cs="Arial" w:hAnsi="Arial" w:eastAsia="Arial"/>
          <w:vertAlign w:val="superscript"/>
          <w:rtl w:val="0"/>
        </w:rPr>
        <w:footnoteReference w:id="42"/>
      </w:r>
      <w:r>
        <w:rPr>
          <w:rFonts w:ascii="Arial" w:hAnsi="Arial"/>
          <w:rtl w:val="0"/>
          <w:lang w:val="en-US"/>
        </w:rPr>
        <w:t xml:space="preserve"> This was attempted materially and legally. By quadrupling the price of oil, OPEC elites were acting in accordance with the principle of permanent sovereignty over their natural resources. Then </w:t>
      </w:r>
      <w:r>
        <w:rPr>
          <w:rFonts w:ascii="Arial" w:hAnsi="Arial" w:hint="default"/>
          <w:rtl w:val="0"/>
          <w:lang w:val="en-US"/>
        </w:rPr>
        <w:t xml:space="preserve">–– </w:t>
      </w:r>
      <w:r>
        <w:rPr>
          <w:rFonts w:ascii="Arial" w:hAnsi="Arial"/>
          <w:rtl w:val="0"/>
          <w:lang w:val="en-US"/>
        </w:rPr>
        <w:t xml:space="preserve">as the G77 </w:t>
      </w:r>
      <w:r>
        <w:rPr>
          <w:rFonts w:ascii="Arial" w:hAnsi="Arial" w:hint="default"/>
          <w:rtl w:val="0"/>
          <w:lang w:val="en-US"/>
        </w:rPr>
        <w:t xml:space="preserve">–– </w:t>
      </w:r>
      <w:r>
        <w:rPr>
          <w:rFonts w:ascii="Arial" w:hAnsi="Arial"/>
          <w:rtl w:val="0"/>
          <w:lang w:val="en-US"/>
        </w:rPr>
        <w:t xml:space="preserve">oil-importing and oil-exporting states worked together to legitimise this action legally.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They did this by passing the founding documents of the New International Economic Order at the Sixth Special Session of the UN General Assembly.</w:t>
      </w:r>
      <w:r>
        <w:rPr>
          <w:rFonts w:ascii="Arial" w:cs="Arial" w:hAnsi="Arial" w:eastAsia="Arial"/>
          <w:vertAlign w:val="superscript"/>
          <w:rtl w:val="0"/>
        </w:rPr>
        <w:footnoteReference w:id="43"/>
      </w:r>
      <w:r>
        <w:rPr>
          <w:rFonts w:ascii="Arial" w:hAnsi="Arial"/>
          <w:rtl w:val="0"/>
          <w:lang w:val="en-US"/>
        </w:rPr>
        <w:t xml:space="preserve"> The use of the United Nations was deliberate, and directly related to the NIEO's core ideology. For the General Assembly was an institution built on the founding principle of the sovereign equality of states. There, each member had the same voting rights, something the G77 wanted to extend to all areas of global governance.</w:t>
      </w:r>
      <w:r>
        <w:rPr>
          <w:rFonts w:ascii="Arial" w:cs="Arial" w:hAnsi="Arial" w:eastAsia="Arial"/>
          <w:vertAlign w:val="superscript"/>
          <w:rtl w:val="0"/>
        </w:rPr>
        <w:footnoteReference w:id="44"/>
      </w:r>
      <w:r>
        <w:rPr>
          <w:rFonts w:ascii="Arial" w:hAnsi="Arial"/>
          <w:rtl w:val="0"/>
          <w:lang w:val="en-US"/>
        </w:rPr>
        <w:t xml:space="preserve"> Thus, the NIEO was not just a set of documents laying out practical reforms to world order. It was a praxis. By acting in solidarity, the G77 created its proposals for a New International Economic Order, and it used these as the basis from which to build a consensus within the United Nations. In this action itself, G77 elites presented a new means, or option, of rebuilding the post-WWII world order. It would be reconstructed from within its own institutions, and in accordance with its own unfulfilled principles.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b w:val="1"/>
          <w:bCs w:val="1"/>
          <w:rtl w:val="0"/>
        </w:rPr>
      </w:pPr>
      <w:r>
        <w:rPr>
          <w:rFonts w:ascii="Arial" w:hAnsi="Arial"/>
          <w:b w:val="1"/>
          <w:bCs w:val="1"/>
          <w:rtl w:val="0"/>
          <w:lang w:val="en-US"/>
        </w:rPr>
        <w:t>The collapse of the old and the struggle for the new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Still, none of this was new. The praxis was developed in the 1960s, within the United Nations Conference on Trade and Development (UNCTAD).</w:t>
      </w:r>
      <w:r>
        <w:rPr>
          <w:rFonts w:ascii="Arial" w:cs="Arial" w:hAnsi="Arial" w:eastAsia="Arial"/>
          <w:vertAlign w:val="superscript"/>
          <w:rtl w:val="0"/>
        </w:rPr>
        <w:footnoteReference w:id="45"/>
      </w:r>
      <w:r>
        <w:rPr>
          <w:rFonts w:ascii="Arial" w:hAnsi="Arial"/>
          <w:rtl w:val="0"/>
          <w:lang w:val="en-US"/>
        </w:rPr>
        <w:t xml:space="preserve"> It was there, in the first joint declaration of the G77, that calls were made for '</w:t>
      </w:r>
      <w:r>
        <w:rPr>
          <w:rFonts w:ascii="Arial" w:hAnsi="Arial"/>
          <w:rtl w:val="0"/>
          <w:lang w:val="en-US"/>
        </w:rPr>
        <w:t>creating a new and just world economic order</w:t>
      </w:r>
      <w:r>
        <w:rPr>
          <w:rFonts w:ascii="Arial" w:hAnsi="Arial"/>
          <w:rtl w:val="0"/>
          <w:lang w:val="en-US"/>
        </w:rPr>
        <w:t>'.</w:t>
      </w:r>
      <w:r>
        <w:rPr>
          <w:rFonts w:ascii="Arial" w:cs="Arial" w:hAnsi="Arial" w:eastAsia="Arial"/>
          <w:vertAlign w:val="superscript"/>
          <w:rtl w:val="0"/>
        </w:rPr>
        <w:footnoteReference w:id="46"/>
      </w:r>
      <w:r>
        <w:rPr>
          <w:rFonts w:ascii="Arial" w:hAnsi="Arial"/>
          <w:rtl w:val="0"/>
          <w:lang w:val="en-US"/>
        </w:rPr>
        <w:t xml:space="preserve"> What changed in the early 1970s was the collapse of the post-WWII Bretton Woods system. Thanks to declining US industrial productivity, and massive spending on genocidal imperialism in Vietnam, US elites could no longer afford to exchange dollars for a fixed quantity of gold, which was the basis of Bretton Woods system of fixed exchange rates. In 1971 Nixon decided </w:t>
      </w:r>
      <w:r>
        <w:rPr>
          <w:rFonts w:ascii="Arial" w:hAnsi="Arial" w:hint="default"/>
          <w:rtl w:val="0"/>
          <w:lang w:val="en-US"/>
        </w:rPr>
        <w:t xml:space="preserve">–– </w:t>
      </w:r>
      <w:r>
        <w:rPr>
          <w:rFonts w:ascii="Arial" w:hAnsi="Arial"/>
          <w:rtl w:val="0"/>
          <w:lang w:val="en-US"/>
        </w:rPr>
        <w:t xml:space="preserve">unilaterally </w:t>
      </w:r>
      <w:r>
        <w:rPr>
          <w:rFonts w:ascii="Arial" w:hAnsi="Arial" w:hint="default"/>
          <w:rtl w:val="0"/>
          <w:lang w:val="en-US"/>
        </w:rPr>
        <w:t xml:space="preserve">–– </w:t>
      </w:r>
      <w:r>
        <w:rPr>
          <w:rFonts w:ascii="Arial" w:hAnsi="Arial"/>
          <w:rtl w:val="0"/>
          <w:lang w:val="en-US"/>
        </w:rPr>
        <w:t>to delink the dollar from gold. This kickstarted an attempt by global elites to create a new international monetary system.</w:t>
      </w:r>
      <w:r>
        <w:rPr>
          <w:rFonts w:ascii="Arial" w:cs="Arial" w:hAnsi="Arial" w:eastAsia="Arial"/>
          <w:vertAlign w:val="superscript"/>
          <w:rtl w:val="0"/>
        </w:rPr>
        <w:footnoteReference w:id="47"/>
      </w:r>
      <w:r>
        <w:rPr>
          <w:rFonts w:ascii="Arial" w:hAnsi="Arial"/>
          <w:rtl w:val="0"/>
          <w:lang w:val="en-US"/>
        </w:rPr>
        <w:t xml:space="preserve"> Beginning with Smithsonian Agreement in 1971, global elites agreed on a new, temporary system of fixed-but-adjustable exchange rates. In the meantime, the IMF tried to design a new system, one which addressed the massive imbalances of trade that had brought down the original Bretton Woods.</w:t>
      </w:r>
      <w:r>
        <w:rPr>
          <w:rFonts w:ascii="Arial" w:hAnsi="Arial"/>
          <w:b w:val="1"/>
          <w:bCs w:val="1"/>
          <w:rtl w:val="0"/>
          <w:lang w:val="en-US"/>
        </w:rPr>
        <w:t xml:space="preserve"> </w:t>
      </w:r>
      <w:r>
        <w:rPr>
          <w:rFonts w:ascii="Arial" w:hAnsi="Arial"/>
          <w:rtl w:val="0"/>
          <w:lang w:val="en-US"/>
        </w:rPr>
        <w:t>As the IMF then recognised, the global monetary system required wholesale change: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i w:val="1"/>
          <w:iCs w:val="1"/>
          <w:rtl w:val="0"/>
        </w:rPr>
      </w:pPr>
      <w:r>
        <w:rPr>
          <w:rFonts w:ascii="Arial" w:hAnsi="Arial"/>
          <w:i w:val="1"/>
          <w:iCs w:val="1"/>
          <w:rtl w:val="0"/>
          <w:lang w:val="en-US"/>
        </w:rPr>
        <w:t>'The reform of the system, if it is to be worthwhile, will have to be radical. It will have to involve a quantum jump into a new system, not merely attempts at improvement of certain features of the present system. A reform of so wide a scope is, of course, difficult to envisage. It will entail changes in existing practices, the need for which may not seem obvious in itself but that are necessary from the point of view of the system as a whole. The reform will also have to take into account the diverse positions and interests of different groups of Fund members.'</w:t>
      </w:r>
      <w:r>
        <w:rPr>
          <w:rFonts w:ascii="Arial" w:cs="Arial" w:hAnsi="Arial" w:eastAsia="Arial"/>
          <w:i w:val="1"/>
          <w:iCs w:val="1"/>
          <w:vertAlign w:val="superscript"/>
          <w:rtl w:val="0"/>
        </w:rPr>
        <w:footnoteReference w:id="48"/>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i w:val="1"/>
          <w:iCs w:val="1"/>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Representatives from the Global South played a key part in these negotiations, acting within the IMF's Committee of 20 (C20).</w:t>
      </w:r>
      <w:r>
        <w:rPr>
          <w:rFonts w:ascii="Arial" w:cs="Arial" w:hAnsi="Arial" w:eastAsia="Arial"/>
          <w:vertAlign w:val="superscript"/>
          <w:rtl w:val="0"/>
        </w:rPr>
        <w:footnoteReference w:id="49"/>
      </w:r>
      <w:r>
        <w:rPr>
          <w:rFonts w:ascii="Arial" w:hAnsi="Arial"/>
          <w:rtl w:val="0"/>
          <w:lang w:val="en-US"/>
        </w:rPr>
        <w:t xml:space="preserve"> They agreed with elites in Europe and Japan that the new system should displace the dollar as the international reserve asset.</w:t>
      </w:r>
      <w:r>
        <w:rPr>
          <w:rFonts w:ascii="Arial" w:cs="Arial" w:hAnsi="Arial" w:eastAsia="Arial"/>
          <w:vertAlign w:val="superscript"/>
          <w:rtl w:val="0"/>
        </w:rPr>
        <w:footnoteReference w:id="50"/>
      </w:r>
      <w:r>
        <w:rPr>
          <w:rFonts w:ascii="Arial" w:hAnsi="Arial"/>
          <w:rtl w:val="0"/>
          <w:lang w:val="en-US"/>
        </w:rPr>
        <w:t xml:space="preserve"> In its place would stand the IMF's Special Drawing Rights (SDR). By being managed by international agreement, it was hoped the SDR could be designed to mitigate against international trade imbalances.</w:t>
      </w:r>
      <w:r>
        <w:rPr>
          <w:rFonts w:ascii="Arial" w:cs="Arial" w:hAnsi="Arial" w:eastAsia="Arial"/>
          <w:vertAlign w:val="superscript"/>
          <w:rtl w:val="0"/>
        </w:rPr>
        <w:footnoteReference w:id="51"/>
      </w:r>
      <w:r>
        <w:rPr>
          <w:rFonts w:ascii="Arial" w:hAnsi="Arial"/>
          <w:rtl w:val="0"/>
          <w:lang w:val="en-US"/>
        </w:rPr>
        <w:t xml:space="preserve"> Representatives from the G77 agreed, but wanted new issues of SDRs to flow directly to developing states in need of balance of trade financing.</w:t>
      </w:r>
      <w:r>
        <w:rPr>
          <w:rFonts w:ascii="Arial" w:cs="Arial" w:hAnsi="Arial" w:eastAsia="Arial"/>
          <w:vertAlign w:val="superscript"/>
          <w:rtl w:val="0"/>
        </w:rPr>
        <w:footnoteReference w:id="52"/>
      </w:r>
      <w:r>
        <w:rPr>
          <w:rFonts w:ascii="Arial" w:hAnsi="Arial"/>
          <w:rtl w:val="0"/>
          <w:lang w:val="en-US"/>
        </w:rPr>
        <w:t xml:space="preserve"> These reform efforts reflected the continued dominance of a Keynesian-esque 'embedded liberal' consensus amongst global elites. The majority of central bankers, finance ministers, and world leaders associated floating exchange rates with 1930s-style</w:t>
      </w:r>
      <w:r>
        <w:rPr>
          <w:rFonts w:ascii="Arial" w:hAnsi="Arial"/>
          <w:b w:val="1"/>
          <w:bCs w:val="1"/>
          <w:i w:val="1"/>
          <w:iCs w:val="1"/>
          <w:rtl w:val="0"/>
          <w:lang w:val="en-US"/>
        </w:rPr>
        <w:t xml:space="preserve"> </w:t>
      </w:r>
      <w:r>
        <w:rPr>
          <w:rFonts w:ascii="Arial" w:hAnsi="Arial"/>
          <w:rtl w:val="0"/>
          <w:lang w:val="en-US"/>
        </w:rPr>
        <w:t>financial chaos.</w:t>
      </w:r>
      <w:r>
        <w:rPr>
          <w:rFonts w:ascii="Arial" w:cs="Arial" w:hAnsi="Arial" w:eastAsia="Arial"/>
          <w:vertAlign w:val="superscript"/>
          <w:rtl w:val="0"/>
        </w:rPr>
        <w:footnoteReference w:id="53"/>
      </w:r>
      <w:r>
        <w:rPr>
          <w:rFonts w:ascii="Arial" w:hAnsi="Arial"/>
          <w:b w:val="1"/>
          <w:bCs w:val="1"/>
          <w:i w:val="1"/>
          <w:iCs w:val="1"/>
          <w:rtl w:val="0"/>
          <w:lang w:val="en-US"/>
        </w:rPr>
        <w:t xml:space="preserve"> </w:t>
      </w:r>
      <w:r>
        <w:rPr>
          <w:rFonts w:ascii="Arial" w:hAnsi="Arial"/>
          <w:rtl w:val="0"/>
          <w:lang w:val="en-US"/>
        </w:rPr>
        <w:t xml:space="preserve">What's more, the breakdown of global embedded liberalism was wreaking havoc on domestic economies. Even those US elites who supported floating rates required some form of international cooperation, and so proposed trilateral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coordination of fiscal and monetary policy with Germany and Japan.</w:t>
      </w:r>
      <w:r>
        <w:rPr>
          <w:rFonts w:ascii="Arial" w:cs="Arial" w:hAnsi="Arial" w:eastAsia="Arial"/>
          <w:vertAlign w:val="superscript"/>
          <w:rtl w:val="0"/>
        </w:rPr>
        <w:footnoteReference w:id="54"/>
      </w:r>
      <w:r>
        <w:rPr>
          <w:rFonts w:ascii="Arial" w:hAnsi="Arial"/>
          <w:rtl w:val="0"/>
          <w:lang w:val="en-US"/>
        </w:rPr>
        <w:t xml:space="preserve"> Like good Leninists, all global elites knew that there could be no Keynesianism, nor capitalism, in one country.</w:t>
      </w:r>
      <w:r>
        <w:rPr>
          <w:rFonts w:ascii="Arial" w:cs="Arial" w:hAnsi="Arial" w:eastAsia="Arial"/>
          <w:vertAlign w:val="superscript"/>
          <w:rtl w:val="0"/>
        </w:rPr>
        <w:footnoteReference w:id="55"/>
      </w:r>
      <w:r>
        <w:rPr>
          <w:rFonts w:ascii="Arial" w:hAnsi="Arial"/>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This context is important. It shows that the NIEO was not some utopian plea that G77 elites tried to ram through the United Nations. It was an intervention into a global reform effort that was already taking place. Indeed, it was taking place because </w:t>
      </w:r>
      <w:r>
        <w:rPr>
          <w:rFonts w:ascii="Arial" w:hAnsi="Arial" w:hint="default"/>
          <w:rtl w:val="0"/>
          <w:lang w:val="en-US"/>
        </w:rPr>
        <w:t xml:space="preserve">–– </w:t>
      </w:r>
      <w:r>
        <w:rPr>
          <w:rFonts w:ascii="Arial" w:hAnsi="Arial"/>
          <w:rtl w:val="0"/>
          <w:lang w:val="en-US"/>
        </w:rPr>
        <w:t xml:space="preserve">at the time </w:t>
      </w:r>
      <w:r>
        <w:rPr>
          <w:rFonts w:ascii="Arial" w:hAnsi="Arial" w:hint="default"/>
          <w:rtl w:val="0"/>
          <w:lang w:val="en-US"/>
        </w:rPr>
        <w:t xml:space="preserve">–– </w:t>
      </w:r>
      <w:r>
        <w:rPr>
          <w:rFonts w:ascii="Arial" w:hAnsi="Arial"/>
          <w:rtl w:val="0"/>
          <w:lang w:val="en-US"/>
        </w:rPr>
        <w:t>elites from all states believed in the need for some form of new international economic order. This had a direct bearing on the founding declarations of the NIEO, which stated that the '</w:t>
      </w:r>
      <w:r>
        <w:rPr>
          <w:rFonts w:ascii="Arial" w:hAnsi="Arial"/>
          <w:rtl w:val="0"/>
          <w:lang w:val="en-US"/>
        </w:rPr>
        <w:t>present international economic order is in direct conflict with current developments in international political and economic relations.</w:t>
      </w:r>
      <w:r>
        <w:rPr>
          <w:rFonts w:ascii="Arial" w:hAnsi="Arial"/>
          <w:rtl w:val="0"/>
          <w:lang w:val="en-US"/>
        </w:rPr>
        <w:t>'</w:t>
      </w:r>
      <w:r>
        <w:rPr>
          <w:rFonts w:ascii="Arial" w:cs="Arial" w:hAnsi="Arial" w:eastAsia="Arial"/>
          <w:vertAlign w:val="superscript"/>
          <w:rtl w:val="0"/>
        </w:rPr>
        <w:footnoteReference w:id="56"/>
      </w:r>
      <w:r>
        <w:rPr>
          <w:rFonts w:ascii="Arial" w:hAnsi="Arial"/>
          <w:rtl w:val="0"/>
          <w:lang w:val="en-US"/>
        </w:rPr>
        <w:t xml:space="preserve"> Thus, while the G77's focus was on overthrowing neo-colonialism and the declining terms of trade, the NIEO also had urgent, and immediate goals. It was envisioned as a means of solving the global economic crisis, as it affected all economies, including those in the so-called advanced industrial core. This was stated explicitly in the NIEO's founding declarations: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rtl w:val="0"/>
        </w:rPr>
      </w:pPr>
      <w:r>
        <w:rPr>
          <w:rFonts w:ascii="Arial" w:hAnsi="Arial"/>
          <w:rtl w:val="0"/>
          <w:lang w:val="en-US"/>
        </w:rPr>
        <w:t>'</w:t>
      </w:r>
      <w:r>
        <w:rPr>
          <w:rFonts w:ascii="Arial" w:hAnsi="Arial"/>
          <w:rtl w:val="0"/>
          <w:lang w:val="en-US"/>
        </w:rPr>
        <w:t>All these changes have thrust into prominence the reality of interdependence of all the members of the world community. Current events have brought into sharp focus the realization that the interests of the developed countries and those of the developing countries can no longer be isolated from each other, that there is a close interrelationship between the prosperity of the developed countries and the growth and development of the developing countries, and that the prosperity of the international community as a whole depends upon the prosperity of its constituent parts. International co-operation for development is the shared goal and common duty of all countries.</w:t>
      </w:r>
      <w:r>
        <w:rPr>
          <w:rFonts w:ascii="Arial" w:hAnsi="Arial"/>
          <w:rtl w:val="0"/>
          <w:lang w:val="en-US"/>
        </w:rPr>
        <w:t>'</w:t>
      </w:r>
      <w:r>
        <w:rPr>
          <w:rFonts w:ascii="Arial" w:cs="Arial" w:hAnsi="Arial" w:eastAsia="Arial"/>
          <w:vertAlign w:val="superscript"/>
          <w:rtl w:val="0"/>
        </w:rPr>
        <w:footnoteReference w:id="57"/>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The problem for the G77 was that by late 1973 negotiations within the IMF had broken down.</w:t>
      </w:r>
      <w:r>
        <w:rPr>
          <w:rFonts w:ascii="Arial" w:cs="Arial" w:hAnsi="Arial" w:eastAsia="Arial"/>
          <w:vertAlign w:val="superscript"/>
          <w:rtl w:val="0"/>
        </w:rPr>
        <w:footnoteReference w:id="58"/>
      </w:r>
      <w:r>
        <w:rPr>
          <w:rFonts w:ascii="Arial" w:hAnsi="Arial"/>
          <w:rtl w:val="0"/>
          <w:lang w:val="en-US"/>
        </w:rPr>
        <w:t xml:space="preserve"> The reforms designed by the Committee of 20 were intended to support the new system of fixed exchange rates established with the Smithsonian Agreement in 1971.</w:t>
      </w:r>
      <w:r>
        <w:rPr>
          <w:rFonts w:ascii="Arial" w:cs="Arial" w:hAnsi="Arial" w:eastAsia="Arial"/>
          <w:vertAlign w:val="superscript"/>
          <w:rtl w:val="0"/>
        </w:rPr>
        <w:footnoteReference w:id="59"/>
      </w:r>
      <w:r>
        <w:rPr>
          <w:rFonts w:ascii="Arial" w:hAnsi="Arial"/>
          <w:rtl w:val="0"/>
          <w:lang w:val="en-US"/>
        </w:rPr>
        <w:t xml:space="preserve"> When this system of fixed-but-adjustable rates broke down, key European states floated their currencies.</w:t>
      </w:r>
      <w:r>
        <w:rPr>
          <w:rFonts w:ascii="Arial" w:cs="Arial" w:hAnsi="Arial" w:eastAsia="Arial"/>
          <w:vertAlign w:val="superscript"/>
          <w:rtl w:val="0"/>
        </w:rPr>
        <w:footnoteReference w:id="60"/>
      </w:r>
      <w:r>
        <w:rPr>
          <w:rFonts w:ascii="Arial" w:hAnsi="Arial"/>
          <w:rtl w:val="0"/>
          <w:lang w:val="en-US"/>
        </w:rPr>
        <w:t xml:space="preserve"> In response, the IMF shifted its focus from 'radical' reform to an 'evolutionary' approach.</w:t>
      </w:r>
      <w:r>
        <w:rPr>
          <w:rFonts w:ascii="Arial" w:cs="Arial" w:hAnsi="Arial" w:eastAsia="Arial"/>
          <w:vertAlign w:val="superscript"/>
          <w:rtl w:val="0"/>
        </w:rPr>
        <w:footnoteReference w:id="61"/>
      </w:r>
      <w:r>
        <w:rPr>
          <w:rFonts w:ascii="Arial" w:hAnsi="Arial"/>
          <w:rtl w:val="0"/>
          <w:lang w:val="en-US"/>
        </w:rPr>
        <w:t xml:space="preserve"> Most world leaders still supported the establishment of a new, Bretton-Woods-style system of fixed exchange rates, but now believed it should be achieved gradually. It would emerge, they said, from temporary experimentation with floating exchange rates.</w:t>
      </w:r>
      <w:r>
        <w:rPr>
          <w:rFonts w:ascii="Arial" w:cs="Arial" w:hAnsi="Arial" w:eastAsia="Arial"/>
          <w:vertAlign w:val="superscript"/>
          <w:rtl w:val="0"/>
        </w:rPr>
        <w:footnoteReference w:id="62"/>
      </w:r>
      <w:r>
        <w:rPr>
          <w:rFonts w:ascii="Arial" w:hAnsi="Arial"/>
          <w:rtl w:val="0"/>
          <w:lang w:val="en-US"/>
        </w:rPr>
        <w:t xml:space="preserve"> Leaders from the Global South were not convinced. As noted by the IMF's official historian, they feared that '</w:t>
      </w:r>
      <w:r>
        <w:rPr>
          <w:rFonts w:ascii="Arial" w:hAnsi="Arial"/>
          <w:rtl w:val="0"/>
          <w:lang w:val="en-US"/>
        </w:rPr>
        <w:t>industrial members, facilitated by floating exchange rates, were pursuing highly inflationary policies and that when these members applied the brakes to such policies the worst recession since World War II would occur.</w:t>
      </w:r>
      <w:r>
        <w:rPr>
          <w:rFonts w:ascii="Arial" w:hAnsi="Arial" w:hint="default"/>
          <w:rtl w:val="1"/>
        </w:rPr>
        <w:t>’</w:t>
      </w:r>
      <w:r>
        <w:rPr>
          <w:rFonts w:ascii="Arial" w:cs="Arial" w:hAnsi="Arial" w:eastAsia="Arial"/>
          <w:vertAlign w:val="superscript"/>
          <w:rtl w:val="0"/>
        </w:rPr>
        <w:footnoteReference w:id="63"/>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G77 elites were concerned with the fundamental problem: the unprecedented and uncertain world economic crisis. This crisis was mutating faster than negotiations. Just as the Committee of 20 was wrapping up its reform efforts, OPEC quadrupled the price of oil. These price hikes made a mockery of the international payments imbalances that had, until then, been the primary concern within the IMF.</w:t>
      </w:r>
      <w:r>
        <w:rPr>
          <w:rFonts w:ascii="Arial" w:cs="Arial" w:hAnsi="Arial" w:eastAsia="Arial"/>
          <w:vertAlign w:val="superscript"/>
          <w:rtl w:val="0"/>
        </w:rPr>
        <w:footnoteReference w:id="64"/>
      </w:r>
      <w:r>
        <w:rPr>
          <w:rFonts w:ascii="Arial" w:hAnsi="Arial"/>
          <w:rtl w:val="0"/>
          <w:lang w:val="en-US"/>
        </w:rPr>
        <w:t xml:space="preserve"> Originally, the trade imbalances were between the three largest Western powers, Germany, Japan and the United States. Now, the imbalances were far larger, and they existed between OPEC and the entire world.</w:t>
      </w:r>
      <w:r>
        <w:rPr>
          <w:rFonts w:ascii="Arial" w:cs="Arial" w:hAnsi="Arial" w:eastAsia="Arial"/>
          <w:vertAlign w:val="superscript"/>
          <w:rtl w:val="0"/>
        </w:rPr>
        <w:footnoteReference w:id="65"/>
      </w:r>
      <w:r>
        <w:rPr>
          <w:rFonts w:ascii="Arial" w:hAnsi="Arial"/>
          <w:rtl w:val="0"/>
          <w:lang w:val="en-US"/>
        </w:rPr>
        <w:t xml:space="preserve"> Western elites cited this "petrodollar crisis" as a pretext for stalling negotiations over systemic reform.</w:t>
      </w:r>
      <w:r>
        <w:rPr>
          <w:rFonts w:ascii="Arial" w:cs="Arial" w:hAnsi="Arial" w:eastAsia="Arial"/>
          <w:vertAlign w:val="superscript"/>
          <w:rtl w:val="0"/>
        </w:rPr>
        <w:footnoteReference w:id="66"/>
      </w:r>
      <w:r>
        <w:rPr>
          <w:rFonts w:ascii="Arial" w:hAnsi="Arial"/>
          <w:rtl w:val="0"/>
          <w:lang w:val="en-US"/>
        </w:rPr>
        <w:t xml:space="preserve"> Trade imbalances were far too large now, they claimed, for any effective implementation of the C20's designs for a new monetary system. OPEC elites, led by their more radical, Non-Aligned members, took the opposite view. Here, Algerian leadership proved pivotal. In addition to its OPEC and G77 membership, Algeria was the then leader of the Non-Aligned Movement, which had recently pivoted to emphasise economic issues.</w:t>
      </w:r>
      <w:r>
        <w:rPr>
          <w:rFonts w:ascii="Arial" w:cs="Arial" w:hAnsi="Arial" w:eastAsia="Arial"/>
          <w:vertAlign w:val="superscript"/>
          <w:rtl w:val="0"/>
        </w:rPr>
        <w:footnoteReference w:id="67"/>
      </w:r>
      <w:r>
        <w:rPr>
          <w:rFonts w:ascii="Arial" w:hAnsi="Arial"/>
          <w:rtl w:val="0"/>
          <w:lang w:val="en-US"/>
        </w:rPr>
        <w:t xml:space="preserve"> The Algerian finance minister, </w:t>
      </w:r>
      <w:r>
        <w:rPr>
          <w:rFonts w:ascii="Arial" w:hAnsi="Arial"/>
          <w:b w:val="1"/>
          <w:bCs w:val="1"/>
          <w:rtl w:val="0"/>
          <w:lang w:val="en-US"/>
        </w:rPr>
        <w:t>Ismail Mahroug</w:t>
      </w:r>
      <w:r>
        <w:rPr>
          <w:rFonts w:ascii="Arial" w:hAnsi="Arial"/>
          <w:rtl w:val="0"/>
          <w:lang w:val="en-US"/>
        </w:rPr>
        <w:t>, led the meeting of the Group of 24 finance ministers. This group of leaders from the Global South participated in, and oversaw, the collapse in the IMF's reform efforts.</w:t>
      </w:r>
      <w:r>
        <w:rPr>
          <w:rFonts w:ascii="Arial" w:cs="Arial" w:hAnsi="Arial" w:eastAsia="Arial"/>
          <w:vertAlign w:val="superscript"/>
          <w:rtl w:val="0"/>
        </w:rPr>
        <w:footnoteReference w:id="68"/>
      </w:r>
      <w:r>
        <w:rPr>
          <w:rFonts w:ascii="Arial" w:hAnsi="Arial"/>
          <w:rtl w:val="0"/>
          <w:lang w:val="en-US"/>
        </w:rPr>
        <w:t xml:space="preserve"> </w:t>
      </w:r>
      <w:r>
        <w:rPr>
          <w:rFonts w:ascii="Arial" w:hAnsi="Arial"/>
          <w:b w:val="1"/>
          <w:bCs w:val="1"/>
          <w:rtl w:val="0"/>
          <w:lang w:val="en-US"/>
        </w:rPr>
        <w:t>Several weeks later</w:t>
      </w:r>
      <w:r>
        <w:rPr>
          <w:rFonts w:ascii="Arial" w:hAnsi="Arial"/>
          <w:rtl w:val="0"/>
          <w:lang w:val="en-US"/>
        </w:rPr>
        <w:t xml:space="preserve">, the Algerian President </w:t>
      </w:r>
      <w:r>
        <w:rPr>
          <w:rFonts w:ascii="Arial" w:hAnsi="Arial" w:hint="default"/>
          <w:rtl w:val="0"/>
          <w:lang w:val="en-US"/>
        </w:rPr>
        <w:t xml:space="preserve">–– </w:t>
      </w:r>
      <w:r>
        <w:rPr>
          <w:rFonts w:ascii="Arial" w:hAnsi="Arial"/>
          <w:b w:val="1"/>
          <w:bCs w:val="1"/>
          <w:rtl w:val="0"/>
          <w:lang w:val="en-US"/>
        </w:rPr>
        <w:t xml:space="preserve">Boumediene </w:t>
      </w:r>
      <w:r>
        <w:rPr>
          <w:rFonts w:ascii="Arial" w:hAnsi="Arial" w:hint="default"/>
          <w:rtl w:val="0"/>
          <w:lang w:val="en-US"/>
        </w:rPr>
        <w:t xml:space="preserve">–– </w:t>
      </w:r>
      <w:r>
        <w:rPr>
          <w:rFonts w:ascii="Arial" w:hAnsi="Arial"/>
          <w:rtl w:val="0"/>
          <w:lang w:val="en-US"/>
        </w:rPr>
        <w:t>leveraged OPEC's new power to call for the Sixth Special Session of the United Nations General Assembly.</w:t>
      </w:r>
      <w:r>
        <w:rPr>
          <w:rFonts w:ascii="Arial" w:cs="Arial" w:hAnsi="Arial" w:eastAsia="Arial"/>
          <w:vertAlign w:val="superscript"/>
          <w:rtl w:val="0"/>
        </w:rPr>
        <w:footnoteReference w:id="69"/>
      </w:r>
      <w:r>
        <w:rPr>
          <w:rFonts w:ascii="Arial" w:hAnsi="Arial"/>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Thus, instead of the oil crisis ending global negotiations, the G77 </w:t>
      </w:r>
      <w:r>
        <w:rPr>
          <w:rFonts w:ascii="Arial" w:hAnsi="Arial" w:hint="default"/>
          <w:rtl w:val="0"/>
          <w:lang w:val="en-US"/>
        </w:rPr>
        <w:t xml:space="preserve">–– </w:t>
      </w:r>
      <w:r>
        <w:rPr>
          <w:rFonts w:ascii="Arial" w:hAnsi="Arial"/>
          <w:rtl w:val="0"/>
          <w:lang w:val="en-US"/>
        </w:rPr>
        <w:t xml:space="preserve">backed by OPEC and the NAM </w:t>
      </w:r>
      <w:r>
        <w:rPr>
          <w:rFonts w:ascii="Arial" w:hAnsi="Arial" w:hint="default"/>
          <w:rtl w:val="0"/>
          <w:lang w:val="en-US"/>
        </w:rPr>
        <w:t xml:space="preserve">–– </w:t>
      </w:r>
      <w:r>
        <w:rPr>
          <w:rFonts w:ascii="Arial" w:hAnsi="Arial"/>
          <w:rtl w:val="0"/>
          <w:lang w:val="en-US"/>
        </w:rPr>
        <w:t>used it to expand them. Following the G77's successful show of unity at the Sixth Special Session, global negotiations would concern far more than monetary reform, and far more than oil. They dealt with all matters of economic development. Indeed, they were now driven by the core praxis of the NIEO. By quadrupling the price of oil, OPEC had demonstrated the power of a core G77 principle, permanent sovereignty over natural resources. When oil-importing state elites supported this action, the G77 combined real, material power with the legitimacy of international law, enshrined by the near-consensus decision of the UN General Assembly.</w:t>
      </w:r>
      <w:r>
        <w:rPr>
          <w:rFonts w:ascii="Arial" w:cs="Arial" w:hAnsi="Arial" w:eastAsia="Arial"/>
          <w:vertAlign w:val="superscript"/>
          <w:rtl w:val="0"/>
        </w:rPr>
        <w:footnoteReference w:id="70"/>
      </w:r>
      <w:r>
        <w:rPr>
          <w:rFonts w:ascii="Arial" w:hAnsi="Arial"/>
          <w:rtl w:val="0"/>
          <w:lang w:val="en-US"/>
        </w:rPr>
        <w:t xml:space="preserve"> Unified, the G77 wielded an unprecedented, and unpredictable new power. What's more, this successful mobilisation within the UN seemed to confirm decades of prior diplomatic and intellectual work aimed at mobilising precisely such a form of international solidarity.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b w:val="1"/>
          <w:bCs w:val="1"/>
          <w:rtl w:val="0"/>
        </w:rPr>
      </w:pPr>
      <w:r>
        <w:rPr>
          <w:rFonts w:ascii="Arial" w:hAnsi="Arial"/>
          <w:b w:val="1"/>
          <w:bCs w:val="1"/>
          <w:rtl w:val="0"/>
          <w:lang w:val="en-US"/>
        </w:rPr>
        <w:t>Monopoly Capital: The Power of the NIEO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But what was this new power? Many assume that it consisted in the hope that the oil cartel could be replicated for other raw materials.</w:t>
      </w:r>
      <w:r>
        <w:rPr>
          <w:rFonts w:ascii="Arial" w:cs="Arial" w:hAnsi="Arial" w:eastAsia="Arial"/>
          <w:vertAlign w:val="superscript"/>
          <w:rtl w:val="0"/>
        </w:rPr>
        <w:footnoteReference w:id="71"/>
      </w:r>
      <w:r>
        <w:rPr>
          <w:rFonts w:ascii="Arial" w:hAnsi="Arial"/>
          <w:rtl w:val="0"/>
          <w:lang w:val="en-US"/>
        </w:rPr>
        <w:t xml:space="preserve"> This was part of the potential power of the NIEO, but was not its source. The new power was OPEC's petrodollar surpluses, its enormous new share of global monopoly capital. Amidst the chaos of the world economic crisis, OPEC's petrodollars could make or break the entire system. That's why the prime focus of the IMF shifted. It was now concerned with the best way to 'recycle petrodollars'.</w:t>
      </w:r>
      <w:r>
        <w:rPr>
          <w:rFonts w:ascii="Arial" w:cs="Arial" w:hAnsi="Arial" w:eastAsia="Arial"/>
          <w:vertAlign w:val="superscript"/>
          <w:rtl w:val="0"/>
        </w:rPr>
        <w:footnoteReference w:id="72"/>
      </w:r>
      <w:r>
        <w:rPr>
          <w:rFonts w:ascii="Arial" w:hAnsi="Arial"/>
          <w:rtl w:val="0"/>
          <w:lang w:val="en-US"/>
        </w:rPr>
        <w:t xml:space="preserve"> G77 solidarity at the Sixth Special Session signalled that OPEC's capital might be invested directly into the core institutions of the NIEO. One of these institutions was a proposed Common Fund, which UNCTAD economists wanted to use to support a new wave of commodity price agreements. Such a wave would have represented a key change in global trade, an extension of global embedded liberalism to the needs of the Global South. However, it is important to emphasise that it was not these agreements themselves that explained the G77's new sense of power. The new power was OPEC's capital. It was only with the new petrodollars that UNCTAD economists, and G77 elites, believed that any new wave of commodity price agreements was 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This was not lost on academics and diplomats in attendance at the Sixth Special Session. It was noted by the former Indonesian ambassador to the US, </w:t>
      </w:r>
      <w:r>
        <w:rPr>
          <w:rFonts w:ascii="Arial" w:hAnsi="Arial"/>
          <w:rtl w:val="0"/>
          <w:lang w:val="nl-NL"/>
        </w:rPr>
        <w:t>Soedjatmoko</w:t>
      </w:r>
      <w:r>
        <w:rPr>
          <w:rFonts w:ascii="Arial" w:hAnsi="Arial"/>
          <w:rtl w:val="0"/>
          <w:lang w:val="en-US"/>
        </w:rPr>
        <w:t>. While recognising the role to be plaid by commodity cartels, he understood that this would work best with OPEC financing. In 1975, he wrote that if the struggle for a NIEO 'bogs down in irreconcilable demands', then: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624" w:right="567" w:firstLine="0"/>
        <w:jc w:val="left"/>
        <w:rPr>
          <w:rFonts w:ascii="Arial" w:cs="Arial" w:hAnsi="Arial" w:eastAsia="Arial"/>
          <w:b w:val="1"/>
          <w:bCs w:val="1"/>
          <w:i w:val="1"/>
          <w:iCs w:val="1"/>
          <w:rtl w:val="0"/>
        </w:rPr>
      </w:pPr>
      <w:r>
        <w:rPr>
          <w:rFonts w:ascii="Arial" w:hAnsi="Arial"/>
          <w:i w:val="1"/>
          <w:iCs w:val="1"/>
          <w:rtl w:val="0"/>
          <w:lang w:val="en-US"/>
        </w:rPr>
        <w:t>'</w:t>
      </w:r>
      <w:r>
        <w:rPr>
          <w:rFonts w:ascii="Arial" w:hAnsi="Arial"/>
          <w:i w:val="1"/>
          <w:iCs w:val="1"/>
          <w:rtl w:val="0"/>
          <w:lang w:val="en-US"/>
        </w:rPr>
        <w:t>there would seem to be no other recourse but to start thinking in terms of the establishment of producer cartels for those products of the Third World that are in relatively short supply</w:t>
      </w:r>
      <w:r>
        <w:rPr>
          <w:rFonts w:ascii="Arial" w:hAnsi="Arial" w:hint="default"/>
          <w:i w:val="1"/>
          <w:iCs w:val="1"/>
          <w:rtl w:val="0"/>
          <w:lang w:val="en-US"/>
        </w:rPr>
        <w:t>—</w:t>
      </w:r>
      <w:r>
        <w:rPr>
          <w:rFonts w:ascii="Arial" w:hAnsi="Arial"/>
          <w:i w:val="1"/>
          <w:iCs w:val="1"/>
          <w:rtl w:val="0"/>
          <w:lang w:val="en-US"/>
        </w:rPr>
        <w:t>such as copper, tin, and perhaps manganese, coffee, and cocoa</w:t>
      </w:r>
      <w:r>
        <w:rPr>
          <w:rFonts w:ascii="Arial" w:hAnsi="Arial" w:hint="default"/>
          <w:i w:val="1"/>
          <w:iCs w:val="1"/>
          <w:rtl w:val="0"/>
          <w:lang w:val="en-US"/>
        </w:rPr>
        <w:t>—</w:t>
      </w:r>
      <w:r>
        <w:rPr>
          <w:rFonts w:ascii="Arial" w:hAnsi="Arial"/>
          <w:i w:val="1"/>
          <w:iCs w:val="1"/>
          <w:rtl w:val="0"/>
          <w:lang w:val="en-US"/>
        </w:rPr>
        <w:t>possibly financed out of the large reserves built up by some non-aligned countries from their oil revenues in order to ensure a stronger bargaining position for</w:t>
      </w:r>
      <w:r>
        <w:rPr>
          <w:rFonts w:ascii="Arial" w:hAnsi="Arial" w:hint="default"/>
          <w:i w:val="1"/>
          <w:iCs w:val="1"/>
          <w:rtl w:val="0"/>
        </w:rPr>
        <w:t> </w:t>
      </w:r>
      <w:r>
        <w:rPr>
          <w:rFonts w:ascii="Arial" w:hAnsi="Arial"/>
          <w:i w:val="1"/>
          <w:iCs w:val="1"/>
          <w:rtl w:val="0"/>
          <w:lang w:val="en-US"/>
        </w:rPr>
        <w:t>the</w:t>
      </w:r>
      <w:r>
        <w:rPr>
          <w:rFonts w:ascii="Arial" w:hAnsi="Arial" w:hint="default"/>
          <w:i w:val="1"/>
          <w:iCs w:val="1"/>
          <w:rtl w:val="0"/>
        </w:rPr>
        <w:t> </w:t>
      </w:r>
      <w:r>
        <w:rPr>
          <w:rFonts w:ascii="Arial" w:hAnsi="Arial"/>
          <w:i w:val="1"/>
          <w:iCs w:val="1"/>
          <w:rtl w:val="0"/>
          <w:lang w:val="en-US"/>
        </w:rPr>
        <w:t>nonaligned world, with a view to press more effectively for such global systems.</w:t>
      </w:r>
      <w:r>
        <w:rPr>
          <w:rFonts w:ascii="Arial" w:hAnsi="Arial"/>
          <w:i w:val="1"/>
          <w:iCs w:val="1"/>
          <w:rtl w:val="0"/>
          <w:lang w:val="en-US"/>
        </w:rPr>
        <w:t>'</w:t>
      </w:r>
      <w:r>
        <w:rPr>
          <w:rFonts w:ascii="Arial" w:cs="Arial" w:hAnsi="Arial" w:eastAsia="Arial"/>
          <w:i w:val="1"/>
          <w:iCs w:val="1"/>
          <w:vertAlign w:val="superscript"/>
          <w:rtl w:val="0"/>
        </w:rPr>
        <w:footnoteReference w:id="73"/>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An even fuller appreciation of this new financial power was given by the Kenyan professor, Ali Mazrui. He called the G77's new power 'counter-penetration' and noted that it consisted of both 'r</w:t>
      </w:r>
      <w:r>
        <w:rPr>
          <w:rFonts w:ascii="Arial" w:hAnsi="Arial"/>
          <w:rtl w:val="0"/>
          <w:lang w:val="en-US"/>
        </w:rPr>
        <w:t>ecycling petrodollars and converting primary resources from a symptom of dependency to a tool of power</w:t>
      </w:r>
      <w:r>
        <w:rPr>
          <w:rFonts w:ascii="Arial" w:hAnsi="Arial"/>
          <w:rtl w:val="0"/>
          <w:lang w:val="en-US"/>
        </w:rPr>
        <w:t>'.</w:t>
      </w:r>
      <w:r>
        <w:rPr>
          <w:rFonts w:ascii="Arial" w:cs="Arial" w:hAnsi="Arial" w:eastAsia="Arial"/>
          <w:vertAlign w:val="superscript"/>
          <w:rtl w:val="0"/>
        </w:rPr>
        <w:footnoteReference w:id="74"/>
      </w:r>
      <w:r>
        <w:rPr>
          <w:rFonts w:ascii="Arial" w:hAnsi="Arial"/>
          <w:rtl w:val="0"/>
          <w:lang w:val="en-US"/>
        </w:rPr>
        <w:t xml:space="preserve"> Crucially, these interrelated tactics had </w:t>
      </w:r>
      <w:r>
        <w:rPr>
          <w:rFonts w:ascii="Arial" w:hAnsi="Arial"/>
          <w:rtl w:val="0"/>
          <w:lang w:val="fr-FR"/>
        </w:rPr>
        <w:t xml:space="preserve">implications </w:t>
      </w:r>
      <w:r>
        <w:rPr>
          <w:rFonts w:ascii="Arial" w:hAnsi="Arial"/>
          <w:rtl w:val="0"/>
          <w:lang w:val="en-US"/>
        </w:rPr>
        <w:t>for</w:t>
      </w:r>
      <w:r>
        <w:rPr>
          <w:rFonts w:ascii="Arial" w:hAnsi="Arial"/>
          <w:rtl w:val="0"/>
        </w:rPr>
        <w:t xml:space="preserve"> </w:t>
      </w:r>
      <w:r>
        <w:rPr>
          <w:rFonts w:ascii="Arial" w:hAnsi="Arial"/>
          <w:rtl w:val="0"/>
          <w:lang w:val="en-US"/>
        </w:rPr>
        <w:t>'</w:t>
      </w:r>
      <w:r>
        <w:rPr>
          <w:rFonts w:ascii="Arial" w:hAnsi="Arial"/>
          <w:rtl w:val="0"/>
          <w:lang w:val="en-US"/>
        </w:rPr>
        <w:t>the international monetary system</w:t>
      </w:r>
      <w:r>
        <w:rPr>
          <w:rFonts w:ascii="Arial" w:hAnsi="Arial"/>
          <w:rtl w:val="0"/>
          <w:lang w:val="en-US"/>
        </w:rPr>
        <w:t>':</w:t>
      </w:r>
      <w:r>
        <w:rPr>
          <w:rFonts w:ascii="Arial" w:hAnsi="Arial"/>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i w:val="1"/>
          <w:iCs w:val="1"/>
          <w:rtl w:val="0"/>
        </w:rPr>
      </w:pPr>
      <w:r>
        <w:rPr>
          <w:rFonts w:ascii="Arial" w:hAnsi="Arial"/>
          <w:i w:val="1"/>
          <w:iCs w:val="1"/>
          <w:rtl w:val="0"/>
          <w:lang w:val="en-US"/>
        </w:rPr>
        <w:t>'</w:t>
      </w:r>
      <w:r>
        <w:rPr>
          <w:rFonts w:ascii="Arial" w:hAnsi="Arial"/>
          <w:i w:val="1"/>
          <w:iCs w:val="1"/>
          <w:rtl w:val="0"/>
          <w:lang w:val="en-US"/>
        </w:rPr>
        <w:t>The immense foreign reserves in the hands of the oil producers should be used to force changes in the international monetary system in the direction of easing the burdens of the developing countries. The potentialities of this monetary power in the hands of oil-producing countries was illustrated on December 1974. A major oil company almost casually revealed that Saudi Arabia no longer wanted to be paid in sterling for its oil. Until then, Saudi Arabia had received about a quarter of its oil revenue in the form of the British pound. The new decision created consternation in London. The pound descended to an all-time low in Western markets, and the stock exchange in London reverberated with gloom. The Bank of England had to</w:t>
      </w:r>
      <w:r>
        <w:rPr>
          <w:rFonts w:ascii="Arial" w:hAnsi="Arial" w:hint="default"/>
          <w:i w:val="1"/>
          <w:iCs w:val="1"/>
          <w:rtl w:val="0"/>
        </w:rPr>
        <w:t> </w:t>
      </w:r>
      <w:r>
        <w:rPr>
          <w:rFonts w:ascii="Arial" w:hAnsi="Arial"/>
          <w:i w:val="1"/>
          <w:iCs w:val="1"/>
          <w:rtl w:val="0"/>
          <w:lang w:val="en-US"/>
        </w:rPr>
        <w:t>supply</w:t>
      </w:r>
      <w:r>
        <w:rPr>
          <w:rFonts w:ascii="Arial" w:hAnsi="Arial" w:hint="default"/>
          <w:i w:val="1"/>
          <w:iCs w:val="1"/>
          <w:rtl w:val="0"/>
        </w:rPr>
        <w:t> </w:t>
      </w:r>
      <w:r>
        <w:rPr>
          <w:rFonts w:ascii="Arial" w:hAnsi="Arial"/>
          <w:i w:val="1"/>
          <w:iCs w:val="1"/>
          <w:rtl w:val="0"/>
          <w:lang w:val="en-US"/>
        </w:rPr>
        <w:t>millions in support of the pound. The only silver lining of that cloud was the possibility that Saudi Arabia would continue to invest in Great Britain, even when it no longer accepted pound for oil. The future of sterling as a world currency was briefly under cloud simply because one Arab country was unilaterally reconsidering its financial options. The world thus caught a glimpse of the potential power of</w:t>
      </w:r>
      <w:r>
        <w:rPr>
          <w:rFonts w:ascii="Arial" w:hAnsi="Arial" w:hint="default"/>
          <w:i w:val="1"/>
          <w:iCs w:val="1"/>
          <w:rtl w:val="0"/>
        </w:rPr>
        <w:t> </w:t>
      </w:r>
      <w:r>
        <w:rPr>
          <w:rFonts w:ascii="Arial" w:hAnsi="Arial"/>
          <w:i w:val="1"/>
          <w:iCs w:val="1"/>
          <w:rtl w:val="0"/>
          <w:lang w:val="en-US"/>
        </w:rPr>
        <w:t>the</w:t>
      </w:r>
      <w:r>
        <w:rPr>
          <w:rFonts w:ascii="Arial" w:hAnsi="Arial" w:hint="default"/>
          <w:i w:val="1"/>
          <w:iCs w:val="1"/>
          <w:rtl w:val="0"/>
        </w:rPr>
        <w:t> </w:t>
      </w:r>
      <w:r>
        <w:rPr>
          <w:rFonts w:ascii="Arial" w:hAnsi="Arial"/>
          <w:i w:val="1"/>
          <w:iCs w:val="1"/>
          <w:rtl w:val="0"/>
          <w:lang w:val="en-US"/>
        </w:rPr>
        <w:t>oil producers to force major changes in the international monetary system.'</w:t>
      </w:r>
      <w:r>
        <w:rPr>
          <w:rFonts w:ascii="Arial" w:cs="Arial" w:hAnsi="Arial" w:eastAsia="Arial"/>
          <w:i w:val="1"/>
          <w:iCs w:val="1"/>
          <w:vertAlign w:val="superscript"/>
          <w:rtl w:val="0"/>
        </w:rPr>
        <w:footnoteReference w:id="75"/>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As these accounts by attendees of the Sixth Special Session made clear, the solidarity of the G77 depended on the possible investment, by OPEC, of its strategic pools of capital. How strong was the solidarity between oil-importing and oil-exporting states? Would OPEC actually invest in the NIEO? This prospect was emboldened by OPEC diplomacy following the Sixth Special Session, and in the lead up to the Seventh Special Session. In OPEC's first </w:t>
      </w:r>
      <w:r>
        <w:rPr>
          <w:rFonts w:ascii="Arial" w:hAnsi="Arial"/>
          <w:i w:val="1"/>
          <w:iCs w:val="1"/>
          <w:rtl w:val="0"/>
          <w:lang w:val="en-US"/>
        </w:rPr>
        <w:t>Solemn Declaration</w:t>
      </w:r>
      <w:r>
        <w:rPr>
          <w:rFonts w:ascii="Arial" w:hAnsi="Arial"/>
          <w:rtl w:val="0"/>
          <w:lang w:val="en-US"/>
        </w:rPr>
        <w:t>, its 'sovereigns and heads of state' affirmed their support for the NIEO.</w:t>
      </w:r>
      <w:r>
        <w:rPr>
          <w:rFonts w:ascii="Arial" w:cs="Arial" w:hAnsi="Arial" w:eastAsia="Arial"/>
          <w:vertAlign w:val="superscript"/>
          <w:rtl w:val="0"/>
        </w:rPr>
        <w:footnoteReference w:id="76"/>
      </w:r>
      <w:r>
        <w:rPr>
          <w:rFonts w:ascii="Arial" w:hAnsi="Arial"/>
          <w:rtl w:val="0"/>
          <w:lang w:val="en-US"/>
        </w:rPr>
        <w:t xml:space="preserve"> They highlighted the actions their governments had already taken in support of developing and developed states.</w:t>
      </w:r>
      <w:r>
        <w:rPr>
          <w:rFonts w:ascii="Arial" w:cs="Arial" w:hAnsi="Arial" w:eastAsia="Arial"/>
          <w:vertAlign w:val="superscript"/>
          <w:rtl w:val="0"/>
        </w:rPr>
        <w:footnoteReference w:id="77"/>
      </w:r>
      <w:r>
        <w:rPr>
          <w:rFonts w:ascii="Arial" w:hAnsi="Arial"/>
          <w:rtl w:val="0"/>
          <w:lang w:val="en-US"/>
        </w:rPr>
        <w:t xml:space="preserve"> The declaration doubled down on their strategic position, by signalling a collective willingness to make key concessions on the stability and price of oil, but only in exchange for a New International Economic Order. As a result, even Nixon and Kissinger were forced to take the G77 seriously. Sixth months later, at the Seventh Special Session of the UN General Assembly, the US delegation brought what appeared like a genuine willingness to compromise.</w:t>
      </w:r>
      <w:r>
        <w:rPr>
          <w:rFonts w:ascii="Arial" w:cs="Arial" w:hAnsi="Arial" w:eastAsia="Arial"/>
          <w:vertAlign w:val="superscript"/>
          <w:rtl w:val="0"/>
        </w:rPr>
        <w:footnoteReference w:id="78"/>
      </w:r>
      <w:r>
        <w:rPr>
          <w:rFonts w:ascii="Arial" w:hAnsi="Arial"/>
          <w:rtl w:val="0"/>
          <w:lang w:val="en-US"/>
        </w:rPr>
        <w:t xml:space="preserve"> The session evoked a widespread feeling of optimism, which was reflected in the analysis of attendees. This included the great International Relations scholar of global embedded liberalism, John Ruggie. At the time, he and Branislav Gosovic</w:t>
      </w:r>
      <w:r>
        <w:rPr>
          <w:rFonts w:ascii="Arial" w:hAnsi="Arial"/>
          <w:b w:val="1"/>
          <w:bCs w:val="1"/>
          <w:rtl w:val="0"/>
          <w:lang w:val="en-US"/>
        </w:rPr>
        <w:t xml:space="preserve"> </w:t>
      </w:r>
      <w:r>
        <w:rPr>
          <w:rFonts w:ascii="Arial" w:hAnsi="Arial"/>
          <w:rtl w:val="0"/>
          <w:lang w:val="en-US"/>
        </w:rPr>
        <w:t>concluded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cs="Arial" w:hAnsi="Arial" w:eastAsia="Arial"/>
          <w:rtl w:val="0"/>
        </w:rPr>
        <w:tab/>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rtl w:val="0"/>
        </w:rPr>
      </w:pPr>
      <w:r>
        <w:rPr>
          <w:rFonts w:ascii="Arial" w:hAnsi="Arial" w:hint="default"/>
          <w:rtl w:val="1"/>
        </w:rPr>
        <w:t>‘</w:t>
      </w:r>
      <w:r>
        <w:rPr>
          <w:rFonts w:ascii="Arial" w:hAnsi="Arial"/>
          <w:rtl w:val="0"/>
          <w:lang w:val="en-US"/>
        </w:rPr>
        <w:t>Critical scrutiny of the structure of the international economy has been legitimized, and the issue now has become how not whether to deal with certain Third World demands</w:t>
      </w:r>
      <w:r>
        <w:rPr>
          <w:rFonts w:ascii="Arial" w:hAnsi="Arial" w:hint="default"/>
          <w:rtl w:val="1"/>
        </w:rPr>
        <w:t>’</w:t>
      </w:r>
      <w:r>
        <w:rPr>
          <w:rFonts w:ascii="Arial" w:hAnsi="Arial"/>
          <w:rtl w:val="0"/>
        </w:rPr>
        <w:t>.</w:t>
      </w:r>
      <w:r>
        <w:rPr>
          <w:rFonts w:ascii="Arial" w:cs="Arial" w:hAnsi="Arial" w:eastAsia="Arial"/>
          <w:vertAlign w:val="superscript"/>
          <w:rtl w:val="0"/>
        </w:rPr>
        <w:footnoteReference w:id="79"/>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But the moment of possibility was just a moment, and a moment contingent on developments in an unpredictable world economic crisis. By the end of 1975, the US dollar seemed to have stabilised. So long as OPEC's capital was relatively stable under the status quo, its more conservative member states were unlikely to invest in an entirely new, and so uncertain, world order. What's more, OPEC elites were being wooed with advanced US weaponry.</w:t>
      </w:r>
      <w:r>
        <w:rPr>
          <w:rFonts w:ascii="Arial" w:cs="Arial" w:hAnsi="Arial" w:eastAsia="Arial"/>
          <w:vertAlign w:val="superscript"/>
          <w:rtl w:val="0"/>
        </w:rPr>
        <w:footnoteReference w:id="80"/>
      </w:r>
      <w:r>
        <w:rPr>
          <w:rFonts w:ascii="Arial" w:hAnsi="Arial"/>
          <w:rtl w:val="0"/>
          <w:lang w:val="en-US"/>
        </w:rPr>
        <w:t xml:space="preserve"> Rather than domestic stability via a NIEO, OPEC elites sought stability through increased military power. This shift explains the failure, in 1977, of the Conference of International Economic Cooperation (CIEC). There, a smaller team of representatives from the G77 advocated forcefully for the need to address the impending debt crisis. By then, US negotiators showed a return to obstruction. Apparently, there was no debt crisis and everything, US elites assured, would be fine. The conference ended in failure. It was marked by a distinct collapse in optimism for the possibilities of a NIEO, and G77 praxis in general.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Thus, G77 solidarity had collapsed before before Paul Volcker triggered the so-called Third World Debt Crisis by massively increasing US interest rates.</w:t>
      </w:r>
      <w:r>
        <w:rPr>
          <w:rFonts w:ascii="Arial" w:cs="Arial" w:hAnsi="Arial" w:eastAsia="Arial"/>
          <w:vertAlign w:val="superscript"/>
          <w:rtl w:val="0"/>
        </w:rPr>
        <w:footnoteReference w:id="81"/>
      </w:r>
      <w:r>
        <w:rPr>
          <w:rFonts w:ascii="Arial" w:hAnsi="Arial"/>
          <w:rtl w:val="0"/>
          <w:lang w:val="en-US"/>
        </w:rPr>
        <w:t xml:space="preserve"> As Varoufakis has pointed out, Volcker was only following through on a goal he had stated publicly before becoming the Chairman of the </w:t>
      </w:r>
      <w:r>
        <w:rPr>
          <w:rFonts w:ascii="Arial" w:hAnsi="Arial"/>
          <w:rtl w:val="0"/>
          <w:lang w:val="en-US"/>
        </w:rPr>
        <w:t>US Federal Reserve</w:t>
      </w:r>
      <w:r>
        <w:rPr>
          <w:rFonts w:ascii="Arial" w:hAnsi="Arial"/>
          <w:rtl w:val="0"/>
          <w:lang w:val="en-US"/>
        </w:rPr>
        <w:t>. In a speech in 1978, he announced his support of a 'controlled disintegration in the world economy', which he said was a 'legitimate objective for the 1980s.'</w:t>
      </w:r>
      <w:r>
        <w:rPr>
          <w:rFonts w:ascii="Arial" w:cs="Arial" w:hAnsi="Arial" w:eastAsia="Arial"/>
          <w:vertAlign w:val="superscript"/>
          <w:rtl w:val="0"/>
        </w:rPr>
        <w:footnoteReference w:id="82"/>
      </w:r>
      <w:r>
        <w:rPr>
          <w:rFonts w:ascii="Arial" w:hAnsi="Arial"/>
          <w:rtl w:val="0"/>
          <w:lang w:val="en-US"/>
        </w:rPr>
        <w:t xml:space="preserve"> Volcker's wonton act of uncreative destruction triggered the debt crisis that US elites had claimed didn't exist.</w:t>
      </w:r>
      <w:r>
        <w:rPr>
          <w:rFonts w:ascii="Arial" w:cs="Arial" w:hAnsi="Arial" w:eastAsia="Arial"/>
          <w:vertAlign w:val="superscript"/>
          <w:rtl w:val="0"/>
        </w:rPr>
        <w:footnoteReference w:id="83"/>
      </w:r>
      <w:r>
        <w:rPr>
          <w:rFonts w:ascii="Arial" w:hAnsi="Arial"/>
          <w:rtl w:val="0"/>
          <w:lang w:val="en-US"/>
        </w:rPr>
        <w:t xml:space="preserve"> Having been gaslit, the Global South was now abused. With mass sovereign insolvencies across South America and Africa, the now neo-liberalised IMF forced austerity measures that cut access to what World Bank economists had grown fond of calling 'Basic Needs'.</w:t>
      </w:r>
      <w:r>
        <w:rPr>
          <w:rFonts w:ascii="Arial" w:cs="Arial" w:hAnsi="Arial" w:eastAsia="Arial"/>
          <w:vertAlign w:val="superscript"/>
          <w:rtl w:val="0"/>
        </w:rPr>
        <w:footnoteReference w:id="84"/>
      </w:r>
      <w:r>
        <w:rPr>
          <w:rFonts w:ascii="Arial" w:hAnsi="Arial"/>
          <w:rtl w:val="0"/>
          <w:lang w:val="en-US"/>
        </w:rPr>
        <w:t xml:space="preserve"> Healthcare and food budgets were cut, and millions of children died.</w:t>
      </w:r>
      <w:r>
        <w:rPr>
          <w:rFonts w:ascii="Arial" w:cs="Arial" w:hAnsi="Arial" w:eastAsia="Arial"/>
          <w:vertAlign w:val="superscript"/>
          <w:rtl w:val="0"/>
        </w:rPr>
        <w:footnoteReference w:id="85"/>
      </w:r>
      <w:r>
        <w:rPr>
          <w:rFonts w:ascii="Arial" w:hAnsi="Arial"/>
          <w:rtl w:val="0"/>
          <w:lang w:val="en-US"/>
        </w:rPr>
        <w:t xml:space="preserve"> But what about the Western banks, which had profited from the debt by recycling OPEC's petrodollar surpluses? The US 'regulators adopted an accommodative stance,' doing all they could to avoid the first Global Financial Crisis of the neoliberal era.</w:t>
      </w:r>
      <w:r>
        <w:rPr>
          <w:rFonts w:ascii="Arial" w:cs="Arial" w:hAnsi="Arial" w:eastAsia="Arial"/>
          <w:vertAlign w:val="superscript"/>
          <w:rtl w:val="0"/>
        </w:rPr>
        <w:footnoteReference w:id="86"/>
      </w:r>
      <w:r>
        <w:rPr>
          <w:rFonts w:ascii="Arial" w:hAnsi="Arial"/>
          <w:rtl w:val="0"/>
          <w:lang w:val="en-US"/>
        </w:rPr>
        <w:t xml:space="preserve"> Thus monetarism, which claimed to have "solved" stagflation, had only played a dangerous game of brinkmanship. It forced the global crisis into a heightened contradiction, pitting the viability of monopoly finance capital against the livelihoods of the world's poorest people. In other words, it hadn't solved the crisis. It had only exported it to South America and Sub-Saharan Africa. There, people suffered under a 'lost decade of growth', a lost decade dismissed as "rational" by the new, neoliberal commonsense of US Empire</w:t>
      </w:r>
      <w:commentRangeStart w:id="1"/>
      <w:r>
        <w:rPr>
          <w:rFonts w:ascii="Arial" w:hAnsi="Arial"/>
          <w:rtl w:val="0"/>
          <w:lang w:val="en-US"/>
        </w:rPr>
        <w:t>.</w:t>
      </w:r>
      <w:commentRangeEnd w:id="1"/>
      <w:r>
        <w:commentReference w:id="1"/>
      </w:r>
      <w:r>
        <w:rPr>
          <w:rFonts w:ascii="Arial" w:hAnsi="Arial"/>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Heading"/>
        <w:bidi w:val="0"/>
      </w:pPr>
      <w:r>
        <w:rPr>
          <w:rtl w:val="0"/>
        </w:rPr>
        <w:t>A New NIEO</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Arial" w:cs="Arial" w:hAnsi="Arial" w:eastAsia="Arial"/>
        </w:rPr>
      </w:pPr>
      <w:r>
        <w:rPr>
          <w:rFonts w:ascii="Arial" w:hAnsi="Arial"/>
          <w:rtl w:val="0"/>
          <w:lang w:val="en-US"/>
        </w:rPr>
        <w:t>Such are the contradictory possibilities of global capitalist crises. By leveraging them, the G77 created a real alternative, but then the crisis burst. When it did the position of the Global South became far worse than it had been even before the NIEO. These contradictory tensions of crisis politics are at the heart of the NIEO's continued legacy. It can be seen, clearly, in the work of the Progressive International. In their 2022 'Havana Conference on the New International Economic Order', a group of scholars, parliamentarians and policy makers from 26 countries declared that the present crisis contained a similar fork in the historical road.</w:t>
      </w:r>
      <w:r>
        <w:rPr>
          <w:rFonts w:ascii="Arial" w:cs="Arial" w:hAnsi="Arial" w:eastAsia="Arial"/>
          <w:vertAlign w:val="superscript"/>
        </w:rPr>
        <w:footnoteReference w:id="87"/>
      </w:r>
      <w:r>
        <w:rPr>
          <w:rFonts w:ascii="Arial" w:hAnsi="Arial"/>
          <w:rtl w:val="0"/>
          <w:lang w:val="en-US"/>
        </w:rPr>
        <w:t xml:space="preserve"> While calling to seize </w:t>
      </w:r>
      <w:r>
        <w:rPr>
          <w:rFonts w:ascii="Arial" w:hAnsi="Arial" w:hint="default"/>
          <w:rtl w:val="0"/>
          <w:lang w:val="en-US"/>
        </w:rPr>
        <w:t>‘</w:t>
      </w:r>
      <w:r>
        <w:rPr>
          <w:rFonts w:ascii="Arial" w:hAnsi="Arial"/>
          <w:rtl w:val="0"/>
          <w:lang w:val="en-US"/>
        </w:rPr>
        <w:t>the opportunity of the present historical juncture</w:t>
      </w:r>
      <w:r>
        <w:rPr>
          <w:rFonts w:ascii="Arial" w:hAnsi="Arial" w:hint="default"/>
          <w:rtl w:val="0"/>
          <w:lang w:val="en-US"/>
        </w:rPr>
        <w:t>’</w:t>
      </w:r>
      <w:r>
        <w:rPr>
          <w:rFonts w:ascii="Arial" w:hAnsi="Arial"/>
          <w:rtl w:val="0"/>
          <w:lang w:val="en-US"/>
        </w:rPr>
        <w:t>, the declaration noted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indente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Arial" w:cs="Arial" w:hAnsi="Arial" w:eastAsia="Arial"/>
          <w:i w:val="0"/>
          <w:iCs w:val="0"/>
        </w:rPr>
      </w:pPr>
      <w:r>
        <w:rPr>
          <w:rFonts w:ascii="Arial" w:hAnsi="Arial" w:hint="default"/>
          <w:rtl w:val="0"/>
          <w:lang w:val="en-US"/>
        </w:rPr>
        <w:t>‘</w:t>
      </w:r>
      <w:r>
        <w:rPr>
          <w:rFonts w:ascii="Arial" w:hAnsi="Arial"/>
          <w:i w:val="0"/>
          <w:iCs w:val="0"/>
          <w:rtl w:val="0"/>
          <w:lang w:val="en-US"/>
        </w:rPr>
        <w:t>the crisis of the existing world system can either entrench inequalities or embolden the call to reclaim Southern protagonism in the construction of a new world order based on justice, equity and peace;</w:t>
      </w:r>
      <w:r>
        <w:rPr>
          <w:rFonts w:ascii="Arial" w:hAnsi="Arial" w:hint="default"/>
          <w:i w:val="0"/>
          <w:iCs w:val="0"/>
          <w:rtl w:val="0"/>
          <w:lang w:val="en-US"/>
        </w:rPr>
        <w:t>’</w:t>
      </w:r>
      <w:r>
        <w:rPr>
          <w:rFonts w:ascii="Arial" w:cs="Arial" w:hAnsi="Arial" w:eastAsia="Arial"/>
          <w:i w:val="0"/>
          <w:iCs w:val="0"/>
          <w:vertAlign w:val="superscript"/>
        </w:rPr>
        <w:footnoteReference w:id="88"/>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This crisis consciousness can also be seen in a speech by Yanis Varoufakis. As a former Finance Minister under the Syriza government, Varoufakis experienced the neocolonial abuse of sovereign debt crises first hand. This experience, along with his professional training as an economist, puts Varoufakis in a unique position to understand the progressive and regressive possibilities of global crises. That's why he offers both hope and caution, and rightly points out that the creators of a new NIEO must ask: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indente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Arial" w:cs="Arial" w:hAnsi="Arial" w:eastAsia="Arial"/>
          <w:i w:val="0"/>
          <w:iCs w:val="0"/>
        </w:rPr>
      </w:pPr>
      <w:r>
        <w:rPr>
          <w:rFonts w:ascii="Arial" w:hAnsi="Arial" w:hint="default"/>
          <w:i w:val="0"/>
          <w:iCs w:val="0"/>
          <w:rtl w:val="0"/>
          <w:lang w:val="en-US"/>
        </w:rPr>
        <w:t>‘</w:t>
      </w:r>
      <w:r>
        <w:rPr>
          <w:rFonts w:ascii="Arial" w:hAnsi="Arial"/>
          <w:i w:val="0"/>
          <w:iCs w:val="0"/>
          <w:rtl w:val="0"/>
          <w:lang w:val="en-US"/>
        </w:rPr>
        <w:t>Why did we lose last time round? Why were we so comprehensively defeated in the 1980s and 1990s? Why did the original Non-Aligned Movement fall prey to</w:t>
      </w:r>
      <w:r>
        <w:rPr>
          <w:rFonts w:ascii="Arial" w:hAnsi="Arial"/>
          <w:i w:val="0"/>
          <w:iCs w:val="0"/>
          <w:rtl w:val="0"/>
          <w:lang w:val="en-US"/>
        </w:rPr>
        <w:t xml:space="preserve"> </w:t>
      </w:r>
      <w:r>
        <w:rPr>
          <w:rFonts w:ascii="Arial" w:hAnsi="Arial"/>
          <w:i w:val="0"/>
          <w:iCs w:val="0"/>
          <w:rtl w:val="0"/>
          <w:lang w:val="pt-PT"/>
        </w:rPr>
        <w:t>Neoimperialism</w:t>
      </w:r>
      <w:r>
        <w:rPr>
          <w:rFonts w:ascii="Arial" w:hAnsi="Arial" w:hint="default"/>
          <w:i w:val="0"/>
          <w:iCs w:val="0"/>
          <w:rtl w:val="1"/>
        </w:rPr>
        <w:t>’</w:t>
      </w:r>
      <w:r>
        <w:rPr>
          <w:rFonts w:ascii="Arial" w:hAnsi="Arial"/>
          <w:i w:val="0"/>
          <w:iCs w:val="0"/>
          <w:rtl w:val="0"/>
          <w:lang w:val="en-US"/>
        </w:rPr>
        <w:t>s highest form: Financialised Capitalist Globalisation?</w:t>
      </w:r>
      <w:r>
        <w:rPr>
          <w:rFonts w:ascii="Arial" w:hAnsi="Arial" w:hint="default"/>
          <w:i w:val="0"/>
          <w:iCs w:val="0"/>
          <w:rtl w:val="1"/>
        </w:rPr>
        <w:t>’</w:t>
      </w:r>
      <w:r>
        <w:rPr>
          <w:rFonts w:ascii="Arial" w:cs="Arial" w:hAnsi="Arial" w:eastAsia="Arial"/>
          <w:i w:val="0"/>
          <w:iCs w:val="0"/>
          <w:vertAlign w:val="superscript"/>
        </w:rPr>
        <w:footnoteReference w:id="89"/>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b w:val="1"/>
          <w:bCs w:val="1"/>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In his speech, Varoufakis offers 'the short answer': the NIEO failed because capitalists '</w:t>
      </w:r>
      <w:r>
        <w:rPr>
          <w:rFonts w:ascii="Arial" w:hAnsi="Arial"/>
          <w:rtl w:val="0"/>
          <w:lang w:val="en-US"/>
        </w:rPr>
        <w:t>understood better the global class war and, thus, won it.</w:t>
      </w:r>
      <w:r>
        <w:rPr>
          <w:rFonts w:ascii="Arial" w:hAnsi="Arial"/>
          <w:rtl w:val="0"/>
          <w:lang w:val="en-US"/>
        </w:rPr>
        <w:t>'</w:t>
      </w:r>
      <w:r>
        <w:rPr>
          <w:rFonts w:ascii="Arial" w:cs="Arial" w:hAnsi="Arial" w:eastAsia="Arial"/>
          <w:vertAlign w:val="superscript"/>
          <w:rtl w:val="0"/>
        </w:rPr>
        <w:footnoteReference w:id="90"/>
      </w:r>
      <w:r>
        <w:rPr>
          <w:rFonts w:ascii="Arial" w:hAnsi="Arial"/>
          <w:rtl w:val="0"/>
          <w:lang w:val="en-US"/>
        </w:rPr>
        <w:t xml:space="preserve"> Unfortunately, this misses that the NIEO, too, was led by capitalist state elites, who were trying to rejuvenate global capital, not overthrow it.</w:t>
      </w:r>
      <w:r>
        <w:rPr>
          <w:rFonts w:ascii="Arial" w:cs="Arial" w:hAnsi="Arial" w:eastAsia="Arial"/>
          <w:vertAlign w:val="superscript"/>
          <w:rtl w:val="0"/>
        </w:rPr>
        <w:footnoteReference w:id="91"/>
      </w:r>
      <w:r>
        <w:rPr>
          <w:rFonts w:ascii="Arial" w:hAnsi="Arial"/>
          <w:rtl w:val="0"/>
          <w:lang w:val="en-US"/>
        </w:rPr>
        <w:t xml:space="preserve"> Nor is it so obvious that US imperialists had better understood the class war. Before the comprehensive defeat of the NIEO 'in the 1980s', the G77 had created a genuine moment of possibility. Oil prices and stagflation were high, the post-war order had collapsed, and no one knew what was </w:t>
      </w:r>
      <w:r>
        <w:rPr>
          <w:rFonts w:ascii="Arial" w:hAnsi="Arial" w:hint="default"/>
          <w:rtl w:val="0"/>
          <w:lang w:val="en-US"/>
        </w:rPr>
        <w:t xml:space="preserve">–– </w:t>
      </w:r>
      <w:r>
        <w:rPr>
          <w:rFonts w:ascii="Arial" w:hAnsi="Arial"/>
          <w:rtl w:val="0"/>
          <w:lang w:val="en-US"/>
        </w:rPr>
        <w:t xml:space="preserve">or would be </w:t>
      </w:r>
      <w:r>
        <w:rPr>
          <w:rFonts w:ascii="Arial" w:hAnsi="Arial" w:hint="default"/>
          <w:rtl w:val="0"/>
          <w:lang w:val="en-US"/>
        </w:rPr>
        <w:t xml:space="preserve">–– </w:t>
      </w:r>
      <w:r>
        <w:rPr>
          <w:rFonts w:ascii="Arial" w:hAnsi="Arial"/>
          <w:rtl w:val="0"/>
          <w:lang w:val="en-US"/>
        </w:rPr>
        <w:t>happening. Despite strong short-term conflicts of interest, elites from over 95 states of the Third World created and maintained a strong but malleable position. To provide a 'longer' answer to Varoufakis' important question, then, of why the NIEO project lost the first time, research must reckon with the decision making, or agency, of these G77 state elites.</w:t>
      </w:r>
      <w:commentRangeStart w:id="2"/>
      <w:r>
        <w:rPr>
          <w:rFonts w:ascii="Arial" w:cs="Arial" w:hAnsi="Arial" w:eastAsia="Arial"/>
          <w:vertAlign w:val="superscript"/>
          <w:rtl w:val="0"/>
        </w:rPr>
        <w:footnoteReference w:id="92"/>
      </w:r>
      <w:commentRangeEnd w:id="2"/>
      <w:r>
        <w:commentReference w:id="2"/>
      </w:r>
      <w:r>
        <w:rPr>
          <w:rFonts w:ascii="Arial" w:hAnsi="Arial"/>
          <w:rtl w:val="0"/>
          <w:lang w:val="en-US"/>
        </w:rPr>
        <w:t xml:space="preserve"> </w:t>
      </w:r>
      <w:r>
        <w:rPr>
          <w:rFonts w:ascii="Arial" w:hAnsi="Arial"/>
          <w:rtl w:val="0"/>
          <w:lang w:val="en-US"/>
        </w:rPr>
        <w:t xml:space="preserve">Together, they created various strategic options, </w:t>
      </w:r>
      <w:r>
        <w:rPr>
          <w:rFonts w:ascii="Arial" w:hAnsi="Arial"/>
          <w:rtl w:val="0"/>
          <w:lang w:val="en-US"/>
        </w:rPr>
        <w:t>including those</w:t>
      </w:r>
      <w:r>
        <w:rPr>
          <w:rFonts w:ascii="Arial" w:hAnsi="Arial"/>
          <w:rtl w:val="0"/>
          <w:lang w:val="en-US"/>
        </w:rPr>
        <w:t xml:space="preserve"> that were taken, and </w:t>
      </w:r>
      <w:r>
        <w:rPr>
          <w:rFonts w:ascii="Arial" w:hAnsi="Arial"/>
          <w:rtl w:val="0"/>
          <w:lang w:val="en-US"/>
        </w:rPr>
        <w:t>those</w:t>
      </w:r>
      <w:r>
        <w:rPr>
          <w:rFonts w:ascii="Arial" w:hAnsi="Arial"/>
          <w:rtl w:val="0"/>
          <w:lang w:val="en-US"/>
        </w:rPr>
        <w:t xml:space="preserve"> that weren't.</w:t>
      </w:r>
      <w:r>
        <w:rPr>
          <w:rFonts w:ascii="Arial" w:hAnsi="Arial"/>
          <w:rtl w:val="0"/>
          <w:lang w:val="en-US"/>
        </w:rPr>
        <w:t xml:space="preserve"> To truly grasp their decision-making power is to grapple with the uncertainties of both, or what they could have decided differently. That is the task of this book.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Heading 2"/>
        <w:bidi w:val="0"/>
      </w:pPr>
      <w:r>
        <w:rPr>
          <w:rtl w:val="0"/>
        </w:rPr>
        <w:t>NIEO vs Neo-Colonial Knowledge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Reckoning with the strategic decision making of the G77 is not easy.</w:t>
      </w:r>
      <w:r>
        <w:rPr>
          <w:rFonts w:ascii="Arial" w:cs="Arial" w:hAnsi="Arial" w:eastAsia="Arial"/>
          <w:vertAlign w:val="superscript"/>
          <w:rtl w:val="0"/>
        </w:rPr>
        <w:footnoteReference w:id="93"/>
      </w:r>
      <w:r>
        <w:rPr>
          <w:rFonts w:ascii="Arial" w:hAnsi="Arial"/>
          <w:rtl w:val="0"/>
          <w:lang w:val="en-US"/>
        </w:rPr>
        <w:t xml:space="preserve"> It requires asking how politicians, diplomats and intellectuals from 95 different forms of state could coordinate the reformation of world order. In theory, disciplines like International Relations (IR), International Political Economy, and even liberal economics should help iron out the complexity. In practice, however, these disciplines never took the NIEO's proposals, intellectual foundations or strategic decision making seriously. Instead, they dismissed the NIEO as insignificant, or openly attacked it as a barbaric threat to global liberalism. This treatment of the NIEO accords with John Hobson's neo-Saidian survey of international theory.</w:t>
      </w:r>
      <w:r>
        <w:rPr>
          <w:rFonts w:ascii="Arial" w:cs="Arial" w:hAnsi="Arial" w:eastAsia="Arial"/>
          <w:vertAlign w:val="superscript"/>
          <w:rtl w:val="0"/>
        </w:rPr>
        <w:footnoteReference w:id="94"/>
      </w:r>
      <w:r>
        <w:rPr>
          <w:rFonts w:ascii="Arial" w:hAnsi="Arial"/>
          <w:rtl w:val="0"/>
          <w:lang w:val="en-US"/>
        </w:rPr>
        <w:t xml:space="preserve"> In </w:t>
      </w:r>
      <w:r>
        <w:rPr>
          <w:rFonts w:ascii="Arial" w:hAnsi="Arial"/>
          <w:i w:val="1"/>
          <w:iCs w:val="1"/>
          <w:rtl w:val="0"/>
          <w:lang w:val="en-US"/>
        </w:rPr>
        <w:t>The</w:t>
      </w:r>
      <w:r>
        <w:rPr>
          <w:rFonts w:ascii="Arial" w:hAnsi="Arial"/>
          <w:rtl w:val="0"/>
          <w:lang w:val="en-US"/>
        </w:rPr>
        <w:t xml:space="preserve"> </w:t>
      </w:r>
      <w:r>
        <w:rPr>
          <w:rFonts w:ascii="Arial" w:hAnsi="Arial"/>
          <w:i w:val="1"/>
          <w:iCs w:val="1"/>
          <w:rtl w:val="0"/>
          <w:lang w:val="en-US"/>
        </w:rPr>
        <w:t>Eurocentric Conception of World Politics</w:t>
      </w:r>
      <w:r>
        <w:rPr>
          <w:rFonts w:ascii="Arial" w:hAnsi="Arial"/>
          <w:rtl w:val="0"/>
          <w:lang w:val="en-US"/>
        </w:rPr>
        <w:t>, he explained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567" w:firstLine="0"/>
        <w:jc w:val="left"/>
        <w:rPr>
          <w:rFonts w:ascii="Arial" w:cs="Arial" w:hAnsi="Arial" w:eastAsia="Arial"/>
          <w:rtl w:val="0"/>
        </w:rPr>
      </w:pPr>
      <w:r>
        <w:rPr>
          <w:rFonts w:ascii="Arial" w:hAnsi="Arial"/>
          <w:rtl w:val="0"/>
          <w:lang w:val="en-US"/>
        </w:rPr>
        <w:t>'</w:t>
      </w:r>
      <w:r>
        <w:rPr>
          <w:rFonts w:ascii="Arial" w:hAnsi="Arial"/>
          <w:rtl w:val="0"/>
          <w:lang w:val="en-US"/>
        </w:rPr>
        <w:t>international theory does not so much explain international politics in an objective, positivist and universalist manner but seeks, rather, to parochially celebrate and defend or promote the West as the proactive subject of, and as the highest or ideal normative referent in, world politics.</w:t>
      </w:r>
      <w:r>
        <w:rPr>
          <w:rFonts w:ascii="Arial" w:hAnsi="Arial"/>
          <w:rtl w:val="0"/>
          <w:lang w:val="en-US"/>
        </w:rPr>
        <w:t>'</w:t>
      </w:r>
      <w:r>
        <w:rPr>
          <w:rFonts w:ascii="Arial" w:cs="Arial" w:hAnsi="Arial" w:eastAsia="Arial"/>
          <w:vertAlign w:val="superscript"/>
          <w:rtl w:val="0"/>
        </w:rPr>
        <w:footnoteReference w:id="95"/>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Central to the defence of the West is international theory's Eurocentric conception of non-Western agency. Whereas the West is held up as the sole creator of the modern states system and liberal order, the non-West is either ignored entirely as an insignificant follower, or is feared as a barbaric threat.</w:t>
      </w:r>
      <w:r>
        <w:rPr>
          <w:rFonts w:ascii="Arial" w:cs="Arial" w:hAnsi="Arial" w:eastAsia="Arial"/>
          <w:vertAlign w:val="superscript"/>
          <w:rtl w:val="0"/>
        </w:rPr>
        <w:footnoteReference w:id="96"/>
      </w:r>
      <w:r>
        <w:rPr>
          <w:rFonts w:ascii="Arial" w:hAnsi="Arial"/>
          <w:rtl w:val="0"/>
          <w:lang w:val="en-US"/>
        </w:rPr>
        <w:t xml:space="preserve"> These Eurocentric assumptions were contradicted by the NIEO, which used the knowledge and politics of the Third World Project to create the only viable option of saving the post-WWII embedded liberal order. But Orthodox International Relations didn't care about the anti-colonial movement, nor the NIEO.</w:t>
      </w:r>
      <w:r>
        <w:rPr>
          <w:rFonts w:ascii="Arial" w:cs="Arial" w:hAnsi="Arial" w:eastAsia="Arial"/>
          <w:vertAlign w:val="superscript"/>
          <w:rtl w:val="0"/>
        </w:rPr>
        <w:footnoteReference w:id="97"/>
      </w:r>
      <w:r>
        <w:rPr>
          <w:rFonts w:ascii="Arial" w:hAnsi="Arial"/>
          <w:rtl w:val="0"/>
          <w:lang w:val="en-US"/>
        </w:rPr>
        <w:t xml:space="preserve"> Its ahistorical, Eurocentric theory was incompatible with any meaningful engagement with the ideas and proposals of the NIEO. Stuck in a contradictory binary, where the non-West is held to be either powerless or dangerously barbaric, international theory justified an anti-intellectual dismissal of the NIEO with age-old Western chauvinism.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Such Eurocentrism was most obviously weaponised in the work of the economist Harry G. Johnson. Instead of critiquing the NIEO's </w:t>
      </w:r>
      <w:r>
        <w:rPr>
          <w:rFonts w:ascii="Arial" w:hAnsi="Arial"/>
          <w:rtl w:val="0"/>
          <w:lang w:val="en-US"/>
        </w:rPr>
        <w:t>Prebischian</w:t>
      </w:r>
      <w:r>
        <w:rPr>
          <w:rFonts w:ascii="Arial" w:hAnsi="Arial"/>
          <w:rtl w:val="0"/>
          <w:lang w:val="en-US"/>
        </w:rPr>
        <w:t xml:space="preserve"> political economy, Johnson dismissed the '</w:t>
      </w:r>
      <w:r>
        <w:rPr>
          <w:rFonts w:ascii="Arial" w:hAnsi="Arial"/>
          <w:rtl w:val="0"/>
          <w:lang w:val="en-US"/>
        </w:rPr>
        <w:t>economic illiteracy of the UNCTAD economic secretariat</w:t>
      </w:r>
      <w:r>
        <w:rPr>
          <w:rFonts w:ascii="Arial" w:hAnsi="Arial"/>
          <w:rtl w:val="0"/>
          <w:lang w:val="en-US"/>
        </w:rPr>
        <w:t>'.</w:t>
      </w:r>
      <w:r>
        <w:rPr>
          <w:rFonts w:ascii="Arial" w:cs="Arial" w:hAnsi="Arial" w:eastAsia="Arial"/>
          <w:vertAlign w:val="superscript"/>
          <w:rtl w:val="0"/>
        </w:rPr>
        <w:footnoteReference w:id="98"/>
      </w:r>
      <w:r>
        <w:rPr>
          <w:rFonts w:ascii="Arial" w:hAnsi="Arial"/>
          <w:rtl w:val="0"/>
          <w:lang w:val="en-US"/>
        </w:rPr>
        <w:t xml:space="preserve"> For Johnson, the NIEO pitted 'developed-country toleration' against 'developing-country use of every possibility of monopolistic exploitation they could devise'. With the non-West illiterate, the real threat came from the misguided kindness and guilt of the West, who Johnson feared might offer 'themselves up as willing sacrifices to the hunger of the smaller fry.'</w:t>
      </w:r>
      <w:r>
        <w:rPr>
          <w:rFonts w:ascii="Arial" w:cs="Arial" w:hAnsi="Arial" w:eastAsia="Arial"/>
          <w:vertAlign w:val="superscript"/>
          <w:rtl w:val="0"/>
        </w:rPr>
        <w:footnoteReference w:id="99"/>
      </w:r>
      <w:r>
        <w:rPr>
          <w:rFonts w:ascii="Arial" w:hAnsi="Arial"/>
          <w:rtl w:val="0"/>
          <w:lang w:val="en-US"/>
        </w:rPr>
        <w:t xml:space="preserve"> The G77 had to 'face the fact that one is poor because one's parents were feckless and selfish, and never taught one the necessity of hard work or the importance of taking education seriously.'</w:t>
      </w:r>
      <w:r>
        <w:rPr>
          <w:rFonts w:ascii="Arial" w:cs="Arial" w:hAnsi="Arial" w:eastAsia="Arial"/>
          <w:vertAlign w:val="superscript"/>
          <w:rtl w:val="0"/>
        </w:rPr>
        <w:footnoteReference w:id="100"/>
      </w:r>
      <w:r>
        <w:rPr>
          <w:rFonts w:ascii="Arial" w:hAnsi="Arial"/>
          <w:rtl w:val="0"/>
          <w:lang w:val="en-US"/>
        </w:rPr>
        <w:t xml:space="preserve"> Thus, for Johnson, the two contradictory sides of the Eurocentric conception of non-Western agency were somehow fused together. The NIEO was an illiterate and childish tantrum. But Johnson, as self-anointed patriarch, was still worried. The powerless and insignificant NIEO was still a barbaric threat to liberal order, because of the misguided kindness of the West, which might foolishly give in to the G77's demands.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In the pages of </w:t>
      </w:r>
      <w:r>
        <w:rPr>
          <w:rFonts w:ascii="Arial" w:hAnsi="Arial"/>
          <w:i w:val="1"/>
          <w:iCs w:val="1"/>
          <w:rtl w:val="0"/>
          <w:lang w:val="en-US"/>
        </w:rPr>
        <w:t>Foreign Policy</w:t>
      </w:r>
      <w:r>
        <w:rPr>
          <w:rFonts w:ascii="Arial" w:hAnsi="Arial"/>
          <w:rtl w:val="0"/>
          <w:lang w:val="en-US"/>
        </w:rPr>
        <w:t xml:space="preserve"> the two contradictory sides of the Eurocentric conception of non-Western agency were pitted against each other. On the one hand, the NIEO was dismissed as entirely powerless. On the other, it was feared as a threat that had to be carefully guarded against. This isn't to say that the debate was entirely unsympathetic. C. Fred Bergsten was calling on US elites to offer the G77 a 'truly new international economic order in which its legitimate interests in both adequate economic return and full political participation are met.'</w:t>
      </w:r>
      <w:r>
        <w:rPr>
          <w:rFonts w:ascii="Arial" w:cs="Arial" w:hAnsi="Arial" w:eastAsia="Arial"/>
          <w:vertAlign w:val="superscript"/>
          <w:rtl w:val="0"/>
        </w:rPr>
        <w:footnoteReference w:id="101"/>
      </w:r>
      <w:r>
        <w:rPr>
          <w:rFonts w:ascii="Arial" w:hAnsi="Arial"/>
          <w:rtl w:val="0"/>
          <w:lang w:val="en-US"/>
        </w:rPr>
        <w:t xml:space="preserve"> The US should offer such concessions, Bergsten argued, because the G77 was irrational, and dangerous.</w:t>
      </w:r>
      <w:r>
        <w:rPr>
          <w:rFonts w:ascii="Arial" w:cs="Arial" w:hAnsi="Arial" w:eastAsia="Arial"/>
          <w:vertAlign w:val="superscript"/>
          <w:rtl w:val="0"/>
        </w:rPr>
        <w:footnoteReference w:id="102"/>
      </w:r>
      <w:r>
        <w:rPr>
          <w:rFonts w:ascii="Arial" w:hAnsi="Arial"/>
          <w:rtl w:val="0"/>
          <w:lang w:val="en-US"/>
        </w:rPr>
        <w:t xml:space="preserve"> In terms of the underlying power of the G77, Bergsten's analysis was strong. So was the counter position of Stephen Krasner.</w:t>
      </w:r>
      <w:r>
        <w:rPr>
          <w:rFonts w:ascii="Arial" w:cs="Arial" w:hAnsi="Arial" w:eastAsia="Arial"/>
          <w:vertAlign w:val="superscript"/>
          <w:rtl w:val="0"/>
        </w:rPr>
        <w:footnoteReference w:id="103"/>
      </w:r>
      <w:r>
        <w:rPr>
          <w:rFonts w:ascii="Arial" w:hAnsi="Arial"/>
          <w:rtl w:val="0"/>
          <w:lang w:val="en-US"/>
        </w:rPr>
        <w:t xml:space="preserve"> As expert analysts of international relations, their debate is an essential resource for explaining the G77's strategic possibilities. However, this doesn't change what the debate was. Bergsten and Krasner took up each side of the Eurocentric conception of non-Western agency. Bergsten argued forcefully that the Third World was a dangerous threat, and called on US elites to respond with the pioneering, and enlightened agency inherent to the West. Krasner argued the opposite, arguing that the threat was wildly exaggerated. Here, then, were the two contradictory sides the Eurocentric conception of non-Western agency. The non-West as authoritarian threat was pitted against the non-West as insignificant. </w:t>
      </w:r>
      <w:commentRangeStart w:id="3"/>
      <w:r>
        <w:rPr>
          <w:rFonts w:ascii="Arial" w:cs="Arial" w:hAnsi="Arial" w:eastAsia="Arial"/>
          <w:rtl w:val="0"/>
        </w:rPr>
        <w:br w:type="textWrapping"/>
      </w:r>
      <w:commentRangeEnd w:id="3"/>
      <w:r>
        <w:commentReference w:id="3"/>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The significance of this Eurocentric binary was not just theoretical. As Edward Said explained, Eurocentrism is the legitimising knowledge of Western imperialism, its ruling ideology, or common sense.</w:t>
      </w:r>
      <w:r>
        <w:rPr>
          <w:rFonts w:ascii="Arial" w:cs="Arial" w:hAnsi="Arial" w:eastAsia="Arial"/>
          <w:vertAlign w:val="superscript"/>
          <w:rtl w:val="0"/>
        </w:rPr>
        <w:footnoteReference w:id="104"/>
      </w:r>
      <w:r>
        <w:rPr>
          <w:rFonts w:ascii="Arial" w:hAnsi="Arial"/>
          <w:rtl w:val="0"/>
          <w:lang w:val="en-US"/>
        </w:rPr>
        <w:t xml:space="preserve"> As such, it played a powerful causal role in the defeat of the NIEO. To appreciate this, witness how the Eurocentric conception of non-Western agency permeated the discourse of the US political and media class. In a 1975 address to the US Senate, Republican </w:t>
      </w:r>
      <w:r>
        <w:rPr>
          <w:rFonts w:ascii="Arial" w:hAnsi="Arial"/>
          <w:rtl w:val="0"/>
          <w:lang w:val="en-US"/>
        </w:rPr>
        <w:t>John Glenn Beall Jr</w:t>
      </w:r>
      <w:r>
        <w:rPr>
          <w:rFonts w:ascii="Arial" w:hAnsi="Arial"/>
          <w:rtl w:val="0"/>
          <w:lang w:val="en-US"/>
        </w:rPr>
        <w:t>. sought a commission into the UN, with a particular focus on the NIEO. In doing so, he described the General Assembly as '</w:t>
      </w:r>
      <w:r>
        <w:rPr>
          <w:rFonts w:ascii="Arial" w:hAnsi="Arial"/>
          <w:rtl w:val="0"/>
          <w:lang w:val="en-US"/>
        </w:rPr>
        <w:t>a latter day Tower of Babel on New York</w:t>
      </w:r>
      <w:r>
        <w:rPr>
          <w:rFonts w:ascii="Arial" w:hAnsi="Arial" w:hint="default"/>
          <w:rtl w:val="1"/>
        </w:rPr>
        <w:t>’</w:t>
      </w:r>
      <w:r>
        <w:rPr>
          <w:rFonts w:ascii="Arial" w:hAnsi="Arial"/>
          <w:rtl w:val="0"/>
          <w:lang w:val="en-US"/>
        </w:rPr>
        <w:t>s East River</w:t>
      </w:r>
      <w:r>
        <w:rPr>
          <w:rFonts w:ascii="Arial" w:hAnsi="Arial"/>
          <w:rtl w:val="0"/>
          <w:lang w:val="en-US"/>
        </w:rPr>
        <w:t>.'</w:t>
      </w:r>
      <w:r>
        <w:rPr>
          <w:rFonts w:ascii="Arial" w:cs="Arial" w:hAnsi="Arial" w:eastAsia="Arial"/>
          <w:vertAlign w:val="superscript"/>
          <w:rtl w:val="0"/>
        </w:rPr>
        <w:footnoteReference w:id="105"/>
      </w:r>
      <w:r>
        <w:rPr>
          <w:rFonts w:ascii="Arial" w:hAnsi="Arial"/>
          <w:rtl w:val="0"/>
          <w:lang w:val="en-US"/>
        </w:rPr>
        <w:t xml:space="preserve"> Then, Beall tabled a </w:t>
      </w:r>
      <w:r>
        <w:rPr>
          <w:rFonts w:ascii="Arial" w:hAnsi="Arial"/>
          <w:i w:val="1"/>
          <w:iCs w:val="1"/>
          <w:rtl w:val="0"/>
          <w:lang w:val="en-US"/>
        </w:rPr>
        <w:t>Forbes</w:t>
      </w:r>
      <w:r>
        <w:rPr>
          <w:rFonts w:ascii="Arial" w:hAnsi="Arial"/>
          <w:rtl w:val="0"/>
          <w:lang w:val="en-US"/>
        </w:rPr>
        <w:t xml:space="preserve"> magazine article, which cited a joke that was 'making the rounds at the United Nations':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567" w:firstLine="0"/>
        <w:jc w:val="left"/>
        <w:rPr>
          <w:rFonts w:ascii="Arial" w:cs="Arial" w:hAnsi="Arial" w:eastAsia="Arial"/>
          <w:rtl w:val="0"/>
        </w:rPr>
      </w:pPr>
      <w:r>
        <w:rPr>
          <w:rFonts w:ascii="Arial" w:hAnsi="Arial"/>
          <w:rtl w:val="0"/>
          <w:lang w:val="en-US"/>
        </w:rPr>
        <w:t>'</w:t>
      </w:r>
      <w:r>
        <w:rPr>
          <w:rFonts w:ascii="Arial" w:hAnsi="Arial"/>
          <w:rtl w:val="0"/>
          <w:lang w:val="en-US"/>
        </w:rPr>
        <w:t>A delegate from an Arab state submits a resolution to the General Assembly declaring that the world is flat. The Americans and a few others express opposition, most of Europe abstains, and the proposal passes by a four-fifths majority. The old idea that the world is round now stands officially condemned as a myth to cover the imperialist journeys of Christopher Columbus.</w:t>
      </w:r>
      <w:r>
        <w:rPr>
          <w:rFonts w:ascii="Arial" w:hAnsi="Arial"/>
          <w:rtl w:val="0"/>
          <w:lang w:val="en-US"/>
        </w:rPr>
        <w:t>'</w:t>
      </w:r>
      <w:r>
        <w:rPr>
          <w:rFonts w:ascii="Arial" w:cs="Arial" w:hAnsi="Arial" w:eastAsia="Arial"/>
          <w:vertAlign w:val="superscript"/>
          <w:rtl w:val="0"/>
        </w:rPr>
        <w:footnoteReference w:id="106"/>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With the nonchalance of a racist joke, the concerns of nearly the entire Earth were dismissed by their neocolonial masters. For Ronald Reagan, who would drive the last nails into the coffin of the NIEO, racism towards G77 elites was even more overt. On a call to Nixon, he complained about members of a Tanzanian delegation: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567" w:firstLine="0"/>
        <w:jc w:val="left"/>
        <w:rPr>
          <w:rFonts w:ascii="Arial" w:cs="Arial" w:hAnsi="Arial" w:eastAsia="Arial"/>
          <w:rtl w:val="0"/>
        </w:rPr>
      </w:pPr>
      <w:r>
        <w:rPr>
          <w:rFonts w:ascii="Arial" w:hAnsi="Arial"/>
          <w:rtl w:val="0"/>
          <w:lang w:val="en-US"/>
        </w:rPr>
        <w:t>'</w:t>
      </w:r>
      <w:r>
        <w:rPr>
          <w:rFonts w:ascii="Arial" w:hAnsi="Arial"/>
          <w:rtl w:val="0"/>
          <w:lang w:val="en-US"/>
        </w:rPr>
        <w:t xml:space="preserve">To see those... monkeys from those African countries </w:t>
      </w:r>
      <w:r>
        <w:rPr>
          <w:rFonts w:ascii="Arial" w:hAnsi="Arial" w:hint="default"/>
          <w:rtl w:val="0"/>
          <w:lang w:val="en-US"/>
        </w:rPr>
        <w:t>––</w:t>
      </w:r>
      <w:r>
        <w:rPr>
          <w:rFonts w:ascii="Arial" w:hAnsi="Arial"/>
          <w:rtl w:val="0"/>
          <w:lang w:val="en-US"/>
        </w:rPr>
        <w:t xml:space="preserve"> damn them, they're still uncomfortable wearing shoes!</w:t>
      </w:r>
      <w:r>
        <w:rPr>
          <w:rFonts w:ascii="Arial" w:hAnsi="Arial"/>
          <w:rtl w:val="0"/>
          <w:lang w:val="en-US"/>
        </w:rPr>
        <w:t>'</w:t>
      </w:r>
      <w:r>
        <w:rPr>
          <w:rFonts w:ascii="Arial" w:cs="Arial" w:hAnsi="Arial" w:eastAsia="Arial"/>
          <w:vertAlign w:val="superscript"/>
          <w:rtl w:val="0"/>
        </w:rPr>
        <w:footnoteReference w:id="107"/>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Nixon laughed, but </w:t>
      </w:r>
      <w:r>
        <w:rPr>
          <w:rFonts w:ascii="Arial" w:hAnsi="Arial" w:hint="default"/>
          <w:rtl w:val="0"/>
          <w:lang w:val="en-US"/>
        </w:rPr>
        <w:t xml:space="preserve">–– </w:t>
      </w:r>
      <w:r>
        <w:rPr>
          <w:rFonts w:ascii="Arial" w:hAnsi="Arial"/>
          <w:rtl w:val="0"/>
          <w:lang w:val="en-US"/>
        </w:rPr>
        <w:t xml:space="preserve">as mentioned </w:t>
      </w:r>
      <w:r>
        <w:rPr>
          <w:rFonts w:ascii="Arial" w:hAnsi="Arial" w:hint="default"/>
          <w:rtl w:val="0"/>
          <w:lang w:val="en-US"/>
        </w:rPr>
        <w:t xml:space="preserve">–– </w:t>
      </w:r>
      <w:r>
        <w:rPr>
          <w:rFonts w:ascii="Arial" w:hAnsi="Arial"/>
          <w:rtl w:val="0"/>
          <w:lang w:val="en-US"/>
        </w:rPr>
        <w:t>was forced to take the NIEO seriously.</w:t>
      </w:r>
      <w:r>
        <w:rPr>
          <w:rFonts w:ascii="Arial" w:cs="Arial" w:hAnsi="Arial" w:eastAsia="Arial"/>
          <w:vertAlign w:val="superscript"/>
          <w:rtl w:val="0"/>
        </w:rPr>
        <w:footnoteReference w:id="108"/>
      </w:r>
      <w:r>
        <w:rPr>
          <w:rFonts w:ascii="Arial" w:hAnsi="Arial"/>
          <w:rtl w:val="0"/>
          <w:lang w:val="en-US"/>
        </w:rPr>
        <w:t xml:space="preserve"> This was part of the NIEO's success. By the time of the Seventh Special Session, the US delegation brought what seemed like a genuine willingness to negotiate.</w:t>
      </w:r>
      <w:r>
        <w:rPr>
          <w:rStyle w:val="None"/>
          <w:rFonts w:ascii="Arial" w:cs="Arial" w:hAnsi="Arial" w:eastAsia="Arial"/>
          <w:vertAlign w:val="superscript"/>
          <w:rtl w:val="0"/>
        </w:rPr>
        <w:footnoteReference w:id="109"/>
      </w:r>
      <w:r>
        <w:rPr>
          <w:rFonts w:ascii="Arial" w:hAnsi="Arial"/>
          <w:rtl w:val="0"/>
          <w:lang w:val="en-US"/>
        </w:rPr>
        <w:t xml:space="preserve"> The G77 had forced racist, imperialist elites to take their concerns seriously. In the eyes of those elites, this only meant a shift from dismissiveness to fear. Still, this was no easy feat, and the change in practice had its effect on international theory. G77 power created a temporary space for more critical, or historical, theorists of International Relations and International Political Economy. As discussed, Branislav Gosovic and </w:t>
      </w:r>
      <w:r>
        <w:rPr>
          <w:rFonts w:ascii="Arial" w:hAnsi="Arial"/>
          <w:rtl w:val="0"/>
          <w:lang w:val="it-IT"/>
        </w:rPr>
        <w:t xml:space="preserve">John G. Ruggie </w:t>
      </w:r>
      <w:r>
        <w:rPr>
          <w:rFonts w:ascii="Arial" w:hAnsi="Arial"/>
          <w:rtl w:val="0"/>
          <w:lang w:val="en-US"/>
        </w:rPr>
        <w:t>wrote, in 1975, of the power of the G77 and the possibility of a NIEO.</w:t>
      </w:r>
      <w:r>
        <w:rPr>
          <w:rStyle w:val="None"/>
          <w:rFonts w:ascii="Arial" w:cs="Arial" w:hAnsi="Arial" w:eastAsia="Arial"/>
          <w:vertAlign w:val="superscript"/>
          <w:rtl w:val="0"/>
        </w:rPr>
        <w:footnoteReference w:id="110"/>
      </w:r>
      <w:r>
        <w:rPr>
          <w:rFonts w:ascii="Arial" w:hAnsi="Arial"/>
          <w:rtl w:val="0"/>
          <w:lang w:val="en-US"/>
        </w:rPr>
        <w:t xml:space="preserve"> The neo-Gramscian liberal, Craig Murphy, was one of the first to push back against Orthodox IR's Eurocentrism. He showed that the NIEO was not opposed to, but in favour of, global liberalism.</w:t>
      </w:r>
      <w:r>
        <w:rPr>
          <w:rStyle w:val="None"/>
          <w:rFonts w:ascii="Arial" w:cs="Arial" w:hAnsi="Arial" w:eastAsia="Arial"/>
          <w:vertAlign w:val="superscript"/>
          <w:rtl w:val="0"/>
        </w:rPr>
        <w:footnoteReference w:id="111"/>
      </w:r>
      <w:r>
        <w:rPr>
          <w:rFonts w:ascii="Arial" w:hAnsi="Arial"/>
          <w:rtl w:val="0"/>
          <w:lang w:val="en-US"/>
        </w:rPr>
        <w:t xml:space="preserve"> While pioneering a historical materialist theory of world order, Robert Cox wrote what is still the best survey of the contemporaneous debates about the NIEO.</w:t>
      </w:r>
      <w:r>
        <w:rPr>
          <w:rStyle w:val="None"/>
          <w:rFonts w:ascii="Arial" w:cs="Arial" w:hAnsi="Arial" w:eastAsia="Arial"/>
          <w:vertAlign w:val="superscript"/>
          <w:rtl w:val="0"/>
        </w:rPr>
        <w:footnoteReference w:id="112"/>
      </w:r>
      <w:r>
        <w:rPr>
          <w:rFonts w:ascii="Arial" w:hAnsi="Arial"/>
          <w:rtl w:val="0"/>
          <w:lang w:val="en-US"/>
        </w:rPr>
        <w:t xml:space="preserve"> Cox built on this analysis to create a theory intended to assist social forces with the explicit goal of changing world order, and his vision bore the strong resemblance of the goal of a NIEO.</w:t>
      </w:r>
      <w:commentRangeStart w:id="4"/>
      <w:r>
        <w:rPr>
          <w:rStyle w:val="None"/>
          <w:rFonts w:ascii="Arial" w:cs="Arial" w:hAnsi="Arial" w:eastAsia="Arial"/>
          <w:vertAlign w:val="superscript"/>
          <w:rtl w:val="0"/>
        </w:rPr>
        <w:footnoteReference w:id="113"/>
      </w:r>
      <w:commentRangeEnd w:id="4"/>
      <w:r>
        <w:commentReference w:id="4"/>
      </w:r>
      <w:r>
        <w:rPr>
          <w:rFonts w:ascii="Arial" w:hAnsi="Arial"/>
          <w:rtl w:val="0"/>
          <w:lang w:val="en-US"/>
        </w:rPr>
        <w:t xml:space="preserve"> Thus, by creating the possibility for the reformation of world order, the project for a NIEO created the possibility for new international theory. For a moment as brief as the NIEO itself, a small group of IR scholars took non-Western agency seriously.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However, as soon as these Critical IR theorists realised that the NIEO had failed, they too dismissed it. Both John Ruggie and Robert Cox reneged on their prior assertions.</w:t>
      </w:r>
      <w:r>
        <w:rPr>
          <w:rStyle w:val="None"/>
          <w:rFonts w:ascii="Arial" w:cs="Arial" w:hAnsi="Arial" w:eastAsia="Arial"/>
          <w:vertAlign w:val="superscript"/>
          <w:rtl w:val="0"/>
        </w:rPr>
        <w:footnoteReference w:id="114"/>
      </w:r>
      <w:r>
        <w:rPr>
          <w:rFonts w:ascii="Arial" w:hAnsi="Arial"/>
          <w:rtl w:val="0"/>
          <w:lang w:val="en-US"/>
        </w:rPr>
        <w:t xml:space="preserve"> Because the NIEO had failed, they reasoned, it had never stood a chance. Susan Strange, the pioneering scholar of International Political Economy, described the NIEO's strategy as an 'illusion'.</w:t>
      </w:r>
      <w:r>
        <w:rPr>
          <w:rStyle w:val="None"/>
          <w:rFonts w:ascii="Arial" w:cs="Arial" w:hAnsi="Arial" w:eastAsia="Arial"/>
          <w:vertAlign w:val="superscript"/>
          <w:rtl w:val="0"/>
        </w:rPr>
        <w:footnoteReference w:id="115"/>
      </w:r>
      <w:r>
        <w:rPr>
          <w:rFonts w:ascii="Arial" w:hAnsi="Arial"/>
          <w:rtl w:val="0"/>
          <w:lang w:val="en-US"/>
        </w:rPr>
        <w:t xml:space="preserve"> This legacy of Critical International Theory is a millstone around the neck of any group, like the Progressive International, that seeks to revive the praxis of the NIEO. When Varoufakis asks 'Why we failed the first time round?', international theory </w:t>
      </w:r>
      <w:r>
        <w:rPr>
          <w:rFonts w:ascii="Arial" w:hAnsi="Arial" w:hint="default"/>
          <w:rtl w:val="0"/>
          <w:lang w:val="en-US"/>
        </w:rPr>
        <w:t xml:space="preserve">–– </w:t>
      </w:r>
      <w:r>
        <w:rPr>
          <w:rFonts w:ascii="Arial" w:hAnsi="Arial"/>
          <w:rtl w:val="0"/>
          <w:lang w:val="en-US"/>
        </w:rPr>
        <w:t xml:space="preserve">whether critical or orthodox </w:t>
      </w:r>
      <w:r>
        <w:rPr>
          <w:rFonts w:ascii="Arial" w:hAnsi="Arial" w:hint="default"/>
          <w:rtl w:val="0"/>
          <w:lang w:val="en-US"/>
        </w:rPr>
        <w:t xml:space="preserve">–– </w:t>
      </w:r>
      <w:r>
        <w:rPr>
          <w:rFonts w:ascii="Arial" w:hAnsi="Arial"/>
          <w:rtl w:val="0"/>
          <w:lang w:val="en-US"/>
        </w:rPr>
        <w:t>answers with an overwhelming consensus: the project had never stood a chance. As such, it is crucial to stress that this dismissal came prior to the research needed to support it. As certain as Western academics became, no one studied the G77's strategic decision making. Thus, no one knew whether the project failed because it was insufficiently powerful, or because of how that power was used. Such is the poverty of international theory. It was so eager to dismiss the agency of the non-West that it became void of any knowledge about the strategic decision making, creativity and struggle that had brought the campaign for a New International Economic Order to life. This would require knowledge of the G77's internal, and contradictory, ideas and actions. It would require a study not just of what was decided, but what was considered and decided against. Fortunately, historians have taken important steps in this direction.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b w:val="1"/>
          <w:bCs w:val="1"/>
          <w:rtl w:val="0"/>
        </w:rPr>
      </w:pPr>
      <w:r>
        <w:rPr>
          <w:rFonts w:ascii="Arial" w:hAnsi="Arial"/>
          <w:b w:val="1"/>
          <w:bCs w:val="1"/>
          <w:rtl w:val="0"/>
          <w:lang w:val="en-US"/>
        </w:rPr>
        <w:t>A new historiographical turn for a new New International Economic Order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The dismissive consensus </w:t>
      </w:r>
      <w:r>
        <w:rPr>
          <w:rFonts w:ascii="Arial" w:hAnsi="Arial" w:hint="default"/>
          <w:rtl w:val="0"/>
          <w:lang w:val="en-US"/>
        </w:rPr>
        <w:t xml:space="preserve">–– </w:t>
      </w:r>
      <w:r>
        <w:rPr>
          <w:rFonts w:ascii="Arial" w:hAnsi="Arial"/>
          <w:rtl w:val="0"/>
          <w:lang w:val="en-US"/>
        </w:rPr>
        <w:t xml:space="preserve">that the NIEO was powerless because it failed, and was insignificant because it was powerless </w:t>
      </w:r>
      <w:r>
        <w:rPr>
          <w:rFonts w:ascii="Arial" w:hAnsi="Arial" w:hint="default"/>
          <w:rtl w:val="0"/>
          <w:lang w:val="en-US"/>
        </w:rPr>
        <w:t xml:space="preserve">–– </w:t>
      </w:r>
      <w:r>
        <w:rPr>
          <w:rFonts w:ascii="Arial" w:hAnsi="Arial"/>
          <w:rtl w:val="0"/>
          <w:lang w:val="en-US"/>
        </w:rPr>
        <w:t>has reinforced the unconscious common sense of International Relations, its 'Eurocentric Conception of World Politics'.</w:t>
      </w:r>
      <w:r>
        <w:rPr>
          <w:rStyle w:val="None"/>
          <w:rFonts w:ascii="Arial" w:cs="Arial" w:hAnsi="Arial" w:eastAsia="Arial"/>
          <w:vertAlign w:val="superscript"/>
          <w:rtl w:val="0"/>
        </w:rPr>
        <w:footnoteReference w:id="116"/>
      </w:r>
      <w:r>
        <w:rPr>
          <w:rFonts w:ascii="Arial" w:hAnsi="Arial"/>
          <w:rtl w:val="0"/>
          <w:lang w:val="en-US"/>
        </w:rPr>
        <w:t xml:space="preserve"> Curiously, the first cracks in the consensus appeared alongside the emergence of fissures within global capital itself. Just before the Great Recession, and just after, the Marxist historian Vijay Prashad published </w:t>
      </w:r>
      <w:r>
        <w:rPr>
          <w:rStyle w:val="None"/>
          <w:rFonts w:ascii="Arial" w:hAnsi="Arial"/>
          <w:i w:val="1"/>
          <w:iCs w:val="1"/>
          <w:rtl w:val="0"/>
          <w:lang w:val="en-US"/>
        </w:rPr>
        <w:t xml:space="preserve">Darker Nations </w:t>
      </w:r>
      <w:r>
        <w:rPr>
          <w:rFonts w:ascii="Arial" w:hAnsi="Arial"/>
          <w:rtl w:val="0"/>
          <w:lang w:val="en-US"/>
        </w:rPr>
        <w:t xml:space="preserve">(2006) and </w:t>
      </w:r>
      <w:r>
        <w:rPr>
          <w:rStyle w:val="None"/>
          <w:rFonts w:ascii="Arial" w:hAnsi="Arial"/>
          <w:i w:val="1"/>
          <w:iCs w:val="1"/>
          <w:rtl w:val="0"/>
          <w:lang w:val="en-US"/>
        </w:rPr>
        <w:t xml:space="preserve">Poorer Nations </w:t>
      </w:r>
      <w:r>
        <w:rPr>
          <w:rFonts w:ascii="Arial" w:hAnsi="Arial"/>
          <w:rtl w:val="0"/>
          <w:lang w:val="en-US"/>
        </w:rPr>
        <w:t>(2011). Prashad took the NIEO seriously, and highlighted its theoretical and practical origins in what he called 'The Third World Project'.</w:t>
      </w:r>
      <w:r>
        <w:rPr>
          <w:rStyle w:val="None"/>
          <w:rFonts w:ascii="Arial" w:cs="Arial" w:hAnsi="Arial" w:eastAsia="Arial"/>
          <w:vertAlign w:val="superscript"/>
          <w:rtl w:val="0"/>
        </w:rPr>
        <w:footnoteReference w:id="117"/>
      </w:r>
      <w:r>
        <w:rPr>
          <w:rFonts w:ascii="Arial" w:hAnsi="Arial"/>
          <w:rtl w:val="0"/>
          <w:lang w:val="en-US"/>
        </w:rPr>
        <w:t xml:space="preserve"> His macro-histories sparked a wider reconsideration of the NIEO by historians who wanted to avoid the assumption that the G77 had been powerless simply because it failed. As Nils Gilman wrote in a special edition of the journal </w:t>
      </w:r>
      <w:r>
        <w:rPr>
          <w:rStyle w:val="None"/>
          <w:rFonts w:ascii="Arial" w:hAnsi="Arial"/>
          <w:i w:val="1"/>
          <w:iCs w:val="1"/>
          <w:rtl w:val="0"/>
          <w:lang w:val="en-US"/>
        </w:rPr>
        <w:t>Humanity</w:t>
      </w:r>
      <w:r>
        <w:rPr>
          <w:rFonts w:ascii="Arial" w:hAnsi="Arial"/>
          <w:rtl w:val="0"/>
          <w:lang w:val="en-US"/>
        </w:rPr>
        <w:t xml:space="preserve">, historians should </w:t>
      </w:r>
      <w:r>
        <w:rPr>
          <w:rFonts w:ascii="Arial" w:hAnsi="Arial" w:hint="default"/>
          <w:rtl w:val="1"/>
        </w:rPr>
        <w:t>‘</w:t>
      </w:r>
      <w:r>
        <w:rPr>
          <w:rFonts w:ascii="Arial" w:hAnsi="Arial"/>
          <w:rtl w:val="0"/>
          <w:lang w:val="en-US"/>
        </w:rPr>
        <w:t>always be wary of ascribing inevitability to outcomes that seemed deeply uncertain to the actors at the time.</w:t>
      </w:r>
      <w:r>
        <w:rPr>
          <w:rFonts w:ascii="Arial" w:hAnsi="Arial" w:hint="default"/>
          <w:rtl w:val="1"/>
        </w:rPr>
        <w:t>’</w:t>
      </w:r>
      <w:r>
        <w:rPr>
          <w:rStyle w:val="None"/>
          <w:rFonts w:ascii="Arial" w:cs="Arial" w:hAnsi="Arial" w:eastAsia="Arial"/>
          <w:vertAlign w:val="superscript"/>
          <w:rtl w:val="0"/>
        </w:rPr>
        <w:footnoteReference w:id="118"/>
      </w:r>
      <w:r>
        <w:rPr>
          <w:rFonts w:ascii="Arial" w:hAnsi="Arial"/>
          <w:rtl w:val="0"/>
          <w:lang w:val="en-US"/>
        </w:rPr>
        <w:t xml:space="preserve"> For Gilman, the history of the NIEO presented a paradox. He wanted to know: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i w:val="1"/>
          <w:iCs w:val="1"/>
          <w:rtl w:val="0"/>
        </w:rPr>
      </w:pPr>
      <w:r>
        <w:rPr>
          <w:rFonts w:ascii="Arial" w:hAnsi="Arial"/>
          <w:i w:val="1"/>
          <w:iCs w:val="1"/>
          <w:rtl w:val="0"/>
          <w:lang w:val="en-US"/>
        </w:rPr>
        <w:t xml:space="preserve">'how </w:t>
      </w:r>
      <w:r>
        <w:rPr>
          <w:rFonts w:ascii="Arial" w:hAnsi="Arial"/>
          <w:i w:val="1"/>
          <w:iCs w:val="1"/>
          <w:rtl w:val="0"/>
          <w:lang w:val="en-US"/>
        </w:rPr>
        <w:t>an entity that today has been nearly universally represented (insofar as it is represented at all) as an abject and inevitable failure had in its own moment seemed so entirely plausible to so many of both its proponents and enemies</w:t>
      </w:r>
      <w:r>
        <w:rPr>
          <w:rFonts w:ascii="Arial" w:hAnsi="Arial"/>
          <w:i w:val="1"/>
          <w:iCs w:val="1"/>
          <w:rtl w:val="0"/>
          <w:lang w:val="en-US"/>
        </w:rPr>
        <w:t>.'</w:t>
      </w:r>
      <w:r>
        <w:rPr>
          <w:rStyle w:val="None"/>
          <w:rFonts w:ascii="Arial" w:cs="Arial" w:hAnsi="Arial" w:eastAsia="Arial"/>
          <w:i w:val="1"/>
          <w:iCs w:val="1"/>
          <w:vertAlign w:val="superscript"/>
          <w:rtl w:val="0"/>
        </w:rPr>
        <w:footnoteReference w:id="119"/>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Gilman's curiosity is exactly what IR theory, both Critical and Orthodox, lacked. It points to what is needed to understand the power of the original NIEO, and the reasons for its failure. What is needed is a counterfactual approach. Historians must consider the actually-imagined 'what if?' scenarios that drove the G77's strategic decision making. Were there alternative options, which G77 elites considered taking? How did they imagine that these options would have played out? If taken, could they have led to a more successful NIEO? If so, why weren't they taken?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Such talk of counterfactuals is frightening to those who fetishise the facts of history, or what actually happened. For them, any talk of counterfactuals is assumed to be inherently idealistic and fanciful.</w:t>
      </w:r>
      <w:r>
        <w:rPr>
          <w:rStyle w:val="None"/>
          <w:rFonts w:ascii="Arial" w:cs="Arial" w:hAnsi="Arial" w:eastAsia="Arial"/>
          <w:vertAlign w:val="superscript"/>
          <w:rtl w:val="0"/>
        </w:rPr>
        <w:footnoteReference w:id="120"/>
      </w:r>
      <w:r>
        <w:rPr>
          <w:rFonts w:ascii="Arial" w:hAnsi="Arial"/>
          <w:rtl w:val="0"/>
          <w:lang w:val="en-US"/>
        </w:rPr>
        <w:t xml:space="preserve"> But this counterfactual-phobia is misplaced. For decision making really happens, and counterfactuals are its basis. Before a person decides on the uncertain implications of option </w:t>
      </w:r>
      <w:r>
        <w:rPr>
          <w:rStyle w:val="None"/>
          <w:rFonts w:ascii="Arial" w:hAnsi="Arial"/>
          <w:i w:val="1"/>
          <w:iCs w:val="1"/>
          <w:rtl w:val="0"/>
          <w:lang w:val="en-US"/>
        </w:rPr>
        <w:t>a</w:t>
      </w:r>
      <w:r>
        <w:rPr>
          <w:rFonts w:ascii="Arial" w:hAnsi="Arial"/>
          <w:rtl w:val="0"/>
          <w:lang w:val="en-US"/>
        </w:rPr>
        <w:t xml:space="preserve"> they compare it with an estimation of the uncertain implications of options </w:t>
      </w:r>
      <w:r>
        <w:rPr>
          <w:rStyle w:val="None"/>
          <w:rFonts w:ascii="Arial" w:hAnsi="Arial"/>
          <w:i w:val="1"/>
          <w:iCs w:val="1"/>
          <w:rtl w:val="0"/>
          <w:lang w:val="en-US"/>
        </w:rPr>
        <w:t xml:space="preserve">b </w:t>
      </w:r>
      <w:r>
        <w:rPr>
          <w:rFonts w:ascii="Arial" w:hAnsi="Arial"/>
          <w:rtl w:val="0"/>
          <w:lang w:val="en-US"/>
        </w:rPr>
        <w:t xml:space="preserve">and </w:t>
      </w:r>
      <w:r>
        <w:rPr>
          <w:rStyle w:val="None"/>
          <w:rFonts w:ascii="Arial" w:hAnsi="Arial"/>
          <w:i w:val="1"/>
          <w:iCs w:val="1"/>
          <w:rtl w:val="0"/>
          <w:lang w:val="en-US"/>
        </w:rPr>
        <w:t>c</w:t>
      </w:r>
      <w:r>
        <w:rPr>
          <w:rFonts w:ascii="Arial" w:hAnsi="Arial"/>
          <w:rtl w:val="0"/>
          <w:lang w:val="en-US"/>
        </w:rPr>
        <w:t xml:space="preserve">. These options, or uncertain 'what if?' scenarios, are entirely imagined, but they are all that any decision maker </w:t>
      </w:r>
      <w:r>
        <w:rPr>
          <w:rFonts w:ascii="Arial" w:hAnsi="Arial" w:hint="default"/>
          <w:rtl w:val="0"/>
          <w:lang w:val="en-US"/>
        </w:rPr>
        <w:t xml:space="preserve">–– </w:t>
      </w:r>
      <w:r>
        <w:rPr>
          <w:rFonts w:ascii="Arial" w:hAnsi="Arial"/>
          <w:rtl w:val="0"/>
          <w:lang w:val="en-US"/>
        </w:rPr>
        <w:t xml:space="preserve">struggling amidst conditions not of their choosing </w:t>
      </w:r>
      <w:r>
        <w:rPr>
          <w:rFonts w:ascii="Arial" w:hAnsi="Arial" w:hint="default"/>
          <w:rtl w:val="0"/>
          <w:lang w:val="en-US"/>
        </w:rPr>
        <w:t xml:space="preserve">–– </w:t>
      </w:r>
      <w:r>
        <w:rPr>
          <w:rFonts w:ascii="Arial" w:hAnsi="Arial"/>
          <w:rtl w:val="0"/>
          <w:lang w:val="en-US"/>
        </w:rPr>
        <w:t xml:space="preserve">has to go on. They are imaginary, but no less real. It is by weighing up these competing scenarios that people understand the world and try to change it.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What's more, all historical arguments about causation are inherently counterfactual.</w:t>
      </w:r>
      <w:r>
        <w:rPr>
          <w:rStyle w:val="None"/>
          <w:rFonts w:ascii="Arial" w:cs="Arial" w:hAnsi="Arial" w:eastAsia="Arial"/>
          <w:vertAlign w:val="superscript"/>
          <w:rtl w:val="0"/>
        </w:rPr>
        <w:footnoteReference w:id="121"/>
      </w:r>
      <w:r>
        <w:rPr>
          <w:rFonts w:ascii="Arial" w:hAnsi="Arial"/>
          <w:rtl w:val="0"/>
          <w:lang w:val="en-US"/>
        </w:rPr>
        <w:t xml:space="preserve"> To claim that </w:t>
      </w:r>
      <w:r>
        <w:rPr>
          <w:rStyle w:val="None"/>
          <w:rFonts w:ascii="Arial" w:hAnsi="Arial"/>
          <w:i w:val="1"/>
          <w:iCs w:val="1"/>
          <w:rtl w:val="0"/>
          <w:lang w:val="en-US"/>
        </w:rPr>
        <w:t xml:space="preserve">a </w:t>
      </w:r>
      <w:r>
        <w:rPr>
          <w:rFonts w:ascii="Arial" w:hAnsi="Arial"/>
          <w:rtl w:val="0"/>
          <w:lang w:val="en-US"/>
        </w:rPr>
        <w:t xml:space="preserve">caused </w:t>
      </w:r>
      <w:r>
        <w:rPr>
          <w:rStyle w:val="None"/>
          <w:rFonts w:ascii="Arial" w:hAnsi="Arial"/>
          <w:i w:val="1"/>
          <w:iCs w:val="1"/>
          <w:rtl w:val="0"/>
          <w:lang w:val="en-US"/>
        </w:rPr>
        <w:t>b</w:t>
      </w:r>
      <w:r>
        <w:rPr>
          <w:rFonts w:ascii="Arial" w:hAnsi="Arial"/>
          <w:rtl w:val="0"/>
          <w:lang w:val="en-US"/>
        </w:rPr>
        <w:t xml:space="preserve"> is to claim that if </w:t>
      </w:r>
      <w:r>
        <w:rPr>
          <w:rStyle w:val="None"/>
          <w:rFonts w:ascii="Arial" w:hAnsi="Arial"/>
          <w:i w:val="1"/>
          <w:iCs w:val="1"/>
          <w:rtl w:val="0"/>
          <w:lang w:val="en-US"/>
        </w:rPr>
        <w:t xml:space="preserve">a </w:t>
      </w:r>
      <w:r>
        <w:rPr>
          <w:rFonts w:ascii="Arial" w:hAnsi="Arial"/>
          <w:rtl w:val="0"/>
          <w:lang w:val="en-US"/>
        </w:rPr>
        <w:t>had not happened, neither would</w:t>
      </w:r>
      <w:r>
        <w:rPr>
          <w:rStyle w:val="None"/>
          <w:rFonts w:ascii="Arial" w:hAnsi="Arial"/>
          <w:i w:val="1"/>
          <w:iCs w:val="1"/>
          <w:rtl w:val="0"/>
          <w:lang w:val="en-US"/>
        </w:rPr>
        <w:t xml:space="preserve"> b</w:t>
      </w:r>
      <w:r>
        <w:rPr>
          <w:rFonts w:ascii="Arial" w:hAnsi="Arial"/>
          <w:rtl w:val="0"/>
          <w:lang w:val="en-US"/>
        </w:rPr>
        <w:t>. This is the core limitation of all historical knowledge. Not even IR Theory's dismissive consensus about the NIEO can escape it. When it claims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567"/>
        <w:jc w:val="left"/>
        <w:rPr>
          <w:rStyle w:val="None"/>
          <w:rFonts w:ascii="Arial" w:cs="Arial" w:hAnsi="Arial" w:eastAsia="Arial"/>
          <w:i w:val="0"/>
          <w:iCs w:val="0"/>
          <w:rtl w:val="0"/>
        </w:rPr>
      </w:pPr>
      <w:r>
        <w:rPr>
          <w:rFonts w:ascii="Arial" w:hAnsi="Arial"/>
          <w:i w:val="1"/>
          <w:iCs w:val="1"/>
          <w:rtl w:val="0"/>
          <w:lang w:val="en-US"/>
        </w:rPr>
        <w:t>The NIEO was destined to fail because it was insufficiently powerful.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Style w:val="None"/>
          <w:rFonts w:ascii="Arial" w:cs="Arial" w:hAnsi="Arial" w:eastAsia="Arial"/>
          <w:i w:val="0"/>
          <w:iCs w:val="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i w:val="1"/>
          <w:iCs w:val="1"/>
          <w:rtl w:val="0"/>
        </w:rPr>
      </w:pPr>
      <w:r>
        <w:rPr>
          <w:rStyle w:val="None"/>
          <w:rFonts w:ascii="Arial" w:hAnsi="Arial"/>
          <w:i w:val="0"/>
          <w:iCs w:val="0"/>
          <w:rtl w:val="0"/>
          <w:lang w:val="en-US"/>
        </w:rPr>
        <w:t>It is making the implicit counterfactual claim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454" w:right="0" w:firstLine="0"/>
        <w:jc w:val="left"/>
        <w:rPr>
          <w:rStyle w:val="None"/>
          <w:rFonts w:ascii="Arial" w:cs="Arial" w:hAnsi="Arial" w:eastAsia="Arial"/>
          <w:i w:val="1"/>
          <w:iCs w:val="1"/>
          <w:rtl w:val="0"/>
        </w:rPr>
      </w:pPr>
      <w:r>
        <w:rPr>
          <w:rStyle w:val="None"/>
          <w:rFonts w:ascii="Arial" w:hAnsi="Arial"/>
          <w:i w:val="1"/>
          <w:iCs w:val="1"/>
          <w:rtl w:val="0"/>
          <w:lang w:val="en-US"/>
        </w:rPr>
        <w:t>Even</w:t>
      </w:r>
      <w:r>
        <w:rPr>
          <w:rFonts w:ascii="Arial" w:hAnsi="Arial"/>
          <w:rtl w:val="0"/>
          <w:lang w:val="en-US"/>
        </w:rPr>
        <w:t xml:space="preserve"> </w:t>
      </w:r>
      <w:r>
        <w:rPr>
          <w:rStyle w:val="None"/>
          <w:rFonts w:ascii="Arial" w:hAnsi="Arial"/>
          <w:i w:val="1"/>
          <w:iCs w:val="1"/>
          <w:rtl w:val="0"/>
          <w:lang w:val="en-US"/>
        </w:rPr>
        <w:t xml:space="preserve">if G77 elites had tried every available option, the NIEO would still have failed.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Style w:val="None"/>
          <w:rFonts w:ascii="Arial" w:cs="Arial" w:hAnsi="Arial" w:eastAsia="Arial"/>
          <w:i w:val="1"/>
          <w:iCs w:val="1"/>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This implicit counterfactual is the logical foundation of IR Theory's dismissive consensus. There isn't anything wrong with this </w:t>
      </w:r>
      <w:r>
        <w:rPr>
          <w:rStyle w:val="None"/>
          <w:rFonts w:ascii="Arial" w:hAnsi="Arial"/>
          <w:i w:val="1"/>
          <w:iCs w:val="1"/>
          <w:rtl w:val="0"/>
          <w:lang w:val="en-US"/>
        </w:rPr>
        <w:t>per se</w:t>
      </w:r>
      <w:r>
        <w:rPr>
          <w:rFonts w:ascii="Arial" w:hAnsi="Arial"/>
          <w:rtl w:val="0"/>
          <w:lang w:val="en-US"/>
        </w:rPr>
        <w:t>. It may or may not be true. The problem is that it was never appreciated for what it is, an imaginary counterfactual scenario. As such, no one bothered to investigate it historically.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The point of taking a counterfactual approach, then, is not to add imaginary 'what if?' scenarios where they have not existed before. The point is to highlight that all historical arguments are counterfactual claims.</w:t>
      </w:r>
      <w:r>
        <w:rPr>
          <w:rStyle w:val="None"/>
          <w:rFonts w:ascii="Arial" w:cs="Arial" w:hAnsi="Arial" w:eastAsia="Arial"/>
          <w:vertAlign w:val="superscript"/>
          <w:rtl w:val="0"/>
        </w:rPr>
        <w:footnoteReference w:id="122"/>
      </w:r>
      <w:r>
        <w:rPr>
          <w:rFonts w:ascii="Arial" w:hAnsi="Arial"/>
          <w:rtl w:val="0"/>
          <w:lang w:val="en-US"/>
        </w:rPr>
        <w:t xml:space="preserve"> This allows previously-untested counterfactuals to be tested with historical investigation into real, historical decision making. A counterfactual-phobic approach is ignorant of its own counterfactual foundations. It views the past as fixed, assuming that there was no alternative. A consciously-counterfactual approach demands that a historical search be conducted for any once-existing alternative options. In doing so, it questions the power of the status quo. A classic example of this approach is Silvia Federici's </w:t>
      </w:r>
      <w:r>
        <w:rPr>
          <w:rStyle w:val="None"/>
          <w:rFonts w:ascii="Arial" w:hAnsi="Arial"/>
          <w:i w:val="1"/>
          <w:iCs w:val="1"/>
          <w:rtl w:val="0"/>
          <w:lang w:val="en-US"/>
        </w:rPr>
        <w:t>Caliban and the Witch.</w:t>
      </w:r>
      <w:r>
        <w:rPr>
          <w:rStyle w:val="None"/>
          <w:rFonts w:ascii="Arial" w:cs="Arial" w:hAnsi="Arial" w:eastAsia="Arial"/>
          <w:i w:val="1"/>
          <w:iCs w:val="1"/>
          <w:vertAlign w:val="superscript"/>
          <w:rtl w:val="0"/>
        </w:rPr>
        <w:footnoteReference w:id="123"/>
      </w:r>
      <w:r>
        <w:rPr>
          <w:rStyle w:val="None"/>
          <w:rFonts w:ascii="Arial" w:hAnsi="Arial"/>
          <w:i w:val="1"/>
          <w:iCs w:val="1"/>
          <w:rtl w:val="0"/>
          <w:lang w:val="en-US"/>
        </w:rPr>
        <w:t xml:space="preserve"> </w:t>
      </w:r>
      <w:r>
        <w:rPr>
          <w:rFonts w:ascii="Arial" w:hAnsi="Arial"/>
          <w:rtl w:val="0"/>
          <w:lang w:val="en-US"/>
        </w:rPr>
        <w:t>Federici used counterfactuals to reimagine the emergence of capitalism. By uncovering the history of revolutionary peasant revolts, Federici showed that capitalism came close to having never emerged as the dominant mode of production.</w:t>
      </w:r>
      <w:r>
        <w:rPr>
          <w:rStyle w:val="None"/>
          <w:rFonts w:ascii="Arial" w:cs="Arial" w:hAnsi="Arial" w:eastAsia="Arial"/>
          <w:vertAlign w:val="superscript"/>
          <w:rtl w:val="0"/>
        </w:rPr>
        <w:footnoteReference w:id="124"/>
      </w:r>
      <w:r>
        <w:rPr>
          <w:rFonts w:ascii="Arial" w:hAnsi="Arial"/>
          <w:rtl w:val="0"/>
          <w:lang w:val="en-US"/>
        </w:rPr>
        <w:t xml:space="preserve"> Instead of constructing capital as a rigid inevitability, Federici's counterfactual materialism suggests that it might never have emerged at all. One can't know that capitalism was inevitable without, like Federici, studying those forces that had actively resisted it. Likewise, one can't know if neoliberal globalisation had been inevitable without studying the strategic decision making of the campaign for a NIEO.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Still, it is easier to discuss the counterfactual foundations of historical knowledge than it is to trace the decision making of a group as large and diverse as the G77. The difficulty of creating convincing counterfactuals of the NIEO was raised by Ingo Venzke, when reviewing the new histories of the NIEO. Venzke praised Nils Gilman's concern for history's counterfactual foundations, but </w:t>
      </w:r>
      <w:r>
        <w:rPr>
          <w:rFonts w:ascii="Arial" w:hAnsi="Arial"/>
          <w:rtl w:val="0"/>
          <w:lang w:val="en-US"/>
        </w:rPr>
        <w:t>called for caution.</w:t>
      </w:r>
      <w:r>
        <w:rPr>
          <w:rStyle w:val="None"/>
          <w:rFonts w:ascii="Arial" w:cs="Arial" w:hAnsi="Arial" w:eastAsia="Arial"/>
          <w:vertAlign w:val="superscript"/>
          <w:rtl w:val="0"/>
        </w:rPr>
        <w:footnoteReference w:id="125"/>
      </w:r>
      <w:r>
        <w:rPr>
          <w:rFonts w:ascii="Arial" w:hAnsi="Arial"/>
          <w:rtl w:val="0"/>
          <w:lang w:val="en-US"/>
        </w:rPr>
        <w:t xml:space="preserve"> To be historical, counterfactuals must still be compatible with all the available evidence. To show that the NIEO might have succeeded, historians would need to show real decision-making options, as they were really imagined within real historical constraints. That means asking how G77 elites imagined the various options available to them. How did they imagine that these options would play out? What changing conditions might have led them to decide differently? If they had decided differently, could this have had a significant effect on the establishment of a New International Economic Order? As Venzke argues, none of this has been established.</w:t>
      </w:r>
      <w:r>
        <w:rPr>
          <w:rStyle w:val="None"/>
          <w:rFonts w:ascii="Arial" w:cs="Arial" w:hAnsi="Arial" w:eastAsia="Arial"/>
          <w:vertAlign w:val="superscript"/>
          <w:rtl w:val="0"/>
        </w:rPr>
        <w:footnoteReference w:id="126"/>
      </w:r>
      <w:r>
        <w:rPr>
          <w:rFonts w:ascii="Arial" w:hAnsi="Arial"/>
          <w:rtl w:val="0"/>
          <w:lang w:val="en-US"/>
        </w:rPr>
        <w:t xml:space="preserve"> This lack of a convincing counterfactual history of G77 power raises the further question of what this would even look like.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Heading"/>
        <w:bidi w:val="0"/>
      </w:pPr>
      <w:r>
        <w:rPr>
          <w:rtl w:val="0"/>
        </w:rPr>
        <w:t>A Counterfactual Materialism of 'Social Forces, States and World Order'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What is needed is an approach that embeds a counterfactual analysis of the decision making of G77 state elites within a historical-empirical study of the changing social forces, institutions, and world order of the 1970s. Fortunately, such a historical sociology can be found in the pioneering work of the anti-colonial and revolutionary Marxist, C.L.R. James. In </w:t>
      </w:r>
      <w:r>
        <w:rPr>
          <w:rStyle w:val="None"/>
          <w:rFonts w:ascii="Arial" w:hAnsi="Arial"/>
          <w:i w:val="1"/>
          <w:iCs w:val="1"/>
          <w:rtl w:val="0"/>
          <w:lang w:val="en-US"/>
        </w:rPr>
        <w:t>Black Jacobins</w:t>
      </w:r>
      <w:r>
        <w:rPr>
          <w:rFonts w:ascii="Arial" w:hAnsi="Arial"/>
          <w:rtl w:val="0"/>
          <w:lang w:val="en-US"/>
        </w:rPr>
        <w:t xml:space="preserve"> (1938), James created a historical materialist analysis of world order that achieved everything that Robert Cox </w:t>
      </w:r>
      <w:r>
        <w:rPr>
          <w:rFonts w:ascii="Arial" w:hAnsi="Arial"/>
          <w:rtl w:val="0"/>
          <w:lang w:val="en-US"/>
        </w:rPr>
        <w:t>brought</w:t>
      </w:r>
      <w:r>
        <w:rPr>
          <w:rFonts w:ascii="Arial" w:hAnsi="Arial"/>
          <w:rtl w:val="0"/>
          <w:lang w:val="en-US"/>
        </w:rPr>
        <w:t xml:space="preserve"> to International Relations, and International Political Economy, in the early 1980s. Cox theorised an approach to world order that saw ideas as dialectically related to material forces.</w:t>
      </w:r>
      <w:r>
        <w:rPr>
          <w:rStyle w:val="None"/>
          <w:rFonts w:ascii="Arial" w:cs="Arial" w:hAnsi="Arial" w:eastAsia="Arial"/>
          <w:vertAlign w:val="superscript"/>
          <w:rtl w:val="0"/>
        </w:rPr>
        <w:footnoteReference w:id="127"/>
      </w:r>
      <w:r>
        <w:rPr>
          <w:rFonts w:ascii="Arial" w:hAnsi="Arial"/>
          <w:rtl w:val="0"/>
          <w:lang w:val="en-US"/>
        </w:rPr>
        <w:t xml:space="preserve"> He studied </w:t>
      </w:r>
      <w:r>
        <w:rPr>
          <w:rFonts w:ascii="Arial" w:hAnsi="Arial"/>
          <w:rtl w:val="0"/>
          <w:lang w:val="en-US"/>
        </w:rPr>
        <w:t xml:space="preserve">these </w:t>
      </w:r>
      <w:r>
        <w:rPr>
          <w:rFonts w:ascii="Arial" w:hAnsi="Arial"/>
          <w:rtl w:val="0"/>
          <w:lang w:val="en-US"/>
        </w:rPr>
        <w:t>social forces as they interacted within, through and on on top of different institutions, forms of state and world order. This was done for an explicit purpose: to create knowledge useful not just for understanding</w:t>
      </w:r>
      <w:r>
        <w:rPr>
          <w:rFonts w:ascii="Arial" w:hAnsi="Arial"/>
          <w:rtl w:val="0"/>
          <w:lang w:val="en-US"/>
        </w:rPr>
        <w:t xml:space="preserve"> </w:t>
      </w:r>
      <w:r>
        <w:rPr>
          <w:rFonts w:ascii="Arial" w:hAnsi="Arial"/>
          <w:rtl w:val="0"/>
          <w:lang w:val="en-US"/>
        </w:rPr>
        <w:t>world order</w:t>
      </w:r>
      <w:r>
        <w:rPr>
          <w:rFonts w:ascii="Arial" w:hAnsi="Arial"/>
          <w:rtl w:val="0"/>
          <w:lang w:val="en-US"/>
        </w:rPr>
        <w:t>, but for changing it</w:t>
      </w:r>
      <w:r>
        <w:rPr>
          <w:rFonts w:ascii="Arial" w:hAnsi="Arial"/>
          <w:rtl w:val="0"/>
        </w:rPr>
        <w:t>.</w:t>
      </w:r>
      <w:r>
        <w:rPr>
          <w:rStyle w:val="None"/>
          <w:rFonts w:ascii="Arial" w:cs="Arial" w:hAnsi="Arial" w:eastAsia="Arial"/>
          <w:vertAlign w:val="superscript"/>
          <w:rtl w:val="0"/>
        </w:rPr>
        <w:footnoteReference w:id="128"/>
      </w:r>
      <w:r>
        <w:rPr>
          <w:rFonts w:ascii="Arial" w:hAnsi="Arial"/>
          <w:rtl w:val="0"/>
          <w:lang w:val="en-US"/>
        </w:rPr>
        <w:t xml:space="preserve"> In </w:t>
      </w:r>
      <w:r>
        <w:rPr>
          <w:rStyle w:val="None"/>
          <w:rFonts w:ascii="Arial" w:hAnsi="Arial"/>
          <w:i w:val="1"/>
          <w:iCs w:val="1"/>
          <w:rtl w:val="0"/>
          <w:lang w:val="en-US"/>
        </w:rPr>
        <w:t>Black Jacobins</w:t>
      </w:r>
      <w:r>
        <w:rPr>
          <w:rFonts w:ascii="Arial" w:hAnsi="Arial"/>
          <w:rtl w:val="0"/>
          <w:lang w:val="en-US"/>
        </w:rPr>
        <w:t xml:space="preserve">, James had already achieved such a study. What's more, he used it to correctly predict, and assist, in the most significant change in world order </w:t>
      </w:r>
      <w:r>
        <w:rPr>
          <w:rFonts w:ascii="Arial" w:hAnsi="Arial"/>
          <w:rtl w:val="0"/>
          <w:lang w:val="en-US"/>
        </w:rPr>
        <w:t>to date</w:t>
      </w:r>
      <w:r>
        <w:rPr>
          <w:rFonts w:ascii="Arial" w:hAnsi="Arial"/>
          <w:rtl w:val="0"/>
          <w:lang w:val="en-US"/>
        </w:rPr>
        <w:t xml:space="preserve">: the global anti-colonial movement. Whereas </w:t>
      </w:r>
      <w:r>
        <w:rPr>
          <w:rFonts w:ascii="Arial" w:hAnsi="Arial"/>
          <w:rtl w:val="0"/>
          <w:lang w:val="en-US"/>
        </w:rPr>
        <w:t>Cox</w:t>
      </w:r>
      <w:r>
        <w:rPr>
          <w:rFonts w:ascii="Arial" w:hAnsi="Arial"/>
          <w:rtl w:val="0"/>
          <w:lang w:val="en-US"/>
        </w:rPr>
        <w:t xml:space="preserve"> dismissed non-Western agency because the NIEO failed, James rewrote global history by </w:t>
      </w:r>
      <w:r>
        <w:rPr>
          <w:rFonts w:ascii="Arial" w:hAnsi="Arial"/>
          <w:rtl w:val="0"/>
          <w:lang w:val="en-US"/>
        </w:rPr>
        <w:t>elucidating</w:t>
      </w:r>
      <w:r>
        <w:rPr>
          <w:rFonts w:ascii="Arial" w:hAnsi="Arial"/>
          <w:rtl w:val="0"/>
          <w:lang w:val="en-US"/>
        </w:rPr>
        <w:t xml:space="preserve"> the previously neglected power</w:t>
      </w:r>
      <w:r>
        <w:rPr>
          <w:rFonts w:ascii="Arial" w:hAnsi="Arial"/>
          <w:rtl w:val="0"/>
          <w:lang w:val="en-US"/>
        </w:rPr>
        <w:t xml:space="preserve"> </w:t>
      </w:r>
      <w:r>
        <w:rPr>
          <w:rFonts w:ascii="Arial" w:hAnsi="Arial"/>
          <w:rtl w:val="0"/>
          <w:lang w:val="en-US"/>
        </w:rPr>
        <w:t>of a nation of slaves. James could achieve what Cox couldn't because h</w:t>
      </w:r>
      <w:r>
        <w:rPr>
          <w:rFonts w:ascii="Arial" w:hAnsi="Arial"/>
          <w:rtl w:val="0"/>
          <w:lang w:val="en-US"/>
        </w:rPr>
        <w:t>is Trotskyist historical sociology</w:t>
      </w:r>
      <w:r>
        <w:rPr>
          <w:rFonts w:ascii="Arial" w:hAnsi="Arial"/>
          <w:rtl w:val="0"/>
          <w:lang w:val="en-US"/>
        </w:rPr>
        <w:t xml:space="preserve"> embraced, rather than shunned, counterfactuals.</w:t>
      </w:r>
      <w:r>
        <w:rPr>
          <w:rStyle w:val="None"/>
          <w:rFonts w:ascii="Arial" w:cs="Arial" w:hAnsi="Arial" w:eastAsia="Arial"/>
          <w:vertAlign w:val="superscript"/>
          <w:rtl w:val="0"/>
        </w:rPr>
        <w:footnoteReference w:id="129"/>
      </w:r>
      <w:r>
        <w:rPr>
          <w:rFonts w:ascii="Arial" w:hAnsi="Arial"/>
          <w:rtl w:val="0"/>
          <w:lang w:val="en-US"/>
        </w:rPr>
        <w:t xml:space="preserve"> Indeed, they were essential for his dissection of key decision making moments, of both oppressor and oppressed.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To appreciate this, consider his treatment of the death of Toussaint, the Haitian revolutionary leader and former slave. Toussaint led a mass slave revolt in French San Domingo. Its success inspired the abolition of slavery in Revolutionary France, which </w:t>
      </w:r>
      <w:r>
        <w:rPr>
          <w:rFonts w:ascii="Arial" w:hAnsi="Arial" w:hint="default"/>
          <w:rtl w:val="0"/>
          <w:lang w:val="en-US"/>
        </w:rPr>
        <w:t xml:space="preserve">–– </w:t>
      </w:r>
      <w:r>
        <w:rPr>
          <w:rFonts w:ascii="Arial" w:hAnsi="Arial"/>
          <w:rtl w:val="0"/>
          <w:lang w:val="en-US"/>
        </w:rPr>
        <w:t xml:space="preserve">in turn </w:t>
      </w:r>
      <w:r>
        <w:rPr>
          <w:rFonts w:ascii="Arial" w:hAnsi="Arial" w:hint="default"/>
          <w:rtl w:val="0"/>
          <w:lang w:val="en-US"/>
        </w:rPr>
        <w:t xml:space="preserve">–– </w:t>
      </w:r>
      <w:r>
        <w:rPr>
          <w:rFonts w:ascii="Arial" w:hAnsi="Arial"/>
          <w:rtl w:val="0"/>
          <w:lang w:val="en-US"/>
        </w:rPr>
        <w:t>strengthened Toussaint's goal of an alliance with the French Republic.</w:t>
      </w:r>
      <w:r>
        <w:rPr>
          <w:rStyle w:val="None"/>
          <w:rFonts w:ascii="Arial" w:cs="Arial" w:hAnsi="Arial" w:eastAsia="Arial"/>
          <w:vertAlign w:val="superscript"/>
          <w:rtl w:val="0"/>
        </w:rPr>
        <w:footnoteReference w:id="130"/>
      </w:r>
      <w:r>
        <w:rPr>
          <w:rFonts w:ascii="Arial" w:hAnsi="Arial"/>
          <w:rtl w:val="0"/>
          <w:lang w:val="en-US"/>
        </w:rPr>
        <w:t xml:space="preserve"> This goal explained his dogged protection of the former slave masters in San Domingo. He wanted to show that a nation of freed slaves could maintain order in the crown jewel of the French Empire.</w:t>
      </w:r>
      <w:r>
        <w:rPr>
          <w:rStyle w:val="None"/>
          <w:rFonts w:ascii="Arial" w:cs="Arial" w:hAnsi="Arial" w:eastAsia="Arial"/>
          <w:vertAlign w:val="superscript"/>
          <w:rtl w:val="0"/>
        </w:rPr>
        <w:footnoteReference w:id="131"/>
      </w:r>
      <w:r>
        <w:rPr>
          <w:rFonts w:ascii="Arial" w:hAnsi="Arial"/>
          <w:rtl w:val="0"/>
          <w:lang w:val="en-US"/>
        </w:rPr>
        <w:t xml:space="preserve"> In the end, however, this alliance was dealt a fatal blow. While Toussaint was crushing internal resistance, Napoleon ordered an invasion aimed at restoring slavery. The result, as James presents it, was a defeat for both Toussaint and Napoleon. Napoleon failed to restore slavery. Toussaint was killed in the violent destruction necessary to defend San Domingo from imperial savagery.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If one were to take a counterfactual-phobic approach, the history of Toussaint's demise would be read as proof that his political goals were as futile as Bonoparte's attempt at restoring slavery. An alliance between San Domingo and France failed, and so had never stood a chance. C.L.R. James, however, went deeper. He related the strategic decision making of both Napoleon and Toussaint, showing not just the options they chose, but those that were painstakingly weighed up, those options that were considered but decided against. What's more, James' concern for the past was guided by a conscious purpose. In </w:t>
      </w:r>
      <w:r>
        <w:rPr>
          <w:rStyle w:val="None"/>
          <w:rFonts w:ascii="Arial" w:hAnsi="Arial"/>
          <w:i w:val="1"/>
          <w:iCs w:val="1"/>
          <w:rtl w:val="0"/>
          <w:lang w:val="en-US"/>
        </w:rPr>
        <w:t>Black Jacobins</w:t>
      </w:r>
      <w:r>
        <w:rPr>
          <w:rFonts w:ascii="Arial" w:hAnsi="Arial"/>
          <w:rtl w:val="0"/>
          <w:lang w:val="en-US"/>
        </w:rPr>
        <w:t xml:space="preserve"> he created new knowledge of the past to better understand the actual possibilities of the global anti-colonial movement.</w:t>
      </w:r>
      <w:r>
        <w:rPr>
          <w:rStyle w:val="None"/>
          <w:rFonts w:ascii="Arial" w:cs="Arial" w:hAnsi="Arial" w:eastAsia="Arial"/>
          <w:vertAlign w:val="superscript"/>
          <w:rtl w:val="0"/>
        </w:rPr>
        <w:footnoteReference w:id="132"/>
      </w:r>
      <w:r>
        <w:rPr>
          <w:rFonts w:ascii="Arial" w:hAnsi="Arial"/>
          <w:rtl w:val="0"/>
          <w:lang w:val="en-US"/>
        </w:rPr>
        <w:t xml:space="preserve"> As such, James asked not just what Toussaint </w:t>
      </w:r>
      <w:r>
        <w:rPr>
          <w:rStyle w:val="None"/>
          <w:rFonts w:ascii="Arial" w:hAnsi="Arial"/>
          <w:i w:val="1"/>
          <w:iCs w:val="1"/>
          <w:rtl w:val="0"/>
          <w:lang w:val="en-US"/>
        </w:rPr>
        <w:t>could have decided differently</w:t>
      </w:r>
      <w:r>
        <w:rPr>
          <w:rFonts w:ascii="Arial" w:hAnsi="Arial"/>
          <w:rtl w:val="0"/>
          <w:lang w:val="en-US"/>
        </w:rPr>
        <w:t>. He asked also what Toussaint</w:t>
      </w:r>
      <w:r>
        <w:rPr>
          <w:rStyle w:val="None"/>
          <w:rFonts w:ascii="Arial" w:hAnsi="Arial"/>
          <w:i w:val="1"/>
          <w:iCs w:val="1"/>
          <w:rtl w:val="0"/>
          <w:lang w:val="en-US"/>
        </w:rPr>
        <w:t xml:space="preserve"> should have done differently</w:t>
      </w:r>
      <w:r>
        <w:rPr>
          <w:rFonts w:ascii="Arial" w:hAnsi="Arial"/>
          <w:rtl w:val="0"/>
          <w:lang w:val="en-US"/>
        </w:rPr>
        <w:t>.</w:t>
      </w:r>
      <w:r>
        <w:rPr>
          <w:rStyle w:val="None"/>
          <w:rFonts w:ascii="Arial" w:cs="Arial" w:hAnsi="Arial" w:eastAsia="Arial"/>
          <w:vertAlign w:val="superscript"/>
          <w:rtl w:val="0"/>
        </w:rPr>
        <w:footnoteReference w:id="133"/>
      </w:r>
      <w:r>
        <w:rPr>
          <w:rFonts w:ascii="Arial" w:hAnsi="Arial"/>
          <w:rtl w:val="0"/>
          <w:lang w:val="en-US"/>
        </w:rPr>
        <w:t xml:space="preserve"> This counterfactual gaze allowed James to fully grapple with the uncertain possibilities of the past, the decision making power of both Toussaint and Napoleon.</w:t>
      </w:r>
      <w:r>
        <w:rPr>
          <w:rStyle w:val="None"/>
          <w:rFonts w:ascii="Arial" w:cs="Arial" w:hAnsi="Arial" w:eastAsia="Arial"/>
          <w:vertAlign w:val="superscript"/>
          <w:rtl w:val="0"/>
        </w:rPr>
        <w:footnoteReference w:id="134"/>
      </w:r>
      <w:r>
        <w:rPr>
          <w:rFonts w:ascii="Arial" w:hAnsi="Arial"/>
          <w:rtl w:val="0"/>
          <w:lang w:val="en-US"/>
        </w:rPr>
        <w:t xml:space="preserve"> What's more, his dissection of strategic decision making was embedded in a global analysis of social forces. This allowed James to present a plurality of possible futures for world order, forms of state, and domestic social forces.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For example, James embedded Napoleon's decision to invade within the wider struggle for global hegemony, and its relation to the French Revolution. This required counterfactual analysis of 'a crucial moment in world history':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i w:val="1"/>
          <w:iCs w:val="1"/>
          <w:rtl w:val="0"/>
        </w:rPr>
      </w:pPr>
      <w:r>
        <w:rPr>
          <w:rFonts w:ascii="Arial" w:hAnsi="Arial" w:hint="default"/>
          <w:i w:val="1"/>
          <w:iCs w:val="1"/>
          <w:rtl w:val="1"/>
        </w:rPr>
        <w:t>‘</w:t>
      </w:r>
      <w:r>
        <w:rPr>
          <w:rFonts w:ascii="Arial" w:hAnsi="Arial"/>
          <w:i w:val="1"/>
          <w:iCs w:val="1"/>
          <w:rtl w:val="0"/>
          <w:lang w:val="en-US"/>
        </w:rPr>
        <w:t>If the British could hold San Domingo, the finest colony in the world, they would once more be a power in American waters. Instead of being abolitionists they would be the most powerful practitioners and advocates of the slave-trade, on a scale excelling anything they had ever done before. But there was another more urgent issue. If the British completed the conquest of San Domingo, the colonial empire of revolutionary France was gone; its vast resources would be directed into British pockets, and Britain would be able to return to Europe and throw army and navy against the revolution.</w:t>
      </w:r>
      <w:r>
        <w:rPr>
          <w:rFonts w:ascii="Arial" w:hAnsi="Arial" w:hint="default"/>
          <w:i w:val="1"/>
          <w:iCs w:val="1"/>
          <w:rtl w:val="1"/>
        </w:rPr>
        <w:t>’</w:t>
      </w:r>
      <w:r>
        <w:rPr>
          <w:rStyle w:val="None"/>
          <w:rFonts w:ascii="Arial" w:cs="Arial" w:hAnsi="Arial" w:eastAsia="Arial"/>
          <w:i w:val="1"/>
          <w:iCs w:val="1"/>
          <w:vertAlign w:val="superscript"/>
          <w:rtl w:val="0"/>
        </w:rPr>
        <w:footnoteReference w:id="135"/>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These were the stakes, the possible futures of world order that Napoleon's counter-revolutionary attack on Toussaint's army was designed to shape. Still, Napoleon's advisors were split. On one side were those with no first-hand experience with Toussaint or his new army. Their advice to invade was based on racist assumptions about the former slaves. Those with Haitian experience offered caution, and explained that Toussaint was willing to form an alliance. Here, then, were two imaginary 'what if?' scenarios. A racist imaginary claimed that if France invaded Haiti 'Slavery would be </w:t>
      </w:r>
      <w:r>
        <w:rPr>
          <w:rFonts w:ascii="Arial" w:hAnsi="Arial"/>
          <w:rtl w:val="0"/>
          <w:lang w:val="en-US"/>
        </w:rPr>
        <w:t>re-established, civilisation restarted, and a good time would be had by all.'</w:t>
      </w:r>
      <w:r>
        <w:rPr>
          <w:rStyle w:val="None"/>
          <w:rFonts w:ascii="Arial" w:cs="Arial" w:hAnsi="Arial" w:eastAsia="Arial"/>
          <w:vertAlign w:val="superscript"/>
          <w:rtl w:val="0"/>
        </w:rPr>
        <w:footnoteReference w:id="136"/>
      </w:r>
      <w:r>
        <w:rPr>
          <w:rFonts w:ascii="Arial" w:hAnsi="Arial"/>
          <w:rtl w:val="0"/>
          <w:lang w:val="en-US"/>
        </w:rPr>
        <w:t xml:space="preserve"> This was the vision of key sections of Bonaparte's supporters, the '</w:t>
      </w:r>
      <w:r>
        <w:rPr>
          <w:rFonts w:ascii="Arial" w:hAnsi="Arial"/>
          <w:rtl w:val="0"/>
          <w:lang w:val="en-US"/>
        </w:rPr>
        <w:t>bourgeoisie of the maritime towns</w:t>
      </w:r>
      <w:r>
        <w:rPr>
          <w:rFonts w:ascii="Arial" w:hAnsi="Arial"/>
          <w:rtl w:val="0"/>
          <w:lang w:val="en-US"/>
        </w:rPr>
        <w:t>' who</w:t>
      </w:r>
      <w:r>
        <w:rPr>
          <w:rFonts w:ascii="Arial" w:hAnsi="Arial"/>
          <w:rtl w:val="0"/>
        </w:rPr>
        <w:t xml:space="preserve"> </w:t>
      </w:r>
      <w:r>
        <w:rPr>
          <w:rFonts w:ascii="Arial" w:hAnsi="Arial"/>
          <w:rtl w:val="0"/>
          <w:lang w:val="en-US"/>
        </w:rPr>
        <w:t>'</w:t>
      </w:r>
      <w:r>
        <w:rPr>
          <w:rFonts w:ascii="Arial" w:hAnsi="Arial"/>
          <w:rtl w:val="0"/>
          <w:lang w:val="en-US"/>
        </w:rPr>
        <w:t>wanted the fabulous profits of the old days</w:t>
      </w:r>
      <w:r>
        <w:rPr>
          <w:rFonts w:ascii="Arial" w:hAnsi="Arial"/>
          <w:rtl w:val="0"/>
          <w:lang w:val="en-US"/>
        </w:rPr>
        <w:t>'.</w:t>
      </w:r>
      <w:r>
        <w:rPr>
          <w:rStyle w:val="None"/>
          <w:rFonts w:ascii="Arial" w:cs="Arial" w:hAnsi="Arial" w:eastAsia="Arial"/>
          <w:vertAlign w:val="superscript"/>
          <w:rtl w:val="0"/>
        </w:rPr>
        <w:footnoteReference w:id="137"/>
      </w:r>
      <w:r>
        <w:rPr>
          <w:rFonts w:ascii="Arial" w:hAnsi="Arial"/>
          <w:rtl w:val="0"/>
          <w:lang w:val="en-US"/>
        </w:rPr>
        <w:t xml:space="preserve"> The alternative imaginary came from Malenfant, an old colonist from San Domingo, who 'warned Bonaparte against the catastrophe he was preparing'. Malenfant pointed out that '</w:t>
      </w:r>
      <w:r>
        <w:rPr>
          <w:rFonts w:ascii="Arial" w:hAnsi="Arial"/>
          <w:rtl w:val="0"/>
          <w:lang w:val="en-US"/>
        </w:rPr>
        <w:t>Toussaint was an eminently reasonable man</w:t>
      </w:r>
      <w:r>
        <w:rPr>
          <w:rFonts w:ascii="Arial" w:hAnsi="Arial"/>
          <w:rtl w:val="0"/>
          <w:lang w:val="en-US"/>
        </w:rPr>
        <w:t>'. A 'modus vivendi' could have been worked worked out '</w:t>
      </w:r>
      <w:r>
        <w:rPr>
          <w:rFonts w:ascii="Arial" w:hAnsi="Arial"/>
          <w:rtl w:val="0"/>
          <w:lang w:val="en-US"/>
        </w:rPr>
        <w:t>whereby French capital would have had full opportunity in the island.</w:t>
      </w:r>
      <w:r>
        <w:rPr>
          <w:rFonts w:ascii="Arial" w:hAnsi="Arial"/>
          <w:rtl w:val="0"/>
          <w:lang w:val="en-US"/>
        </w:rPr>
        <w:t>'</w:t>
      </w:r>
      <w:r>
        <w:rPr>
          <w:rStyle w:val="None"/>
          <w:rFonts w:ascii="Arial" w:cs="Arial" w:hAnsi="Arial" w:eastAsia="Arial"/>
          <w:vertAlign w:val="superscript"/>
          <w:rtl w:val="0"/>
        </w:rPr>
        <w:footnoteReference w:id="138"/>
      </w:r>
      <w:r>
        <w:rPr>
          <w:rFonts w:ascii="Arial" w:hAnsi="Arial"/>
          <w:rtl w:val="0"/>
          <w:lang w:val="en-US"/>
        </w:rPr>
        <w:t xml:space="preserve"> These, then, were Bonaparte's available options: to lead a reactionary return to slave-based global imperialism, or to join Toussaint and the Black Jacobins in carrying the bourgeois revolution to the level of world order.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Style w:val="None"/>
          <w:rFonts w:ascii="Arial" w:cs="Arial" w:hAnsi="Arial" w:eastAsia="Arial"/>
          <w:b w:val="1"/>
          <w:bCs w:val="1"/>
          <w:rtl w:val="0"/>
        </w:rPr>
      </w:pPr>
      <w:r>
        <w:rPr>
          <w:rFonts w:ascii="Arial" w:hAnsi="Arial"/>
          <w:rtl w:val="0"/>
          <w:lang w:val="en-US"/>
        </w:rPr>
        <w:t>Importantly, Napoleon's option of allying with Toussaint came very close to being realised. As James showed, Napoleon had even drafted such a plan in a letter to Toussaint. The letter was only discarded once Bonaparte's goal of taking India from the English fell through.</w:t>
      </w:r>
      <w:r>
        <w:rPr>
          <w:rStyle w:val="None"/>
          <w:rFonts w:ascii="Arial" w:cs="Arial" w:hAnsi="Arial" w:eastAsia="Arial"/>
          <w:vertAlign w:val="superscript"/>
          <w:rtl w:val="0"/>
        </w:rPr>
        <w:footnoteReference w:id="139"/>
      </w:r>
      <w:r>
        <w:rPr>
          <w:rFonts w:ascii="Arial" w:hAnsi="Arial"/>
          <w:rtl w:val="0"/>
          <w:lang w:val="en-US"/>
        </w:rPr>
        <w:t xml:space="preserve"> What's more, the decision would haunt Bonaparte, who 'confessed that the expedition had been a mistake', and came to believe that 'he should have ruled the island through Toussaint </w:t>
      </w:r>
      <w:r>
        <w:rPr>
          <w:rFonts w:ascii="Arial" w:hAnsi="Arial"/>
          <w:rtl w:val="0"/>
          <w:lang w:val="fr-FR"/>
        </w:rPr>
        <w:t>L'Ouverture.</w:t>
      </w:r>
      <w:r>
        <w:rPr>
          <w:rFonts w:ascii="Arial" w:hAnsi="Arial" w:hint="default"/>
          <w:rtl w:val="1"/>
        </w:rPr>
        <w:t>’</w:t>
      </w:r>
      <w:r>
        <w:rPr>
          <w:rStyle w:val="None"/>
          <w:rFonts w:ascii="Arial" w:cs="Arial" w:hAnsi="Arial" w:eastAsia="Arial"/>
          <w:vertAlign w:val="superscript"/>
          <w:rtl w:val="0"/>
        </w:rPr>
        <w:footnoteReference w:id="140"/>
      </w:r>
      <w:r>
        <w:rPr>
          <w:rFonts w:ascii="Arial" w:hAnsi="Arial"/>
          <w:rtl w:val="0"/>
          <w:lang w:val="en-US"/>
        </w:rPr>
        <w:t xml:space="preserve"> By embedding a counterfactual analysis of Bonaparte's decision making within a historical materialist analysis of the class forces acting within, through, and above France and San Domingo, James peered into what might have been, and showed how close things came to being decided otherwise. If Napoleon had decided to support an alliance with Toussaint, the history not only of Haiti, but of world order itself, would have been very different.</w:t>
      </w:r>
      <w:r>
        <w:rPr>
          <w:rStyle w:val="None"/>
          <w:rFonts w:ascii="Arial" w:cs="Arial" w:hAnsi="Arial" w:eastAsia="Arial"/>
          <w:vertAlign w:val="superscript"/>
          <w:rtl w:val="0"/>
        </w:rPr>
        <w:footnoteReference w:id="141"/>
      </w:r>
      <w:r>
        <w:rPr>
          <w:rFonts w:ascii="Arial" w:hAnsi="Arial"/>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But this was only one decision. James' brilliance was in weaving the strategic possibilities of Napoleon with those of Toussaint. He argued that even with Napoleon's invasion, Toussaint could have salvaged his position. He could have avoided the wholesale destruction and isolation of San Domingo, and his own assassination: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Style w:val="None"/>
          <w:rFonts w:ascii="Arial" w:cs="Arial" w:hAnsi="Arial" w:eastAsia="Arial"/>
          <w:b w:val="1"/>
          <w:bCs w:val="1"/>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624" w:right="567" w:firstLine="0"/>
        <w:jc w:val="left"/>
        <w:rPr>
          <w:rFonts w:ascii="Arial" w:cs="Arial" w:hAnsi="Arial" w:eastAsia="Arial"/>
          <w:rtl w:val="0"/>
        </w:rPr>
      </w:pPr>
      <w:r>
        <w:rPr>
          <w:rFonts w:ascii="Arial" w:hAnsi="Arial"/>
          <w:rtl w:val="0"/>
          <w:lang w:val="en-US"/>
        </w:rPr>
        <w:t>'</w:t>
      </w:r>
      <w:r>
        <w:rPr>
          <w:rFonts w:ascii="Arial" w:hAnsi="Arial"/>
          <w:rtl w:val="0"/>
          <w:lang w:val="en-US"/>
        </w:rPr>
        <w:t xml:space="preserve">Events were to show that if he </w:t>
      </w:r>
      <w:r>
        <w:rPr>
          <w:rFonts w:ascii="Arial" w:hAnsi="Arial"/>
          <w:rtl w:val="0"/>
          <w:lang w:val="en-US"/>
        </w:rPr>
        <w:t xml:space="preserve">[Toussaint] </w:t>
      </w:r>
      <w:r>
        <w:rPr>
          <w:rFonts w:ascii="Arial" w:hAnsi="Arial"/>
          <w:rtl w:val="0"/>
          <w:lang w:val="en-US"/>
        </w:rPr>
        <w:t>had but mobilised the masses before and purged his army, the French attack would have been crippled at the start.</w:t>
      </w:r>
      <w:r>
        <w:rPr>
          <w:rFonts w:ascii="Arial" w:hAnsi="Arial"/>
          <w:rtl w:val="0"/>
          <w:lang w:val="en-US"/>
        </w:rPr>
        <w:t>'</w:t>
      </w:r>
      <w:r>
        <w:rPr>
          <w:rStyle w:val="None"/>
          <w:rFonts w:ascii="Arial" w:cs="Arial" w:hAnsi="Arial" w:eastAsia="Arial"/>
          <w:vertAlign w:val="superscript"/>
          <w:rtl w:val="0"/>
        </w:rPr>
        <w:footnoteReference w:id="142"/>
      </w:r>
      <w:r>
        <w:rPr>
          <w:rFonts w:ascii="Arial" w:hAnsi="Arial"/>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Toussaint could have spoken frankly about the French invasion as soon as it had become a certainty.</w:t>
      </w:r>
      <w:r>
        <w:rPr>
          <w:rStyle w:val="None"/>
          <w:rFonts w:ascii="Arial" w:cs="Arial" w:hAnsi="Arial" w:eastAsia="Arial"/>
          <w:vertAlign w:val="superscript"/>
          <w:rtl w:val="0"/>
        </w:rPr>
        <w:footnoteReference w:id="143"/>
      </w:r>
      <w:r>
        <w:rPr>
          <w:rFonts w:ascii="Arial" w:hAnsi="Arial"/>
          <w:rtl w:val="0"/>
          <w:lang w:val="en-US"/>
        </w:rPr>
        <w:t xml:space="preserve"> This decisive action would have won him the support he needed, and might even </w:t>
      </w:r>
      <w:r>
        <w:rPr>
          <w:rFonts w:ascii="Arial" w:hAnsi="Arial" w:hint="default"/>
          <w:rtl w:val="0"/>
          <w:lang w:val="en-US"/>
        </w:rPr>
        <w:t xml:space="preserve">–– </w:t>
      </w:r>
      <w:r>
        <w:rPr>
          <w:rFonts w:ascii="Arial" w:hAnsi="Arial"/>
          <w:rtl w:val="0"/>
          <w:lang w:val="en-US"/>
        </w:rPr>
        <w:t xml:space="preserve">James imagined </w:t>
      </w:r>
      <w:r>
        <w:rPr>
          <w:rFonts w:ascii="Arial" w:hAnsi="Arial" w:hint="default"/>
          <w:rtl w:val="0"/>
          <w:lang w:val="en-US"/>
        </w:rPr>
        <w:t xml:space="preserve">–– </w:t>
      </w:r>
      <w:r>
        <w:rPr>
          <w:rFonts w:ascii="Arial" w:hAnsi="Arial"/>
          <w:rtl w:val="0"/>
          <w:lang w:val="en-US"/>
        </w:rPr>
        <w:t>have salvaged his hoped-for alliance with the French Republic: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i w:val="1"/>
          <w:iCs w:val="1"/>
          <w:rtl w:val="0"/>
        </w:rPr>
      </w:pPr>
      <w:r>
        <w:rPr>
          <w:rFonts w:ascii="Arial" w:hAnsi="Arial" w:hint="default"/>
          <w:i w:val="1"/>
          <w:iCs w:val="1"/>
          <w:rtl w:val="1"/>
        </w:rPr>
        <w:t>‘</w:t>
      </w:r>
      <w:r>
        <w:rPr>
          <w:rFonts w:ascii="Arial" w:hAnsi="Arial"/>
          <w:i w:val="1"/>
          <w:iCs w:val="1"/>
          <w:rtl w:val="0"/>
          <w:lang w:val="en-US"/>
        </w:rPr>
        <w:t>Having the army, some of the better educated blacks and Mulattoes and the labourers who had supported him so staunchly in everything, he would have been invincible. With the issue unobscure and his power clear, many who might otherwise have hesitated would have come down on the side that was taking decisive action. With a decisive victory won it was not impossible to re-open negotiations with a chastened French government to establish the hoped-for relations. It was the ex-slave labourers and the ex-slave army which would decide the issue, and Toussaint's policy crippled both.</w:t>
      </w:r>
      <w:r>
        <w:rPr>
          <w:rFonts w:ascii="Arial" w:hAnsi="Arial" w:hint="default"/>
          <w:i w:val="1"/>
          <w:iCs w:val="1"/>
          <w:rtl w:val="1"/>
        </w:rPr>
        <w:t>’</w:t>
      </w:r>
      <w:r>
        <w:rPr>
          <w:rStyle w:val="None"/>
          <w:rFonts w:ascii="Arial" w:cs="Arial" w:hAnsi="Arial" w:eastAsia="Arial"/>
          <w:i w:val="1"/>
          <w:iCs w:val="1"/>
          <w:vertAlign w:val="superscript"/>
          <w:rtl w:val="0"/>
        </w:rPr>
        <w:footnoteReference w:id="144"/>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i w:val="1"/>
          <w:iCs w:val="1"/>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Already in 1938, then, James had created a global historical sociology that traced the relation of class forces within and through different institutions, forms of state and world order. Like with Robert Cox' Critical IR Theory from the early 1980s, James showed how these three different levels were interrelated. Changes at the level of world order, like the inter-imperial rivalry between Britain and France, affected the decision making of state elites, like Bonaparte and Toussaint, just as much as the decision making of these state elites shaped the future of world order.</w:t>
      </w:r>
      <w:r>
        <w:rPr>
          <w:rStyle w:val="None"/>
          <w:rFonts w:ascii="Arial" w:cs="Arial" w:hAnsi="Arial" w:eastAsia="Arial"/>
          <w:vertAlign w:val="superscript"/>
          <w:rtl w:val="0"/>
        </w:rPr>
        <w:footnoteReference w:id="145"/>
      </w:r>
      <w:r>
        <w:rPr>
          <w:rFonts w:ascii="Arial" w:hAnsi="Arial"/>
          <w:rtl w:val="0"/>
          <w:lang w:val="en-US"/>
        </w:rPr>
        <w:t xml:space="preserve"> But James' analysis was distinct. For Cox, counterfactuals were 'the stuff of idealism rather than of historical materialism.'</w:t>
      </w:r>
      <w:r>
        <w:rPr>
          <w:rStyle w:val="None"/>
          <w:rFonts w:ascii="Arial" w:cs="Arial" w:hAnsi="Arial" w:eastAsia="Arial"/>
          <w:vertAlign w:val="superscript"/>
          <w:rtl w:val="0"/>
        </w:rPr>
        <w:footnoteReference w:id="146"/>
      </w:r>
      <w:r>
        <w:rPr>
          <w:rFonts w:ascii="Arial" w:hAnsi="Arial"/>
          <w:rtl w:val="0"/>
          <w:lang w:val="en-US"/>
        </w:rPr>
        <w:t xml:space="preserve"> This rigid counterfactual-phobia hid the actual uncertainty, possibilities and decision-making power of historical actors, including G77 state elites trying to create a New International Economic Order. James </w:t>
      </w:r>
      <w:r>
        <w:rPr>
          <w:rFonts w:ascii="Arial" w:hAnsi="Arial" w:hint="default"/>
          <w:rtl w:val="0"/>
          <w:lang w:val="en-US"/>
        </w:rPr>
        <w:t xml:space="preserve">–– </w:t>
      </w:r>
      <w:r>
        <w:rPr>
          <w:rFonts w:ascii="Arial" w:hAnsi="Arial"/>
          <w:rtl w:val="0"/>
          <w:lang w:val="en-US"/>
        </w:rPr>
        <w:t xml:space="preserve">an anti-colonial revolutionary, and pioneering Trotskyist </w:t>
      </w:r>
      <w:r>
        <w:rPr>
          <w:rFonts w:ascii="Arial" w:hAnsi="Arial" w:hint="default"/>
          <w:rtl w:val="0"/>
          <w:lang w:val="en-US"/>
        </w:rPr>
        <w:t xml:space="preserve">–– </w:t>
      </w:r>
      <w:r>
        <w:rPr>
          <w:rFonts w:ascii="Arial" w:hAnsi="Arial"/>
          <w:rtl w:val="0"/>
          <w:lang w:val="en-US"/>
        </w:rPr>
        <w:t>did not make this mistake.</w:t>
      </w:r>
      <w:r>
        <w:rPr>
          <w:rStyle w:val="None"/>
          <w:rFonts w:ascii="Arial" w:cs="Arial" w:hAnsi="Arial" w:eastAsia="Arial"/>
          <w:vertAlign w:val="superscript"/>
          <w:rtl w:val="0"/>
        </w:rPr>
        <w:footnoteReference w:id="147"/>
      </w:r>
      <w:r>
        <w:rPr>
          <w:rFonts w:ascii="Arial" w:hAnsi="Arial"/>
          <w:rtl w:val="0"/>
          <w:lang w:val="en-US"/>
        </w:rPr>
        <w:t xml:space="preserve"> He embedded a counterfactual imaginary of different possible futures within a wider, historical materialist analysis. Indeed, as James made clear, this was the conscious essence of his method: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397" w:firstLine="0"/>
        <w:jc w:val="left"/>
        <w:rPr>
          <w:rFonts w:ascii="Arial" w:cs="Arial" w:hAnsi="Arial" w:eastAsia="Arial"/>
          <w:rtl w:val="0"/>
        </w:rPr>
      </w:pPr>
      <w:r>
        <w:rPr>
          <w:rFonts w:ascii="Arial" w:hAnsi="Arial" w:hint="default"/>
          <w:rtl w:val="1"/>
        </w:rPr>
        <w:t>‘</w:t>
      </w:r>
      <w:r>
        <w:rPr>
          <w:rFonts w:ascii="Arial" w:hAnsi="Arial"/>
          <w:rtl w:val="0"/>
          <w:lang w:val="en-US"/>
        </w:rPr>
        <w:t>Great men make history, but only such history as it is possible for them to make. Their freedom of achievement is limited by the necessities of their environment. To portray the limits of those necessities and the realisation, complete or partial, of all possibilities, that is the true business of the historian.</w:t>
      </w:r>
      <w:r>
        <w:rPr>
          <w:rFonts w:ascii="Arial" w:hAnsi="Arial" w:hint="default"/>
          <w:rtl w:val="1"/>
        </w:rPr>
        <w:t>’</w:t>
      </w:r>
      <w:r>
        <w:rPr>
          <w:rStyle w:val="None"/>
          <w:rFonts w:ascii="Arial" w:cs="Arial" w:hAnsi="Arial" w:eastAsia="Arial"/>
          <w:vertAlign w:val="superscript"/>
          <w:rtl w:val="0"/>
        </w:rPr>
        <w:footnoteReference w:id="148"/>
      </w:r>
      <w:r>
        <w:rPr>
          <w:rFonts w:ascii="Arial" w:hAnsi="Arial"/>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b w:val="1"/>
          <w:bCs w:val="1"/>
          <w:rtl w:val="0"/>
        </w:rPr>
      </w:pPr>
      <w:r>
        <w:rPr>
          <w:rFonts w:ascii="Arial" w:hAnsi="Arial"/>
          <w:b w:val="1"/>
          <w:bCs w:val="1"/>
          <w:rtl w:val="0"/>
          <w:lang w:val="en-US"/>
        </w:rPr>
        <w:t xml:space="preserve">Chapter Outline: </w:t>
      </w:r>
      <w:r>
        <w:rPr>
          <w:rFonts w:ascii="Arial" w:hAnsi="Arial"/>
          <w:b w:val="1"/>
          <w:bCs w:val="1"/>
          <w:rtl w:val="0"/>
          <w:lang w:val="en-US"/>
        </w:rPr>
        <w:t>The Possible Possibilities of a New International Economic Order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In this book, I apply this method, what I call James' counterfactual materialism, to the uncertain and changing crisis of the 1970s. James showed how counterfactuals, or imaginary 'what if?' scenarios, are the basis of all strategic decision making. In the first chapter, I apply this to the foundational ideas of the NIEO. By fusing the political economy of Kwame Nkrumah and Ra</w:t>
      </w:r>
      <w:r>
        <w:rPr>
          <w:rFonts w:ascii="Arial" w:hAnsi="Arial" w:hint="default"/>
          <w:rtl w:val="0"/>
          <w:lang w:val="en-US"/>
        </w:rPr>
        <w:t>ú</w:t>
      </w:r>
      <w:r>
        <w:rPr>
          <w:rFonts w:ascii="Arial" w:hAnsi="Arial"/>
          <w:rtl w:val="0"/>
          <w:lang w:val="en-US"/>
        </w:rPr>
        <w:t xml:space="preserve">l Prebisch, the NIEO drew upon two distinct strategic imaginaries. Nkrumah imagined that NIEO-style policies would have eased conditions in the periphery, while heightening the classical contradiction between capital and labour in the imperial core. Prebisch disagreed, drawing on the tradition of liberal anti-imperialism. He envisioned NIEO-style reforms as useful for creating a global capitalist system that worked as its ahistorical, neo-classical boosters already believed it did. Thus, while both Prebisch and Nkrumah agreed on the need for NIEO-style reforms, they did so for entirely different reasons. Nkrumah thought these reforms would heighten class conflict in the imperial core, and therefore help build a global socialist revolution. Prebisch believed NIEO-style reforms would mitigate impediments to true global free trade.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To show </w:t>
      </w:r>
      <w:r>
        <w:rPr>
          <w:rFonts w:ascii="Arial" w:hAnsi="Arial"/>
          <w:rtl w:val="0"/>
          <w:lang w:val="en-US"/>
        </w:rPr>
        <w:t>how this strategic pluralism was decided in</w:t>
      </w:r>
      <w:r>
        <w:rPr>
          <w:rFonts w:ascii="Arial" w:hAnsi="Arial"/>
          <w:rtl w:val="0"/>
          <w:lang w:val="en-US"/>
        </w:rPr>
        <w:t xml:space="preserve"> practice,</w:t>
      </w:r>
      <w:r>
        <w:rPr>
          <w:rFonts w:ascii="Arial" w:hAnsi="Arial"/>
          <w:rtl w:val="0"/>
          <w:lang w:val="en-US"/>
        </w:rPr>
        <w:t xml:space="preserve"> I dispel three myths about the project's alleged futility: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numPr>
          <w:ilvl w:val="0"/>
          <w:numId w:val="4"/>
        </w:numPr>
        <w:bidi w:val="0"/>
        <w:spacing w:before="0"/>
        <w:ind w:right="0"/>
        <w:jc w:val="left"/>
        <w:rPr>
          <w:rFonts w:ascii="Arial" w:hAnsi="Arial"/>
          <w:rtl w:val="0"/>
          <w:lang w:val="en-US"/>
        </w:rPr>
      </w:pPr>
      <w:r>
        <w:rPr>
          <w:rFonts w:ascii="Arial" w:hAnsi="Arial"/>
          <w:rtl w:val="0"/>
          <w:lang w:val="en-US"/>
        </w:rPr>
        <w:t>The unwieldy size and internal conflicts of the G77 rendered it incapable of negotiating necessary compromises.</w:t>
      </w:r>
      <w:r>
        <w:rPr>
          <w:rStyle w:val="None"/>
          <w:rFonts w:ascii="Arial" w:cs="Arial" w:hAnsi="Arial" w:eastAsia="Arial"/>
          <w:vertAlign w:val="superscript"/>
          <w:rtl w:val="0"/>
        </w:rPr>
        <w:footnoteReference w:id="149"/>
      </w:r>
    </w:p>
    <w:p>
      <w:pPr>
        <w:pStyle w:val="Default"/>
        <w:numPr>
          <w:ilvl w:val="0"/>
          <w:numId w:val="4"/>
        </w:numPr>
        <w:bidi w:val="0"/>
        <w:spacing w:before="0"/>
        <w:ind w:right="0"/>
        <w:jc w:val="left"/>
        <w:rPr>
          <w:rFonts w:ascii="Arial" w:hAnsi="Arial"/>
          <w:rtl w:val="0"/>
          <w:lang w:val="en-US"/>
        </w:rPr>
      </w:pPr>
      <w:r>
        <w:rPr>
          <w:rFonts w:ascii="Arial" w:hAnsi="Arial"/>
          <w:rtl w:val="0"/>
          <w:lang w:val="en-US"/>
        </w:rPr>
        <w:t>The project</w:t>
      </w:r>
      <w:r>
        <w:rPr>
          <w:rFonts w:ascii="Arial" w:hAnsi="Arial" w:hint="default"/>
          <w:rtl w:val="0"/>
          <w:lang w:val="en-US"/>
        </w:rPr>
        <w:t>’</w:t>
      </w:r>
      <w:r>
        <w:rPr>
          <w:rFonts w:ascii="Arial" w:hAnsi="Arial"/>
          <w:rtl w:val="0"/>
          <w:lang w:val="en-US"/>
        </w:rPr>
        <w:t>s power was based on the illusion that OPEC-style cartels could be replicated by other commodities.</w:t>
      </w:r>
      <w:r>
        <w:rPr>
          <w:rStyle w:val="None"/>
          <w:rFonts w:ascii="Arial" w:cs="Arial" w:hAnsi="Arial" w:eastAsia="Arial"/>
          <w:vertAlign w:val="superscript"/>
          <w:rtl w:val="0"/>
        </w:rPr>
        <w:footnoteReference w:id="150"/>
      </w:r>
    </w:p>
    <w:p>
      <w:pPr>
        <w:pStyle w:val="Default"/>
        <w:numPr>
          <w:ilvl w:val="0"/>
          <w:numId w:val="4"/>
        </w:numPr>
        <w:bidi w:val="0"/>
        <w:spacing w:before="0"/>
        <w:ind w:right="0"/>
        <w:jc w:val="left"/>
        <w:rPr>
          <w:rFonts w:ascii="Arial" w:hAnsi="Arial"/>
          <w:rtl w:val="0"/>
          <w:lang w:val="en-US"/>
        </w:rPr>
      </w:pPr>
      <w:r>
        <w:rPr>
          <w:rFonts w:ascii="Arial" w:hAnsi="Arial"/>
          <w:rtl w:val="0"/>
          <w:lang w:val="en-US"/>
        </w:rPr>
        <w:t>The most powerful OPEC elites had never really considered significant investment in NIEO.</w:t>
      </w:r>
      <w:r>
        <w:rPr>
          <w:rStyle w:val="None"/>
          <w:rFonts w:ascii="Arial" w:cs="Arial" w:hAnsi="Arial" w:eastAsia="Arial"/>
          <w:vertAlign w:val="superscript"/>
          <w:rtl w:val="0"/>
        </w:rPr>
        <w:footnoteReference w:id="151"/>
      </w:r>
      <w:r>
        <w:rPr>
          <w:rFonts w:ascii="Arial" w:hAnsi="Arial"/>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I refute the first two assumptions with evidence from the Sixth Special Session of the UN General Assembly. </w:t>
      </w:r>
      <w:r>
        <w:rPr>
          <w:rFonts w:ascii="Arial" w:hAnsi="Arial"/>
          <w:rtl w:val="0"/>
          <w:lang w:val="en-US"/>
        </w:rPr>
        <w:t xml:space="preserve">The </w:t>
      </w:r>
      <w:r>
        <w:rPr>
          <w:rFonts w:ascii="Arial" w:hAnsi="Arial"/>
          <w:rtl w:val="0"/>
          <w:lang w:val="en-US"/>
        </w:rPr>
        <w:t>NIEO'</w:t>
      </w:r>
      <w:r>
        <w:rPr>
          <w:rFonts w:ascii="Arial" w:hAnsi="Arial"/>
          <w:rtl w:val="0"/>
          <w:lang w:val="en-US"/>
        </w:rPr>
        <w:t>s dismisse</w:t>
      </w:r>
      <w:r>
        <w:rPr>
          <w:rFonts w:ascii="Arial" w:hAnsi="Arial"/>
          <w:rtl w:val="0"/>
          <w:lang w:val="en-US"/>
        </w:rPr>
        <w:t>r</w:t>
      </w:r>
      <w:r>
        <w:rPr>
          <w:rFonts w:ascii="Arial" w:hAnsi="Arial"/>
          <w:rtl w:val="0"/>
          <w:lang w:val="en-US"/>
        </w:rPr>
        <w:t xml:space="preserve">s claim that </w:t>
      </w:r>
      <w:r>
        <w:rPr>
          <w:rFonts w:ascii="Arial" w:hAnsi="Arial"/>
          <w:rtl w:val="0"/>
          <w:lang w:val="en-US"/>
        </w:rPr>
        <w:t xml:space="preserve">the G77 was too inflexible to renegotiate its own internal compromises. Instead of actually negotiating with imperialists, the G77 had simply rammed through a set of demands. In the second chapter, I show that the opposite is true. At the Sixth Special Session, </w:t>
      </w:r>
      <w:r>
        <w:rPr>
          <w:rFonts w:ascii="Arial" w:hAnsi="Arial"/>
          <w:rtl w:val="0"/>
          <w:lang w:val="en-US"/>
        </w:rPr>
        <w:t xml:space="preserve">G77 elites actively </w:t>
      </w:r>
      <w:r>
        <w:rPr>
          <w:rFonts w:ascii="Arial" w:hAnsi="Arial"/>
          <w:rtl w:val="0"/>
          <w:lang w:val="en-US"/>
        </w:rPr>
        <w:t xml:space="preserve">revised their own draft proposals. This was done as a means of mediating their own internal disagreements. </w:t>
      </w:r>
      <w:r>
        <w:rPr>
          <w:rFonts w:ascii="Arial" w:hAnsi="Arial"/>
          <w:rtl w:val="0"/>
          <w:lang w:val="en-US"/>
        </w:rPr>
        <w:t>These included those between the more powerful states, and the most-sever</w:t>
      </w:r>
      <w:r>
        <w:rPr>
          <w:rFonts w:ascii="Arial" w:hAnsi="Arial"/>
          <w:rtl w:val="0"/>
          <w:lang w:val="en-US"/>
        </w:rPr>
        <w:t>e</w:t>
      </w:r>
      <w:r>
        <w:rPr>
          <w:rFonts w:ascii="Arial" w:hAnsi="Arial"/>
          <w:rtl w:val="0"/>
          <w:lang w:val="en-US"/>
        </w:rPr>
        <w:t>ly effected, land-locked states.</w:t>
      </w:r>
      <w:r>
        <w:rPr>
          <w:rFonts w:ascii="Arial" w:hAnsi="Arial"/>
          <w:rtl w:val="0"/>
          <w:lang w:val="en-US"/>
        </w:rPr>
        <w:t xml:space="preserve"> It also</w:t>
      </w:r>
      <w:r>
        <w:rPr>
          <w:rFonts w:ascii="Arial" w:hAnsi="Arial"/>
          <w:rtl w:val="0"/>
          <w:lang w:val="en-US"/>
        </w:rPr>
        <w:t xml:space="preserve"> included </w:t>
      </w:r>
      <w:r>
        <w:rPr>
          <w:rFonts w:ascii="Arial" w:hAnsi="Arial"/>
          <w:rtl w:val="0"/>
          <w:lang w:val="en-US"/>
        </w:rPr>
        <w:t>the most strategically-pressing conflict, that</w:t>
      </w:r>
      <w:r>
        <w:rPr>
          <w:rFonts w:ascii="Arial" w:hAnsi="Arial"/>
          <w:rtl w:val="0"/>
          <w:lang w:val="en-US"/>
        </w:rPr>
        <w:t xml:space="preserve"> between </w:t>
      </w:r>
      <w:r>
        <w:rPr>
          <w:rFonts w:ascii="Arial" w:hAnsi="Arial"/>
          <w:rtl w:val="0"/>
          <w:lang w:val="en-US"/>
        </w:rPr>
        <w:t>o</w:t>
      </w:r>
      <w:r>
        <w:rPr>
          <w:rFonts w:ascii="Arial" w:hAnsi="Arial"/>
          <w:rtl w:val="0"/>
          <w:lang w:val="en-US"/>
        </w:rPr>
        <w:t>il exporters and importe</w:t>
      </w:r>
      <w:r>
        <w:rPr>
          <w:rFonts w:ascii="Arial" w:hAnsi="Arial"/>
          <w:rtl w:val="0"/>
          <w:lang w:val="en-US"/>
        </w:rPr>
        <w:t>rs</w:t>
      </w:r>
      <w:r>
        <w:rPr>
          <w:rFonts w:ascii="Arial" w:hAnsi="Arial"/>
          <w:rtl w:val="0"/>
        </w:rPr>
        <w:t xml:space="preserve">. </w:t>
      </w:r>
      <w:r>
        <w:rPr>
          <w:rFonts w:ascii="Arial" w:hAnsi="Arial"/>
          <w:rtl w:val="0"/>
          <w:lang w:val="en-US"/>
        </w:rPr>
        <w:t>D</w:t>
      </w:r>
      <w:r>
        <w:rPr>
          <w:rFonts w:ascii="Arial" w:hAnsi="Arial"/>
          <w:rtl w:val="0"/>
          <w:lang w:val="en-US"/>
        </w:rPr>
        <w:t xml:space="preserve">isagreements were aired openly, </w:t>
      </w:r>
      <w:r>
        <w:rPr>
          <w:rFonts w:ascii="Arial" w:hAnsi="Arial"/>
          <w:rtl w:val="0"/>
          <w:lang w:val="en-US"/>
        </w:rPr>
        <w:t>allowing G77 factions to respond to the various positions taken by imperialist elites. Thus, f</w:t>
      </w:r>
      <w:r>
        <w:rPr>
          <w:rFonts w:ascii="Arial" w:hAnsi="Arial"/>
          <w:rtl w:val="0"/>
          <w:lang w:val="en-US"/>
        </w:rPr>
        <w:t xml:space="preserve">ar from </w:t>
      </w:r>
      <w:r>
        <w:rPr>
          <w:rFonts w:ascii="Arial" w:hAnsi="Arial"/>
          <w:rtl w:val="0"/>
          <w:lang w:val="en-US"/>
        </w:rPr>
        <w:t xml:space="preserve">ignoring the group's internal conflicts, the </w:t>
      </w:r>
      <w:r>
        <w:rPr>
          <w:rFonts w:ascii="Arial" w:hAnsi="Arial"/>
          <w:rtl w:val="0"/>
        </w:rPr>
        <w:t>G77</w:t>
      </w:r>
      <w:r>
        <w:rPr>
          <w:rFonts w:ascii="Arial" w:hAnsi="Arial"/>
          <w:rtl w:val="0"/>
          <w:lang w:val="en-US"/>
        </w:rPr>
        <w:t xml:space="preserve"> </w:t>
      </w:r>
      <w:r>
        <w:rPr>
          <w:rFonts w:ascii="Arial" w:hAnsi="Arial"/>
          <w:rtl w:val="0"/>
          <w:lang w:val="en-US"/>
        </w:rPr>
        <w:t xml:space="preserve">actively mediated them.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Central to this intra-G77 mediation was OPEC's new control of monopoly capital. The records show that this was essential to the strategy forged at the Sixth Special Session. In showing this, I disprove the second myth, that the NIEO was based on the illusion that OPEC-style cartels could be replicated by other commodities. The records show that oil-importing G77 elites had no illusions about this at all. From the start, the NIEO's goal of commodity price stabilisation rested on a strategy of significant OPEC investment into the NIEO, including UNCTAD's proposed common fund. Indeed, OPEC's monopoly capital was the basis of the NIEO's initial moment of optimism. Springing forth from the successfully-mediated unity at the Sixth Special Session, OPEC pledged its formal support for the NIEO in a </w:t>
      </w:r>
      <w:r>
        <w:rPr>
          <w:rStyle w:val="None"/>
          <w:rFonts w:ascii="Arial" w:hAnsi="Arial"/>
          <w:i w:val="1"/>
          <w:iCs w:val="1"/>
          <w:rtl w:val="0"/>
          <w:lang w:val="en-US"/>
        </w:rPr>
        <w:t>Solemn Declaration</w:t>
      </w:r>
      <w:r>
        <w:rPr>
          <w:rFonts w:ascii="Arial" w:hAnsi="Arial"/>
          <w:rtl w:val="0"/>
          <w:lang w:val="en-US"/>
        </w:rPr>
        <w:t>. The result of this was evident at the Seventh Special Session of the UN General Assembly, held in 1975. There, both the European Economic Community and the United States brought draft proposals, and seemed genuinely willing to find a workable compromise with the G77.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Having established that the G77 had the ability to negotiate with imperialist elites, and the monopoly capital to independently invest in a New International Economic Order, I turn to the key question of the project's strategic decision making. As it turned out, OPEC elites decided not to significantly invest in the NIEO. Instead, they purchased enormous supplies of US weaponry, and continued to invest in US banks. Thus, OPEC's monopoly capital was used to strengthen the emerging, US-led neo-liberal world disorder. According to the historian Christopher Dietrich, this had been inevitable. OPEC was simply 'destined to be bad robin hoods'.</w:t>
      </w:r>
      <w:r>
        <w:rPr>
          <w:rStyle w:val="None"/>
          <w:rFonts w:ascii="Arial" w:cs="Arial" w:hAnsi="Arial" w:eastAsia="Arial"/>
          <w:vertAlign w:val="superscript"/>
          <w:rtl w:val="0"/>
        </w:rPr>
        <w:footnoteReference w:id="152"/>
      </w:r>
      <w:r>
        <w:rPr>
          <w:rFonts w:ascii="Arial" w:hAnsi="Arial"/>
          <w:rtl w:val="0"/>
          <w:lang w:val="en-US"/>
        </w:rPr>
        <w:t xml:space="preserve"> In other words, OPEC had never really considered investing in the NIEO. In the fourth chapter, I borrow from the counterfactual materialism of C.L.R. James to present an alternative interpretation. Like James, I show that OPEC investment was embedded within uncertain changes at the level of world order. The world was experimenting with floating exchange rates, and the US dollar was both fluctuating and falling relative to other currencies. This explains OPEC's initial support for the NIEO as a powerful contingency plan. It was necessary because, during this world economic crisis, no one knew what would happen next. As such, it is a mistake to consider OPEC decision making as inevitable, especially when so many primary source records indicate that even the most conservative member state, Saudi Arabia, had taken this option seriously.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Once G77's oil-importing elites realised that their OPEC allies would not significantly invest in the NIEO, the project's optimism and solidarity collapsed. I show this in </w:t>
      </w:r>
      <w:r>
        <w:rPr>
          <w:rStyle w:val="None"/>
          <w:rFonts w:ascii="Arial" w:hAnsi="Arial"/>
          <w:b w:val="1"/>
          <w:bCs w:val="1"/>
          <w:rtl w:val="0"/>
          <w:lang w:val="en-US"/>
        </w:rPr>
        <w:t>Chapter Six</w:t>
      </w:r>
      <w:r>
        <w:rPr>
          <w:rFonts w:ascii="Arial" w:hAnsi="Arial"/>
          <w:rtl w:val="0"/>
          <w:lang w:val="en-US"/>
        </w:rPr>
        <w:t xml:space="preserve">, where I highlight the failure of the Conference of International Economic Cooperation, held in Paris </w:t>
      </w:r>
      <w:r>
        <w:rPr>
          <w:rStyle w:val="None"/>
          <w:rFonts w:ascii="Arial" w:hAnsi="Arial"/>
          <w:b w:val="1"/>
          <w:bCs w:val="1"/>
          <w:rtl w:val="0"/>
          <w:lang w:val="en-US"/>
        </w:rPr>
        <w:t>from 1975-1977</w:t>
      </w:r>
      <w:r>
        <w:rPr>
          <w:rFonts w:ascii="Arial" w:hAnsi="Arial"/>
          <w:rtl w:val="0"/>
          <w:lang w:val="en-US"/>
        </w:rPr>
        <w:t xml:space="preserve">. Tragically, this demise took place while a new source of G77 power was emerging within the so-called Third World Debt Crisis. The debt was a byproduct of the massive international payments imbalances of the 1970s. Despite this, US elites claimed that there was no debt crisis. In </w:t>
      </w:r>
      <w:r>
        <w:rPr>
          <w:rStyle w:val="None"/>
          <w:rFonts w:ascii="Arial" w:hAnsi="Arial"/>
          <w:b w:val="1"/>
          <w:bCs w:val="1"/>
          <w:rtl w:val="0"/>
          <w:lang w:val="en-US"/>
        </w:rPr>
        <w:t xml:space="preserve">1981, </w:t>
      </w:r>
      <w:r>
        <w:rPr>
          <w:rFonts w:ascii="Arial" w:hAnsi="Arial"/>
          <w:rtl w:val="0"/>
          <w:lang w:val="en-US"/>
        </w:rPr>
        <w:t>the crisis that didn't exist burst. With G77 solidarity low, US state and financial elites forced the entire debt burden onto the world's poorest people, and millions of children died.</w:t>
      </w:r>
      <w:r>
        <w:rPr>
          <w:rStyle w:val="None"/>
          <w:rFonts w:ascii="Arial" w:cs="Arial" w:hAnsi="Arial" w:eastAsia="Arial"/>
          <w:vertAlign w:val="superscript"/>
          <w:rtl w:val="0"/>
        </w:rPr>
        <w:footnoteReference w:id="153"/>
      </w:r>
      <w:r>
        <w:rPr>
          <w:rFonts w:ascii="Arial" w:hAnsi="Arial"/>
          <w:rtl w:val="0"/>
          <w:lang w:val="en-US"/>
        </w:rPr>
        <w:t xml:space="preserve"> However, it didn't have to be this way. As I show in chapter </w:t>
      </w:r>
      <w:r>
        <w:rPr>
          <w:rStyle w:val="None"/>
          <w:rFonts w:ascii="Arial" w:hAnsi="Arial"/>
          <w:b w:val="1"/>
          <w:bCs w:val="1"/>
          <w:rtl w:val="0"/>
          <w:lang w:val="en-US"/>
        </w:rPr>
        <w:t xml:space="preserve">NUMBER, </w:t>
      </w:r>
      <w:r>
        <w:rPr>
          <w:rFonts w:ascii="Arial" w:hAnsi="Arial"/>
          <w:rtl w:val="0"/>
          <w:lang w:val="en-US"/>
        </w:rPr>
        <w:t>a debtors' cartel could have threatened collective bankruptcy, forcing the debt burden onto the banks. Even without a debtors' cartel, economists feared a global financial crisis. With a debtors' strike, neoliberalism could have been brought to its knees.</w:t>
      </w:r>
      <w:r>
        <w:rPr>
          <w:rStyle w:val="None"/>
          <w:rFonts w:ascii="Arial" w:cs="Arial" w:hAnsi="Arial" w:eastAsia="Arial"/>
          <w:vertAlign w:val="superscript"/>
          <w:rtl w:val="0"/>
        </w:rPr>
        <w:footnoteReference w:id="154"/>
      </w:r>
      <w:r>
        <w:rPr>
          <w:rFonts w:ascii="Arial" w:hAnsi="Arial"/>
          <w:rtl w:val="0"/>
          <w:lang w:val="en-US"/>
        </w:rPr>
        <w:t xml:space="preserve"> In other words, the Third World Debt Crisis contained a potential source of power, a means of forcing agreement on core proposals of the New International Economic Order. However, that power needed to be created. It depended, as Kwame Nkrumah had recognised, on international solidarity.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All this begs the question of what could have been. If OPEC had invested in UNCTAD's Common Fund, would it have kickstarted a new international order of commodity agreements? Would these agreements have had a measurable effect on the declining terms of trade, or the prosperity of the Global South? None of this can be known, because it was not decided. And even if it had been decided, we then wouldn't be able to compare it to anything else. Still, we know that G77 solidarity collapsed as soon as it became obvious that OPEC elites were not going to finance the NIEO's core institutions. As such, it is reasonable to conclude that significant OPEC investment would have underscored a resurgence in G77 solidarity, and </w:t>
      </w:r>
      <w:r>
        <w:rPr>
          <w:rFonts w:ascii="Arial" w:hAnsi="Arial" w:hint="default"/>
          <w:rtl w:val="0"/>
          <w:lang w:val="en-US"/>
        </w:rPr>
        <w:t xml:space="preserve">–– </w:t>
      </w:r>
      <w:r>
        <w:rPr>
          <w:rFonts w:ascii="Arial" w:hAnsi="Arial"/>
          <w:rtl w:val="0"/>
          <w:lang w:val="en-US"/>
        </w:rPr>
        <w:t xml:space="preserve">therefore </w:t>
      </w:r>
      <w:r>
        <w:rPr>
          <w:rFonts w:ascii="Arial" w:hAnsi="Arial" w:hint="default"/>
          <w:rtl w:val="0"/>
          <w:lang w:val="en-US"/>
        </w:rPr>
        <w:t xml:space="preserve">–– </w:t>
      </w:r>
      <w:r>
        <w:rPr>
          <w:rFonts w:ascii="Arial" w:hAnsi="Arial"/>
          <w:rtl w:val="0"/>
          <w:lang w:val="en-US"/>
        </w:rPr>
        <w:t>of G77 power. With the debt crisis the major focus of the latter period of the North-South Dialogue, it is easy to imagine that a strengthened G77 would have empowered those calling for a Debtors' Cartel. This Debtors' Cartel would have wielded strategic power over the future of world order. Instead of US imperialists exporting the crisis to the world's poor, a debtors' cartel could have triggered a systemic collapse of the Global Financial System. This threat would have brought global negotiations back to the future of the early 1970s, confirming the then-orthodox fears about a deregulated financial and monetary system. Neo-liberal common sense would have been defeated before it had the chance of arrogantly, and ignorantly, claiming to have "solved" stagflation.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At this point, dear reader, your mind may be on red alert. Is it pointing out that all of this is wildly speculative? Indeed, it is. None of these </w:t>
      </w:r>
      <w:r>
        <w:rPr>
          <w:rStyle w:val="None"/>
          <w:rFonts w:ascii="Arial" w:hAnsi="Arial"/>
          <w:i w:val="1"/>
          <w:iCs w:val="1"/>
          <w:rtl w:val="0"/>
          <w:lang w:val="en-US"/>
        </w:rPr>
        <w:t>what if?</w:t>
      </w:r>
      <w:r>
        <w:rPr>
          <w:rFonts w:ascii="Arial" w:hAnsi="Arial"/>
          <w:rtl w:val="0"/>
          <w:lang w:val="en-US"/>
        </w:rPr>
        <w:t xml:space="preserve"> scenarios can be proven. This book does not claim to know that the G77 certainly had the power to establish a New International Economic Order. It claims only to prove that it might have. This is done to refute the baseless dismissal of the NIEO as inherently powerless. The consensus, that the NIEO had never stood a chance, is just as uncertain and unknowable as my claim, that the NIEO came close to being established. Both are plausible interpretations, and both are based on counterfactual </w:t>
      </w:r>
      <w:r>
        <w:rPr>
          <w:rStyle w:val="None"/>
          <w:rFonts w:ascii="Arial" w:hAnsi="Arial"/>
          <w:i w:val="1"/>
          <w:iCs w:val="1"/>
          <w:rtl w:val="0"/>
          <w:lang w:val="en-US"/>
        </w:rPr>
        <w:t>what if?</w:t>
      </w:r>
      <w:r>
        <w:rPr>
          <w:rFonts w:ascii="Arial" w:hAnsi="Arial"/>
          <w:rtl w:val="0"/>
          <w:lang w:val="en-US"/>
        </w:rPr>
        <w:t xml:space="preserve"> scenarios. To see this, witness the implicit counterfactual of the NIEO's dismissers. They assume that even if G77 elites had tried every possible option, the NIEO would still have failed. There is nothing wrong with this counterfactual, per se. The problem is that this imaginary </w:t>
      </w:r>
      <w:r>
        <w:rPr>
          <w:rStyle w:val="None"/>
          <w:rFonts w:ascii="Arial" w:hAnsi="Arial"/>
          <w:i w:val="1"/>
          <w:iCs w:val="1"/>
          <w:rtl w:val="0"/>
          <w:lang w:val="en-US"/>
        </w:rPr>
        <w:t xml:space="preserve">'what if?' scenario </w:t>
      </w:r>
      <w:r>
        <w:rPr>
          <w:rFonts w:ascii="Arial" w:hAnsi="Arial"/>
          <w:rtl w:val="0"/>
          <w:lang w:val="en-US"/>
        </w:rPr>
        <w:t>remained implicit. As such, no one bothered to check what the alternative options were, or how close G77 elites came to choosing them. With the counterfactual analysis implicit, the Eurocentric assumptions of International Theory went unchallenged. Everyone assumed that because the project failed it could never have succeeded.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tl w:val="0"/>
        </w:rPr>
      </w:pPr>
      <w:r>
        <w:rPr>
          <w:rFonts w:ascii="Arial" w:hAnsi="Arial"/>
          <w:rtl w:val="0"/>
          <w:lang w:val="en-US"/>
        </w:rPr>
        <w:t>So when Yanis Varoufakis asks the most pertinent question of the NIEO, 'Why did we fail the last time?', he is wrong to conclude that '</w:t>
      </w:r>
      <w:r>
        <w:rPr>
          <w:rStyle w:val="None"/>
          <w:rFonts w:ascii="Arial" w:hAnsi="Arial"/>
          <w:b w:val="1"/>
          <w:bCs w:val="1"/>
          <w:rtl w:val="0"/>
          <w:lang w:val="en-US"/>
        </w:rPr>
        <w:t>Capitalist elites better understood the class war.'</w:t>
      </w:r>
      <w:r>
        <w:rPr>
          <w:rFonts w:ascii="Arial" w:hAnsi="Arial"/>
          <w:rtl w:val="0"/>
          <w:lang w:val="en-US"/>
        </w:rPr>
        <w:t xml:space="preserve"> The evidence shows that amidst the uncertainty of the time, no one understood the nature of global capitalist crisis.</w:t>
      </w:r>
      <w:r>
        <w:rPr>
          <w:rStyle w:val="None"/>
          <w:rFonts w:ascii="Arial" w:cs="Arial" w:hAnsi="Arial" w:eastAsia="Arial"/>
          <w:vertAlign w:val="superscript"/>
          <w:rtl w:val="0"/>
        </w:rPr>
        <w:footnoteReference w:id="155"/>
      </w:r>
      <w:r>
        <w:rPr>
          <w:rFonts w:ascii="Arial" w:hAnsi="Arial"/>
          <w:rtl w:val="0"/>
          <w:lang w:val="en-US"/>
        </w:rPr>
        <w:t xml:space="preserve"> This book argues that the failure of the original NIEO can't be understood solely in terms of the structural constraints of neocolonialism. Partly, the failure hinged on the decision making of G77 elites themselves. This isn't to blame them for the failure. For they were operating within the eye of an uncertain world capitalist storm. Highlighting the decision making of G77 elites is important, however, especially for those concerned with building a new NIEO. It serves as a powerful corrective, warning against the reification of a power structure simply because a revolutionary strategy failed once. In the concluding chapter, I expand on these implications by surveying the different historical materialist interpretations of the NIEO. How does a Jamesian counterfactual analysis force us to rethink the many conclusions made, by both liberals and historical materialists, about the NIEO? What is the significance of this for movements like the Progressive International? It shows that even if a new NIEO also fails, it will have been a much needed contingency plan. For we do not know what will happen next. If the global history of the 1970s is to be any guide, it shows that the present crisis could just as easily offer great possibilities as it could devastating, and genocidal, suffering. Unfortunately, the suffering happens easily. The opportunities, like a new New International Economic Order, take decades of work, and even then, a little bit of luck. The last thing the world needs, then, are myths of inevitable defeat. As this book makes clear, there is no evidence at all to suggest that the original praxis of the NIEO couldn't have succeeded. If researchers want to challenge this, if they really want to prove that the NIEO was futile, they only have one option. They must try to make a new one, and then try, as Varoufakis argues: '</w:t>
      </w:r>
      <w:r>
        <w:rPr>
          <w:rFonts w:ascii="Arial" w:hAnsi="Arial"/>
          <w:rtl w:val="0"/>
          <w:lang w:val="en-US"/>
        </w:rPr>
        <w:t>Again. And again. And again.</w:t>
      </w:r>
      <w:r>
        <w:rPr>
          <w:rFonts w:ascii="Arial" w:hAnsi="Arial"/>
          <w:rtl w:val="0"/>
          <w:lang w:val="en-US"/>
        </w:rPr>
        <w:t>'</w:t>
      </w:r>
    </w:p>
    <w:sectPr>
      <w:headerReference w:type="default" r:id="rId4"/>
      <w:footerReference w:type="default" r:id="rId5"/>
      <w:pgSz w:w="11906" w:h="16838" w:orient="portrait"/>
      <w:pgMar w:top="1134" w:right="1134" w:bottom="1134" w:left="1134" w:header="709" w:footer="850"/>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Samuel Nicholls" w:date="2023-07-15T09:04:21Z">
    <w:p w14:paraId="1111FFFF">
      <w:pPr>
        <w:pStyle w:val="Default"/>
        <w:bidi w:val="0"/>
      </w:pPr>
    </w:p>
    <w:p w14:paraId="11120000">
      <w:pPr>
        <w:pStyle w:val="Default"/>
        <w:bidi w:val="0"/>
      </w:pPr>
      <w:r>
        <w:rPr>
          <w:rFonts w:cs="Arial Unicode MS" w:eastAsia="Arial Unicode MS"/>
          <w:rtl w:val="0"/>
        </w:rPr>
        <w:t>Before there 'was no alternative' to neoliberal globalisation, there was the New International Economic Order.</w:t>
      </w:r>
    </w:p>
  </w:comment>
  <w:comment w:id="1" w:author="Samuel Nicholls" w:date="2023-11-06T10:10:48Z">
    <w:p w14:paraId="11120001">
      <w:pPr>
        <w:pStyle w:val="Default"/>
        <w:bidi w:val="0"/>
      </w:pPr>
    </w:p>
    <w:p w14:paraId="11120002">
      <w:pPr>
        <w:pStyle w:val="Default"/>
        <w:bidi w:val="0"/>
      </w:pPr>
      <w:r>
        <w:rPr>
          <w:rFonts w:cs="Arial Unicode MS" w:eastAsia="Arial Unicode MS"/>
          <w:rtl w:val="0"/>
        </w:rPr>
        <w:t>The tragedy of the NIEO's defeat is that there was, even amidst the crushing blows of the debt crisis, a possibility for a new form of G77 politics. If G77 had maintained solidarity, it could have followed the proposal of Cuba. It could have formed a debtors' cartel and refused, collectively, to pay back the debt. This would have blocked the attempt of the newly-minted neoliberal world order from exporting the crisis to the world's poorest people. It would have forced the crisis back to its progenitors: the newly deregulated Western financial system. But it was not to be. The NIEO had emerged from a unique praxis of Third World state elites. They had created the possibility of rebuilding a New International Economic Order by leveraging an uncertain world economic crisis, but this same crisis had, less than ten years later, been leveraged by US imperialism to crush the resistance.</w:t>
      </w:r>
    </w:p>
  </w:comment>
  <w:comment w:id="2" w:author="Samuel Nicholls" w:date="2024-01-19T15:20:58Z">
    <w:p w14:paraId="11120003">
      <w:pPr>
        <w:pStyle w:val="Default"/>
      </w:pPr>
    </w:p>
  </w:comment>
  <w:comment w:id="3" w:author="Samuel Nicholls" w:date="2024-01-04T11:23:49Z">
    <w:p w14:paraId="11120004">
      <w:pPr>
        <w:pStyle w:val="Default"/>
        <w:bidi w:val="0"/>
      </w:pPr>
    </w:p>
    <w:p w14:paraId="11120005">
      <w:pPr>
        <w:pStyle w:val="Default"/>
        <w:bidi w:val="0"/>
      </w:pPr>
      <w:r>
        <w:rPr>
          <w:rFonts w:cs="Arial Unicode MS" w:eastAsia="Arial Unicode MS"/>
          <w:rtl w:val="0"/>
        </w:rPr>
        <w:t xml:space="preserve"> [Here, the debate mirrored the NIEO's moment of possibility. In the lead up to the Seventh Special Session, his name wrote powerfully of the power of the G77. This was not a drill. No, the authoritarian hoards had to be taken seriously. When, however, it became clear that the NIEO had failed, this side of the argument fell away. By the 1980s, Kissinger </w:t>
      </w:r>
      <w:r>
        <w:rPr>
          <w:rFonts w:cs="Arial Unicode MS" w:eastAsia="Arial Unicode MS" w:hint="default"/>
          <w:rtl w:val="0"/>
        </w:rPr>
        <w:t xml:space="preserve">–– </w:t>
      </w:r>
      <w:r>
        <w:rPr>
          <w:rFonts w:cs="Arial Unicode MS" w:eastAsia="Arial Unicode MS"/>
          <w:rtl w:val="0"/>
        </w:rPr>
        <w:t xml:space="preserve">who had taken the NIEO extremely seriously </w:t>
      </w:r>
      <w:r>
        <w:rPr>
          <w:rFonts w:cs="Arial Unicode MS" w:eastAsia="Arial Unicode MS" w:hint="default"/>
          <w:rtl w:val="0"/>
        </w:rPr>
        <w:t xml:space="preserve">–– </w:t>
      </w:r>
      <w:r>
        <w:rPr>
          <w:rFonts w:cs="Arial Unicode MS" w:eastAsia="Arial Unicode MS"/>
          <w:rtl w:val="0"/>
        </w:rPr>
        <w:t>claimed that it had never had any power. It hadn't even had, he claimed, a cohesive platform.]</w:t>
      </w:r>
    </w:p>
  </w:comment>
  <w:comment w:id="4" w:author="Samuel Nicholls" w:date="2024-02-01T12:54:14Z">
    <w:p w14:paraId="11120006">
      <w:pPr>
        <w:pStyle w:val="Default"/>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rPr>
        <w:sz w:val="8"/>
        <w:szCs w:val="8"/>
      </w:rPr>
      <w:tab/>
    </w:r>
    <w:r>
      <w:rPr>
        <w:sz w:val="8"/>
        <w:szCs w:val="8"/>
        <w:rtl w:val="0"/>
        <w:lang w:val="en-US"/>
      </w:rPr>
      <w:t xml:space="preserve">Page </w:t>
    </w:r>
    <w:r>
      <w:rPr>
        <w:sz w:val="8"/>
        <w:szCs w:val="8"/>
      </w:rPr>
      <w:fldChar w:fldCharType="begin" w:fldLock="0"/>
    </w:r>
    <w:r>
      <w:rPr>
        <w:sz w:val="8"/>
        <w:szCs w:val="8"/>
      </w:rPr>
      <w:instrText xml:space="preserve"> PAGE </w:instrText>
    </w:r>
    <w:r>
      <w:rPr>
        <w:sz w:val="8"/>
        <w:szCs w:val="8"/>
      </w:rPr>
      <w:fldChar w:fldCharType="separate" w:fldLock="0"/>
    </w:r>
    <w:r>
      <w:rPr>
        <w:sz w:val="8"/>
        <w:szCs w:val="8"/>
      </w:rPr>
    </w:r>
    <w:r>
      <w:rPr>
        <w:sz w:val="8"/>
        <w:szCs w:val="8"/>
      </w:rPr>
      <w:fldChar w:fldCharType="end" w:fldLock="0"/>
    </w:r>
    <w:r>
      <w:rPr>
        <w:sz w:val="8"/>
        <w:szCs w:val="8"/>
        <w:rtl w:val="0"/>
        <w:lang w:val="en-US"/>
      </w:rPr>
      <w:t xml:space="preserve"> of </w:t>
    </w:r>
    <w:r>
      <w:rPr>
        <w:sz w:val="8"/>
        <w:szCs w:val="8"/>
      </w:rPr>
      <w:fldChar w:fldCharType="begin" w:fldLock="0"/>
    </w:r>
    <w:r>
      <w:rPr>
        <w:sz w:val="8"/>
        <w:szCs w:val="8"/>
      </w:rPr>
      <w:instrText xml:space="preserve"> NUMPAGES </w:instrText>
    </w:r>
    <w:r>
      <w:rPr>
        <w:sz w:val="8"/>
        <w:szCs w:val="8"/>
      </w:rPr>
      <w:fldChar w:fldCharType="separate" w:fldLock="0"/>
    </w:r>
    <w:r>
      <w:rPr>
        <w:sz w:val="8"/>
        <w:szCs w:val="8"/>
      </w:rPr>
    </w:r>
    <w:r>
      <w:rPr>
        <w:sz w:val="8"/>
        <w:szCs w:val="8"/>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pPr>
      <w:r>
        <w:rPr>
          <w:sz w:val="16"/>
          <w:szCs w:val="16"/>
          <w:vertAlign w:val="superscript"/>
        </w:rPr>
        <w:footnoteRef/>
      </w:r>
      <w:r>
        <w:rPr>
          <w:sz w:val="16"/>
          <w:szCs w:val="16"/>
          <w:rtl w:val="0"/>
        </w:rPr>
        <w:t xml:space="preserve"> </w:t>
      </w:r>
      <w:r>
        <w:rPr>
          <w:sz w:val="16"/>
          <w:szCs w:val="16"/>
          <w:rtl w:val="0"/>
          <w:lang w:val="en-US"/>
        </w:rPr>
        <w:t>Havana Congress, '</w:t>
      </w:r>
      <w:r>
        <w:rPr>
          <w:sz w:val="16"/>
          <w:szCs w:val="16"/>
          <w:rtl w:val="0"/>
          <w:lang w:val="en-US"/>
        </w:rPr>
        <w:t>Havana Declaration on the New International Economic Order</w:t>
      </w:r>
      <w:r>
        <w:rPr>
          <w:sz w:val="16"/>
          <w:szCs w:val="16"/>
          <w:rtl w:val="0"/>
          <w:lang w:val="en-US"/>
        </w:rPr>
        <w:t>', January 27 2022. [</w:t>
      </w:r>
      <w:r>
        <w:rPr>
          <w:rStyle w:val="Hyperlink.0"/>
          <w:sz w:val="16"/>
          <w:szCs w:val="16"/>
        </w:rPr>
        <w:fldChar w:fldCharType="begin" w:fldLock="0"/>
      </w:r>
      <w:r>
        <w:rPr>
          <w:rStyle w:val="Hyperlink.0"/>
          <w:sz w:val="16"/>
          <w:szCs w:val="16"/>
        </w:rPr>
        <w:instrText xml:space="preserve"> HYPERLINK "https://progressive.international/wire/2023-01-30-havana-congress-plans-unilateral-but-coordinated-action-to-secure-technological-sovereignty-for-the-global-south/en"</w:instrText>
      </w:r>
      <w:r>
        <w:rPr>
          <w:rStyle w:val="Hyperlink.0"/>
          <w:sz w:val="16"/>
          <w:szCs w:val="16"/>
        </w:rPr>
        <w:fldChar w:fldCharType="separate" w:fldLock="0"/>
      </w:r>
      <w:r>
        <w:rPr>
          <w:rStyle w:val="Hyperlink.0"/>
          <w:sz w:val="16"/>
          <w:szCs w:val="16"/>
          <w:rtl w:val="0"/>
          <w:lang w:val="en-US"/>
        </w:rPr>
        <w:t>https://progressive.international/wire/2023-01-30-havana-congress-plans-unilateral-but-coordinated-action-to-secure-technological-sovereignty-for-the-global-south/en</w:t>
      </w:r>
      <w:r>
        <w:rPr>
          <w:sz w:val="16"/>
          <w:szCs w:val="16"/>
        </w:rPr>
        <w:fldChar w:fldCharType="end" w:fldLock="0"/>
      </w:r>
      <w:r>
        <w:rPr>
          <w:sz w:val="16"/>
          <w:szCs w:val="16"/>
          <w:rtl w:val="0"/>
          <w:lang w:val="en-US"/>
        </w:rPr>
        <w:t>]</w:t>
      </w:r>
    </w:p>
  </w:footnote>
  <w:footnote w:id="2">
    <w:p>
      <w:pPr>
        <w:pStyle w:val="Footnote"/>
      </w:pPr>
      <w:r>
        <w:rPr>
          <w:sz w:val="16"/>
          <w:szCs w:val="16"/>
          <w:vertAlign w:val="superscript"/>
        </w:rPr>
        <w:footnoteRef/>
      </w:r>
      <w:r>
        <w:rPr>
          <w:sz w:val="16"/>
          <w:szCs w:val="16"/>
          <w:rtl w:val="0"/>
        </w:rPr>
        <w:t xml:space="preserve"> </w:t>
      </w:r>
      <w:r>
        <w:rPr>
          <w:sz w:val="16"/>
          <w:szCs w:val="16"/>
          <w:rtl w:val="0"/>
          <w:lang w:val="en-US"/>
        </w:rPr>
        <w:t>Ibid.</w:t>
      </w:r>
    </w:p>
  </w:footnote>
  <w:footnote w:id="3">
    <w:p>
      <w:pPr>
        <w:pStyle w:val="Footnote"/>
        <w:rPr>
          <w:sz w:val="16"/>
          <w:szCs w:val="16"/>
        </w:rPr>
      </w:pPr>
      <w:r>
        <w:rPr>
          <w:sz w:val="16"/>
          <w:szCs w:val="16"/>
          <w:vertAlign w:val="superscript"/>
        </w:rPr>
        <w:footnoteRef/>
      </w:r>
      <w:r>
        <w:rPr>
          <w:sz w:val="16"/>
          <w:szCs w:val="16"/>
          <w:rtl w:val="0"/>
          <w:lang w:val="nl-NL"/>
        </w:rPr>
        <w:t xml:space="preserve"> Afghanistan, Algeria, Argentina, Bahrain, Barbados, Bhutan, Bolivia, Botswana, Brazil, Burma, Burundi, Cameroon, Central African Republic, Chad, Chile, Colombia, Congo, Costa Rica, Cuba, Cyprus, Dahomey, Yemen (Democratic), Dominican Republic, Ecuador, Egypt, El Salvador, Equatorial Guinea, Ethiopia, Fiji, Gabon, Gambia, Ghana, Honduras, India, Indonesia, Iran, Iraq, Guatemala, Guinea, Guyana, Haiti, Ivory Coast, Jamaica, Jordan, Kenya, Khmer Republic, Kuwait, Laos, Lebanon, Lesotho, Liberia, Libyan Arab Republic, Madagascar, Malawi, Malaysia, Mali, Mauritania, Mauritius, Mexico, Morocco, Nepal, Nicaragua, Niger, Nigeria, Oman, Pakistan, Panama, Paraguay, Peru, Philippines, Qatar, Rwanda, Saudi Arabia, Senegal, Sierra Leone, Singapore, Somalia, Sri Lanka, Sudan, Swaziland, Syrian Arab Republic, Thailand, Togo, Trinidad and Tobago, Tunisia , Uganda, United Arab Emirates, Tanzania (United Republic of), Upper Volta, </w:t>
      </w:r>
      <w:r>
        <w:rPr>
          <w:sz w:val="16"/>
          <w:szCs w:val="16"/>
          <w:rtl w:val="0"/>
          <w:lang w:val="en-US"/>
        </w:rPr>
        <w:t>Uruguay</w:t>
      </w:r>
      <w:r>
        <w:rPr>
          <w:sz w:val="16"/>
          <w:szCs w:val="16"/>
          <w:rtl w:val="0"/>
        </w:rPr>
        <w:t xml:space="preserve">, Venezuela, Yemen, </w:t>
      </w:r>
      <w:r>
        <w:rPr>
          <w:sz w:val="16"/>
          <w:szCs w:val="16"/>
          <w:rtl w:val="0"/>
          <w:lang w:val="en-US"/>
        </w:rPr>
        <w:t>Yugoslavia</w:t>
      </w:r>
      <w:r>
        <w:rPr>
          <w:sz w:val="16"/>
          <w:szCs w:val="16"/>
          <w:rtl w:val="0"/>
          <w:lang w:val="en-US"/>
        </w:rPr>
        <w:t>, Zaire, and Zambia.</w:t>
      </w:r>
    </w:p>
    <w:p>
      <w:pPr>
        <w:pStyle w:val="Footnote"/>
        <w:rPr>
          <w:sz w:val="16"/>
          <w:szCs w:val="16"/>
        </w:rPr>
      </w:pPr>
    </w:p>
    <w:p>
      <w:pPr>
        <w:pStyle w:val="Footnote"/>
      </w:pPr>
      <w:r>
        <w:rPr>
          <w:sz w:val="16"/>
          <w:szCs w:val="16"/>
          <w:rtl w:val="0"/>
          <w:lang w:val="en-US"/>
        </w:rPr>
        <w:t xml:space="preserve">These are the countries which signed the G77's Draft Proposal on the Declaration of the Establishment of a NIEO, brought to </w:t>
      </w:r>
      <w:r>
        <w:rPr>
          <w:i w:val="1"/>
          <w:iCs w:val="1"/>
          <w:sz w:val="16"/>
          <w:szCs w:val="16"/>
          <w:rtl w:val="0"/>
          <w:lang w:val="en-US"/>
        </w:rPr>
        <w:t>The Ad Hoc Committee of the Sixth Special Session:</w:t>
      </w:r>
      <w:r>
        <w:rPr>
          <w:sz w:val="16"/>
          <w:szCs w:val="16"/>
          <w:rtl w:val="0"/>
          <w:lang w:val="en-US"/>
        </w:rPr>
        <w:t xml:space="preserve"> UN document A/AC.166/L.47 of 30 April 1974. This can be found in: </w:t>
      </w:r>
      <w:r>
        <w:rPr>
          <w:sz w:val="16"/>
          <w:szCs w:val="16"/>
          <w:rtl w:val="0"/>
          <w:lang w:val="en-US"/>
        </w:rPr>
        <w:t>Ahmia, Mourad. "The Collected Documents of the Group of 77. Volume III The North-South Dialogue, 1963-2008." (2009).</w:t>
      </w:r>
    </w:p>
  </w:footnote>
  <w:footnote w:id="4">
    <w:p>
      <w:pPr>
        <w:pStyle w:val="Footnote"/>
      </w:pPr>
      <w:r>
        <w:rPr>
          <w:sz w:val="16"/>
          <w:szCs w:val="16"/>
          <w:vertAlign w:val="superscript"/>
        </w:rPr>
        <w:footnoteRef/>
      </w:r>
      <w:r>
        <w:rPr>
          <w:sz w:val="16"/>
          <w:szCs w:val="16"/>
          <w:rtl w:val="0"/>
        </w:rPr>
        <w:t xml:space="preserve"> </w:t>
      </w:r>
      <w:r>
        <w:rPr>
          <w:sz w:val="16"/>
          <w:szCs w:val="16"/>
          <w:rtl w:val="0"/>
          <w:lang w:val="en-US"/>
        </w:rPr>
        <w:t>Yanis Varoufakis, '</w:t>
      </w:r>
      <w:r>
        <w:rPr>
          <w:sz w:val="16"/>
          <w:szCs w:val="16"/>
          <w:rtl w:val="0"/>
          <w:lang w:val="en-US"/>
        </w:rPr>
        <w:t>The New Non-Aligned Movement and New Economic System we have a duty to work towards</w:t>
      </w:r>
      <w:r>
        <w:rPr>
          <w:sz w:val="16"/>
          <w:szCs w:val="16"/>
          <w:rtl w:val="0"/>
          <w:lang w:val="en-US"/>
        </w:rPr>
        <w:t xml:space="preserve">', </w:t>
      </w:r>
      <w:r>
        <w:rPr>
          <w:i w:val="1"/>
          <w:iCs w:val="1"/>
          <w:sz w:val="16"/>
          <w:szCs w:val="16"/>
          <w:rtl w:val="0"/>
          <w:lang w:val="en-US"/>
        </w:rPr>
        <w:t xml:space="preserve">Havana Address, </w:t>
      </w:r>
      <w:r>
        <w:rPr>
          <w:sz w:val="16"/>
          <w:szCs w:val="16"/>
          <w:rtl w:val="0"/>
          <w:lang w:val="en-US"/>
        </w:rPr>
        <w:t>January</w:t>
      </w:r>
      <w:r>
        <w:rPr>
          <w:sz w:val="16"/>
          <w:szCs w:val="16"/>
          <w:rtl w:val="0"/>
          <w:lang w:val="en-US"/>
        </w:rPr>
        <w:t xml:space="preserve"> 27</w:t>
      </w:r>
      <w:r>
        <w:rPr>
          <w:sz w:val="16"/>
          <w:szCs w:val="16"/>
          <w:rtl w:val="0"/>
        </w:rPr>
        <w:t xml:space="preserve"> 2023</w:t>
      </w:r>
      <w:r>
        <w:rPr>
          <w:sz w:val="16"/>
          <w:szCs w:val="16"/>
          <w:rtl w:val="0"/>
          <w:lang w:val="en-US"/>
        </w:rPr>
        <w:t>.</w:t>
      </w:r>
      <w:r>
        <w:rPr>
          <w:sz w:val="16"/>
          <w:szCs w:val="16"/>
          <w:rtl w:val="0"/>
        </w:rPr>
        <w:t xml:space="preserve"> </w:t>
      </w:r>
      <w:r>
        <w:rPr>
          <w:sz w:val="16"/>
          <w:szCs w:val="16"/>
          <w:rtl w:val="0"/>
          <w:lang w:val="en-US"/>
        </w:rPr>
        <w:t>[</w:t>
      </w:r>
      <w:r>
        <w:rPr>
          <w:sz w:val="16"/>
          <w:szCs w:val="16"/>
          <w:rtl w:val="0"/>
          <w:lang w:val="en-US"/>
        </w:rPr>
        <w:t>https://www.yanisvaroufakis.eu/2023/02/26/the-new-non-aligned-movement-and-new-economic-system-we-have-a-duty-to-work-towards-havana-address-27th-january-2023/</w:t>
      </w:r>
      <w:r>
        <w:rPr>
          <w:sz w:val="16"/>
          <w:szCs w:val="16"/>
          <w:rtl w:val="0"/>
          <w:lang w:val="en-US"/>
        </w:rPr>
        <w:t>]</w:t>
      </w:r>
    </w:p>
  </w:footnote>
  <w:footnote w:id="5">
    <w:p>
      <w:pPr>
        <w:pStyle w:val="Footnote"/>
      </w:pPr>
      <w:r>
        <w:rPr>
          <w:sz w:val="16"/>
          <w:szCs w:val="16"/>
          <w:vertAlign w:val="superscript"/>
        </w:rPr>
        <w:footnoteRef/>
      </w:r>
      <w:r>
        <w:rPr>
          <w:sz w:val="16"/>
          <w:szCs w:val="16"/>
          <w:rtl w:val="0"/>
          <w:lang w:val="de-DE"/>
        </w:rPr>
        <w:t xml:space="preserve"> John M. </w:t>
      </w:r>
      <w:r>
        <w:rPr>
          <w:sz w:val="16"/>
          <w:szCs w:val="16"/>
          <w:rtl w:val="0"/>
          <w:lang w:val="en-US"/>
        </w:rPr>
        <w:t xml:space="preserve">Hobson, </w:t>
      </w:r>
      <w:r>
        <w:rPr>
          <w:i w:val="1"/>
          <w:iCs w:val="1"/>
          <w:sz w:val="16"/>
          <w:szCs w:val="16"/>
          <w:rtl w:val="0"/>
          <w:lang w:val="en-US"/>
        </w:rPr>
        <w:t xml:space="preserve">The Eurocentric </w:t>
      </w:r>
      <w:r>
        <w:rPr>
          <w:i w:val="1"/>
          <w:iCs w:val="1"/>
          <w:sz w:val="16"/>
          <w:szCs w:val="16"/>
          <w:rtl w:val="0"/>
          <w:lang w:val="en-US"/>
        </w:rPr>
        <w:t>C</w:t>
      </w:r>
      <w:r>
        <w:rPr>
          <w:i w:val="1"/>
          <w:iCs w:val="1"/>
          <w:sz w:val="16"/>
          <w:szCs w:val="16"/>
          <w:rtl w:val="0"/>
          <w:lang w:val="en-US"/>
        </w:rPr>
        <w:t xml:space="preserve">onception of </w:t>
      </w:r>
      <w:r>
        <w:rPr>
          <w:i w:val="1"/>
          <w:iCs w:val="1"/>
          <w:sz w:val="16"/>
          <w:szCs w:val="16"/>
          <w:rtl w:val="0"/>
          <w:lang w:val="en-US"/>
        </w:rPr>
        <w:t>W</w:t>
      </w:r>
      <w:r>
        <w:rPr>
          <w:i w:val="1"/>
          <w:iCs w:val="1"/>
          <w:sz w:val="16"/>
          <w:szCs w:val="16"/>
          <w:rtl w:val="0"/>
          <w:lang w:val="en-US"/>
        </w:rPr>
        <w:t xml:space="preserve">orld </w:t>
      </w:r>
      <w:r>
        <w:rPr>
          <w:i w:val="1"/>
          <w:iCs w:val="1"/>
          <w:sz w:val="16"/>
          <w:szCs w:val="16"/>
          <w:rtl w:val="0"/>
          <w:lang w:val="en-US"/>
        </w:rPr>
        <w:t>P</w:t>
      </w:r>
      <w:r>
        <w:rPr>
          <w:i w:val="1"/>
          <w:iCs w:val="1"/>
          <w:sz w:val="16"/>
          <w:szCs w:val="16"/>
          <w:rtl w:val="0"/>
          <w:lang w:val="en-US"/>
        </w:rPr>
        <w:t xml:space="preserve">olitics: Western </w:t>
      </w:r>
      <w:r>
        <w:rPr>
          <w:i w:val="1"/>
          <w:iCs w:val="1"/>
          <w:sz w:val="16"/>
          <w:szCs w:val="16"/>
          <w:rtl w:val="0"/>
          <w:lang w:val="en-US"/>
        </w:rPr>
        <w:t>I</w:t>
      </w:r>
      <w:r>
        <w:rPr>
          <w:i w:val="1"/>
          <w:iCs w:val="1"/>
          <w:sz w:val="16"/>
          <w:szCs w:val="16"/>
          <w:rtl w:val="0"/>
          <w:lang w:val="fr-FR"/>
        </w:rPr>
        <w:t xml:space="preserve">nternational </w:t>
      </w:r>
      <w:r>
        <w:rPr>
          <w:i w:val="1"/>
          <w:iCs w:val="1"/>
          <w:sz w:val="16"/>
          <w:szCs w:val="16"/>
          <w:rtl w:val="0"/>
          <w:lang w:val="en-US"/>
        </w:rPr>
        <w:t>T</w:t>
      </w:r>
      <w:r>
        <w:rPr>
          <w:i w:val="1"/>
          <w:iCs w:val="1"/>
          <w:sz w:val="16"/>
          <w:szCs w:val="16"/>
          <w:rtl w:val="0"/>
          <w:lang w:val="en-US"/>
        </w:rPr>
        <w:t>heory, 1760-2010</w:t>
      </w:r>
      <w:r>
        <w:rPr>
          <w:sz w:val="16"/>
          <w:szCs w:val="16"/>
          <w:rtl w:val="0"/>
          <w:lang w:val="en-US"/>
        </w:rPr>
        <w:t>. Cambridge University Press, 2012.</w:t>
      </w:r>
    </w:p>
  </w:footnote>
  <w:footnote w:id="6">
    <w:p>
      <w:pPr>
        <w:pStyle w:val="Footnote"/>
      </w:pPr>
      <w:r>
        <w:rPr>
          <w:sz w:val="16"/>
          <w:szCs w:val="16"/>
          <w:vertAlign w:val="superscript"/>
        </w:rPr>
        <w:footnoteRef/>
      </w:r>
      <w:r>
        <w:rPr>
          <w:sz w:val="16"/>
          <w:szCs w:val="16"/>
          <w:rtl w:val="0"/>
        </w:rPr>
        <w:t xml:space="preserve"> </w:t>
      </w:r>
      <w:r>
        <w:rPr>
          <w:sz w:val="16"/>
          <w:szCs w:val="16"/>
          <w:rtl w:val="0"/>
          <w:lang w:val="en-US"/>
        </w:rPr>
        <w:t>Philosophers argue about whether things actually could have happened differently, but this is not a historical question. The historian must pose counterfactuals, not for the sake of any argument about determinism, but for the purpose of studying causation, and for exploring the central historical process: conscious decision making.</w:t>
      </w:r>
    </w:p>
  </w:footnote>
  <w:footnote w:id="7">
    <w:p>
      <w:pPr>
        <w:pStyle w:val="Footnote"/>
      </w:pPr>
      <w:r>
        <w:rPr>
          <w:sz w:val="16"/>
          <w:szCs w:val="16"/>
          <w:vertAlign w:val="superscript"/>
        </w:rPr>
        <w:footnoteRef/>
      </w:r>
      <w:r>
        <w:rPr>
          <w:sz w:val="16"/>
          <w:szCs w:val="16"/>
          <w:rtl w:val="0"/>
        </w:rPr>
        <w:t xml:space="preserve"> Edgar J. Dosman, </w:t>
      </w:r>
      <w:r>
        <w:rPr>
          <w:rFonts w:ascii="Times New Roman" w:hAnsi="Times New Roman"/>
          <w:i w:val="1"/>
          <w:iCs w:val="1"/>
          <w:sz w:val="16"/>
          <w:szCs w:val="16"/>
          <w:rtl w:val="0"/>
          <w:lang w:val="en-US"/>
        </w:rPr>
        <w:t>The Life and Times of Rau</w:t>
      </w:r>
      <w:r>
        <w:rPr>
          <w:rFonts w:ascii="Times New Roman" w:hAnsi="Times New Roman" w:hint="default"/>
          <w:i w:val="1"/>
          <w:iCs w:val="1"/>
          <w:sz w:val="16"/>
          <w:szCs w:val="16"/>
          <w:rtl w:val="0"/>
        </w:rPr>
        <w:t>́</w:t>
      </w:r>
      <w:r>
        <w:rPr>
          <w:rFonts w:ascii="Times New Roman" w:hAnsi="Times New Roman"/>
          <w:i w:val="1"/>
          <w:iCs w:val="1"/>
          <w:sz w:val="16"/>
          <w:szCs w:val="16"/>
          <w:rtl w:val="0"/>
          <w:lang w:val="de-DE"/>
        </w:rPr>
        <w:t>l Prebisch, 1901-1986</w:t>
      </w:r>
      <w:r>
        <w:rPr>
          <w:sz w:val="16"/>
          <w:szCs w:val="16"/>
          <w:rtl w:val="0"/>
          <w:lang w:val="en-US"/>
        </w:rPr>
        <w:t xml:space="preserve"> (Montreal: McGill-Queen's University Press, 2008), p. 70.</w:t>
      </w:r>
    </w:p>
  </w:footnote>
  <w:footnote w:id="8">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Raul </w:t>
      </w:r>
      <w:r>
        <w:rPr>
          <w:sz w:val="16"/>
          <w:szCs w:val="16"/>
          <w:rtl w:val="0"/>
          <w:lang w:val="de-DE"/>
        </w:rPr>
        <w:t>Prebisch</w:t>
      </w:r>
      <w:r>
        <w:rPr>
          <w:sz w:val="16"/>
          <w:szCs w:val="16"/>
          <w:rtl w:val="0"/>
          <w:lang w:val="en-US"/>
        </w:rPr>
        <w:t>,</w:t>
      </w:r>
      <w:r>
        <w:rPr>
          <w:sz w:val="16"/>
          <w:szCs w:val="16"/>
          <w:rtl w:val="0"/>
        </w:rPr>
        <w:t xml:space="preserve"> </w:t>
      </w:r>
      <w:r>
        <w:rPr>
          <w:rFonts w:ascii="Times New Roman" w:hAnsi="Times New Roman"/>
          <w:i w:val="1"/>
          <w:iCs w:val="1"/>
          <w:sz w:val="16"/>
          <w:szCs w:val="16"/>
          <w:rtl w:val="0"/>
          <w:lang w:val="en-US"/>
        </w:rPr>
        <w:t>Towards a New Trade Policy</w:t>
      </w:r>
      <w:r>
        <w:rPr>
          <w:rFonts w:ascii="Times New Roman" w:hAnsi="Times New Roman"/>
          <w:i w:val="1"/>
          <w:iCs w:val="1"/>
          <w:sz w:val="16"/>
          <w:szCs w:val="16"/>
          <w:rtl w:val="0"/>
          <w:lang w:val="en-US"/>
        </w:rPr>
        <w:t xml:space="preserve"> For Development</w:t>
      </w:r>
      <w:r>
        <w:rPr>
          <w:sz w:val="16"/>
          <w:szCs w:val="16"/>
          <w:rtl w:val="0"/>
        </w:rPr>
        <w:t xml:space="preserve">, </w:t>
      </w:r>
      <w:r>
        <w:rPr>
          <w:sz w:val="16"/>
          <w:szCs w:val="16"/>
          <w:rtl w:val="0"/>
          <w:lang w:val="en-US"/>
        </w:rPr>
        <w:t xml:space="preserve">UNCTAD. </w:t>
      </w:r>
      <w:r>
        <w:rPr>
          <w:sz w:val="16"/>
          <w:szCs w:val="16"/>
          <w:rtl w:val="0"/>
        </w:rPr>
        <w:t>pp. 65-66</w:t>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In order to stimulate exports of industrial products from developing countries, two types of measures are required. In the first place, channels to the markets of</w:t>
      </w:r>
      <w:r>
        <w:rPr>
          <w:sz w:val="16"/>
          <w:szCs w:val="16"/>
          <w:rtl w:val="0"/>
        </w:rPr>
        <w:t> </w:t>
      </w:r>
      <w:r>
        <w:rPr>
          <w:sz w:val="16"/>
          <w:szCs w:val="16"/>
          <w:rtl w:val="0"/>
          <w:lang w:val="en-US"/>
        </w:rPr>
        <w:t>the</w:t>
      </w:r>
      <w:r>
        <w:rPr>
          <w:sz w:val="16"/>
          <w:szCs w:val="16"/>
          <w:rtl w:val="0"/>
        </w:rPr>
        <w:t> </w:t>
      </w:r>
      <w:r>
        <w:rPr>
          <w:sz w:val="16"/>
          <w:szCs w:val="16"/>
          <w:rtl w:val="0"/>
          <w:lang w:val="en-US"/>
        </w:rPr>
        <w:t>great industrial</w:t>
      </w:r>
      <w:r>
        <w:rPr>
          <w:sz w:val="16"/>
          <w:szCs w:val="16"/>
          <w:rtl w:val="0"/>
        </w:rPr>
        <w:t> </w:t>
      </w:r>
      <w:r>
        <w:rPr>
          <w:sz w:val="16"/>
          <w:szCs w:val="16"/>
          <w:rtl w:val="0"/>
          <w:lang w:val="fr-FR"/>
        </w:rPr>
        <w:t>centers</w:t>
      </w:r>
      <w:r>
        <w:rPr>
          <w:sz w:val="16"/>
          <w:szCs w:val="16"/>
          <w:rtl w:val="0"/>
        </w:rPr>
        <w:t> </w:t>
      </w:r>
      <w:r>
        <w:rPr>
          <w:sz w:val="16"/>
          <w:szCs w:val="16"/>
          <w:rtl w:val="0"/>
          <w:lang w:val="en-US"/>
        </w:rPr>
        <w:t>should be opened through the elimination of obstacles to the flow of exports. Secondly, the active promotion of exports should be undertaken both in the developing countries themselves and on the international plane.</w:t>
      </w:r>
      <w:r>
        <w:rPr>
          <w:sz w:val="16"/>
          <w:szCs w:val="16"/>
          <w:rtl w:val="0"/>
        </w:rPr>
        <w:t> </w:t>
      </w:r>
    </w:p>
    <w:p>
      <w:pPr>
        <w:pStyle w:val="Footnote"/>
        <w:rPr>
          <w:sz w:val="16"/>
          <w:szCs w:val="16"/>
        </w:rPr>
      </w:pPr>
    </w:p>
    <w:p>
      <w:pPr>
        <w:pStyle w:val="Footnote"/>
        <w:rPr>
          <w:sz w:val="16"/>
          <w:szCs w:val="16"/>
        </w:rPr>
      </w:pPr>
      <w:r>
        <w:rPr>
          <w:sz w:val="16"/>
          <w:szCs w:val="16"/>
          <w:rtl w:val="0"/>
          <w:lang w:val="en-US"/>
        </w:rPr>
        <w:t>The existing obstacles to exports have just been examined. But it is necessary to go further and introduce a system of preferences.</w:t>
      </w:r>
    </w:p>
    <w:p>
      <w:pPr>
        <w:pStyle w:val="Footnote"/>
        <w:rPr>
          <w:sz w:val="16"/>
          <w:szCs w:val="16"/>
        </w:rPr>
      </w:pPr>
    </w:p>
    <w:p>
      <w:pPr>
        <w:pStyle w:val="Footnote"/>
        <w:rPr>
          <w:sz w:val="16"/>
          <w:szCs w:val="16"/>
        </w:rPr>
      </w:pPr>
      <w:r>
        <w:rPr>
          <w:sz w:val="16"/>
          <w:szCs w:val="16"/>
          <w:rtl w:val="0"/>
          <w:lang w:val="en-US"/>
        </w:rPr>
        <w:t>The case for preferential treatment for exports of developing countries is that it would help the industries of developing countries to overcome the difficulties that they encounter in export markets because of their high initial costs. It is a temporary measure which, by opening up larger markets to the industries of developing countries, would enable them to lower their costs and thus compete on world markets without the need for continuing preference.</w:t>
      </w:r>
      <w:r>
        <w:rPr>
          <w:sz w:val="16"/>
          <w:szCs w:val="16"/>
          <w:rtl w:val="0"/>
        </w:rPr>
        <w:t> </w:t>
      </w:r>
    </w:p>
    <w:p>
      <w:pPr>
        <w:pStyle w:val="Footnote"/>
        <w:rPr>
          <w:sz w:val="16"/>
          <w:szCs w:val="16"/>
        </w:rPr>
      </w:pPr>
    </w:p>
    <w:p>
      <w:pPr>
        <w:pStyle w:val="Footnote"/>
        <w:rPr>
          <w:sz w:val="16"/>
          <w:szCs w:val="16"/>
        </w:rPr>
      </w:pPr>
      <w:r>
        <w:rPr>
          <w:sz w:val="16"/>
          <w:szCs w:val="16"/>
          <w:rtl w:val="0"/>
          <w:lang w:val="en-US"/>
        </w:rPr>
        <w:t>The case is thus a logical extension of the infant industry argument.</w:t>
      </w:r>
    </w:p>
    <w:p>
      <w:pPr>
        <w:pStyle w:val="Footnote"/>
        <w:rPr>
          <w:sz w:val="16"/>
          <w:szCs w:val="16"/>
        </w:rPr>
      </w:pPr>
    </w:p>
    <w:p>
      <w:pPr>
        <w:pStyle w:val="Footnote"/>
        <w:rPr>
          <w:sz w:val="16"/>
          <w:szCs w:val="16"/>
        </w:rPr>
      </w:pPr>
      <w:r>
        <w:rPr>
          <w:sz w:val="16"/>
          <w:szCs w:val="16"/>
          <w:rtl w:val="0"/>
          <w:lang w:val="en-US"/>
        </w:rPr>
        <w:t>It is not a matter of controversy among economists that national protection of infant industries is justifiable wherever such industries have a long-run prospect of reaching a high level of efficiency.</w:t>
      </w:r>
    </w:p>
    <w:p>
      <w:pPr>
        <w:pStyle w:val="Footnote"/>
        <w:rPr>
          <w:sz w:val="16"/>
          <w:szCs w:val="16"/>
        </w:rPr>
      </w:pPr>
    </w:p>
    <w:p>
      <w:pPr>
        <w:pStyle w:val="Footnote"/>
        <w:rPr>
          <w:sz w:val="16"/>
          <w:szCs w:val="16"/>
        </w:rPr>
      </w:pPr>
      <w:r>
        <w:rPr>
          <w:sz w:val="16"/>
          <w:szCs w:val="16"/>
          <w:rtl w:val="0"/>
          <w:lang w:val="en-US"/>
        </w:rPr>
        <w:t>In order to be efficient, those industries must have access to wider markets; otherwise they may not be able to break out of the vicious circle of low output and high costs. Such markets must be sought in the developed countries as well as in other developing countries. But if infant industries need protection in the domestic market because of high costs, they obviously need even more protection in foreign markets, whether developed or developing, in the form of preferential treatment. It is for this reason that the following two suggestions have been made: (a) developing countries should give preference to imports from other developing</w:t>
      </w:r>
      <w:r>
        <w:rPr>
          <w:sz w:val="16"/>
          <w:szCs w:val="16"/>
          <w:rtl w:val="0"/>
        </w:rPr>
        <w:t> </w:t>
      </w:r>
      <w:r>
        <w:rPr>
          <w:sz w:val="16"/>
          <w:szCs w:val="16"/>
          <w:rtl w:val="0"/>
          <w:lang w:val="en-US"/>
        </w:rPr>
        <w:t>countries</w:t>
      </w:r>
      <w:r>
        <w:rPr>
          <w:sz w:val="16"/>
          <w:szCs w:val="16"/>
          <w:rtl w:val="0"/>
        </w:rPr>
        <w:t> </w:t>
      </w:r>
      <w:r>
        <w:rPr>
          <w:sz w:val="16"/>
          <w:szCs w:val="16"/>
          <w:rtl w:val="0"/>
          <w:lang w:val="en-US"/>
        </w:rPr>
        <w:t>in their own markets; (b) developed countries should give preference to imports from developing countries in their own markets.</w:t>
      </w:r>
      <w:r>
        <w:rPr>
          <w:sz w:val="16"/>
          <w:szCs w:val="16"/>
          <w:rtl w:val="0"/>
          <w:lang w:val="en-US"/>
        </w:rPr>
        <w:t>'</w:t>
      </w:r>
      <w:r>
        <w:rPr>
          <w:sz w:val="16"/>
          <w:szCs w:val="16"/>
          <w:rtl w:val="0"/>
        </w:rPr>
        <w:t xml:space="preserve"> pp. 65-66.</w:t>
      </w:r>
    </w:p>
    <w:p>
      <w:pPr>
        <w:pStyle w:val="Footnote"/>
        <w:rPr>
          <w:sz w:val="16"/>
          <w:szCs w:val="16"/>
        </w:rPr>
      </w:pPr>
    </w:p>
    <w:p>
      <w:pPr>
        <w:pStyle w:val="Footnote"/>
        <w:rPr>
          <w:b w:val="1"/>
          <w:bCs w:val="1"/>
          <w:sz w:val="16"/>
          <w:szCs w:val="16"/>
        </w:rPr>
      </w:pPr>
      <w:r>
        <w:rPr>
          <w:b w:val="1"/>
          <w:bCs w:val="1"/>
          <w:sz w:val="16"/>
          <w:szCs w:val="16"/>
          <w:rtl w:val="0"/>
          <w:lang w:val="it-IT"/>
        </w:rPr>
        <w:t>important</w:t>
      </w:r>
    </w:p>
    <w:p>
      <w:pPr>
        <w:pStyle w:val="Footnote"/>
        <w:rPr>
          <w:sz w:val="16"/>
          <w:szCs w:val="16"/>
        </w:rPr>
      </w:pPr>
      <w:r>
        <w:rPr>
          <w:sz w:val="16"/>
          <w:szCs w:val="16"/>
          <w:rtl w:val="0"/>
          <w:lang w:val="en-US"/>
        </w:rPr>
        <w:t>'</w:t>
      </w:r>
      <w:r>
        <w:rPr>
          <w:sz w:val="16"/>
          <w:szCs w:val="16"/>
          <w:rtl w:val="0"/>
          <w:lang w:val="en-US"/>
        </w:rPr>
        <w:t>The introduction of a new system of preferences would involve the mutual adjustment of various conflicting interests among the developing countries on the one hand, and between the developing and the industrial countries, on the other.</w:t>
      </w:r>
      <w:r>
        <w:rPr>
          <w:sz w:val="16"/>
          <w:szCs w:val="16"/>
          <w:rtl w:val="0"/>
          <w:lang w:val="en-US"/>
        </w:rPr>
        <w:t>'</w:t>
      </w:r>
      <w:r>
        <w:rPr>
          <w:sz w:val="16"/>
          <w:szCs w:val="16"/>
          <w:rtl w:val="0"/>
        </w:rPr>
        <w:t xml:space="preserve"> pp. 66-67.</w:t>
      </w:r>
    </w:p>
    <w:p>
      <w:pPr>
        <w:pStyle w:val="Footnote"/>
        <w:rPr>
          <w:sz w:val="16"/>
          <w:szCs w:val="16"/>
        </w:rPr>
      </w:pPr>
    </w:p>
    <w:p>
      <w:pPr>
        <w:pStyle w:val="Footnote"/>
        <w:rPr>
          <w:b w:val="1"/>
          <w:bCs w:val="1"/>
          <w:sz w:val="16"/>
          <w:szCs w:val="16"/>
        </w:rPr>
      </w:pPr>
      <w:r>
        <w:rPr>
          <w:b w:val="1"/>
          <w:bCs w:val="1"/>
          <w:sz w:val="16"/>
          <w:szCs w:val="16"/>
          <w:rtl w:val="0"/>
          <w:lang w:val="en-US"/>
        </w:rPr>
        <w:t>See also, his support for the GATT:</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GATT has important achievements to its credit. Following the interwar period of chaos, it introduced a new concept of a rule of law in world trade.. One may criticize the particular character of some of the law that has been applied. But this should not be allowed to obscure the fact that the decision of Governments that world trade should be subject to this law was in itself of vital importance in this field.</w:t>
      </w:r>
    </w:p>
    <w:p>
      <w:pPr>
        <w:pStyle w:val="Footnote"/>
        <w:rPr>
          <w:sz w:val="16"/>
          <w:szCs w:val="16"/>
        </w:rPr>
      </w:pPr>
    </w:p>
    <w:p>
      <w:pPr>
        <w:pStyle w:val="Footnote"/>
      </w:pPr>
      <w:r>
        <w:rPr>
          <w:sz w:val="16"/>
          <w:szCs w:val="16"/>
          <w:rtl w:val="0"/>
          <w:lang w:val="en-US"/>
        </w:rPr>
        <w:t>In the past, increases in trade restrictions by particular countries have frequently led to a spiral of retaliation in which all have lost and none have gained. The application of a rule of law in world trade has already helped to limit excesses of this type and could do much more if the law itself were made more responsive to contemporary needs.</w:t>
      </w:r>
      <w:r>
        <w:rPr>
          <w:sz w:val="16"/>
          <w:szCs w:val="16"/>
          <w:rtl w:val="0"/>
          <w:lang w:val="en-US"/>
        </w:rPr>
        <w:t>' 27-29.</w:t>
      </w:r>
    </w:p>
  </w:footnote>
  <w:footnote w:id="9">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Raul </w:t>
      </w:r>
      <w:r>
        <w:rPr>
          <w:sz w:val="16"/>
          <w:szCs w:val="16"/>
          <w:rtl w:val="0"/>
          <w:lang w:val="de-DE"/>
        </w:rPr>
        <w:t>Prebisch</w:t>
      </w:r>
      <w:r>
        <w:rPr>
          <w:sz w:val="16"/>
          <w:szCs w:val="16"/>
          <w:rtl w:val="0"/>
          <w:lang w:val="en-US"/>
        </w:rPr>
        <w:t>,</w:t>
      </w:r>
      <w:r>
        <w:rPr>
          <w:sz w:val="16"/>
          <w:szCs w:val="16"/>
          <w:rtl w:val="0"/>
        </w:rPr>
        <w:t xml:space="preserve"> </w:t>
      </w:r>
      <w:r>
        <w:rPr>
          <w:rFonts w:ascii="Times New Roman" w:hAnsi="Times New Roman"/>
          <w:i w:val="1"/>
          <w:iCs w:val="1"/>
          <w:sz w:val="16"/>
          <w:szCs w:val="16"/>
          <w:rtl w:val="0"/>
          <w:lang w:val="en-US"/>
        </w:rPr>
        <w:t>Towards a New Trade Policy</w:t>
      </w:r>
      <w:r>
        <w:rPr>
          <w:rFonts w:ascii="Times New Roman" w:hAnsi="Times New Roman"/>
          <w:i w:val="1"/>
          <w:iCs w:val="1"/>
          <w:sz w:val="16"/>
          <w:szCs w:val="16"/>
          <w:rtl w:val="0"/>
          <w:lang w:val="en-US"/>
        </w:rPr>
        <w:t xml:space="preserve"> For Development</w:t>
      </w:r>
      <w:r>
        <w:rPr>
          <w:sz w:val="16"/>
          <w:szCs w:val="16"/>
          <w:rtl w:val="0"/>
        </w:rPr>
        <w:t xml:space="preserve">, </w:t>
      </w:r>
      <w:r>
        <w:rPr>
          <w:sz w:val="16"/>
          <w:szCs w:val="16"/>
          <w:rtl w:val="0"/>
          <w:lang w:val="en-US"/>
        </w:rPr>
        <w:t>UNCTAD:</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excessive protectionism has generally insulated national markets from external competition, weakening and even destroying the incentive necessary for improving the quality of output and lowering costs under the private-enterprise system. It has thus tended to stifle the initiative of enterprises as regards both the internal market and exports.</w:t>
      </w:r>
      <w:r>
        <w:rPr>
          <w:sz w:val="16"/>
          <w:szCs w:val="16"/>
          <w:rtl w:val="0"/>
          <w:lang w:val="en-US"/>
        </w:rPr>
        <w:t>' pp. 20-24.</w:t>
      </w:r>
    </w:p>
    <w:p>
      <w:pPr>
        <w:pStyle w:val="Footnote"/>
        <w:rPr>
          <w:sz w:val="16"/>
          <w:szCs w:val="16"/>
        </w:rPr>
      </w:pPr>
    </w:p>
    <w:p>
      <w:pPr>
        <w:pStyle w:val="Footnote"/>
      </w:pPr>
      <w:r>
        <w:rPr>
          <w:sz w:val="16"/>
          <w:szCs w:val="16"/>
          <w:rtl w:val="0"/>
          <w:lang w:val="en-US"/>
        </w:rPr>
        <w:t>'</w:t>
      </w:r>
      <w:r>
        <w:rPr>
          <w:sz w:val="16"/>
          <w:szCs w:val="16"/>
          <w:rtl w:val="0"/>
          <w:lang w:val="en-US"/>
        </w:rPr>
        <w:t>This distinction is inherent at the transitional stage through which the developing countries are passing. The disparity in world demand does not have to be a permanent phenomenon. As the structure of production gradually changes with industrialization and industrial exports, this disparity will tend to disappear. Indeed, as such exports, both to advanced and to other developing countries, make headway, the disparity can be levelled out gradually. When this happens</w:t>
      </w:r>
      <w:r>
        <w:rPr>
          <w:sz w:val="16"/>
          <w:szCs w:val="16"/>
          <w:rtl w:val="0"/>
          <w:lang w:val="en-US"/>
        </w:rPr>
        <w:t>—</w:t>
      </w:r>
      <w:r>
        <w:rPr>
          <w:sz w:val="16"/>
          <w:szCs w:val="16"/>
          <w:rtl w:val="0"/>
          <w:lang w:val="en-US"/>
        </w:rPr>
        <w:t>and only then</w:t>
      </w:r>
      <w:r>
        <w:rPr>
          <w:sz w:val="16"/>
          <w:szCs w:val="16"/>
          <w:rtl w:val="0"/>
          <w:lang w:val="en-US"/>
        </w:rPr>
        <w:t>—</w:t>
      </w:r>
      <w:r>
        <w:rPr>
          <w:sz w:val="16"/>
          <w:szCs w:val="16"/>
          <w:rtl w:val="0"/>
          <w:lang w:val="en-US"/>
        </w:rPr>
        <w:t>will the bases have been laid for conventional reciprocity between the industrialized countries and countries that are pressing on along the road of industrialization. But this is a long process for most of the developing countries.</w:t>
      </w:r>
      <w:r>
        <w:rPr>
          <w:sz w:val="16"/>
          <w:szCs w:val="16"/>
          <w:rtl w:val="0"/>
          <w:lang w:val="en-US"/>
        </w:rPr>
        <w:t>'</w:t>
      </w:r>
      <w:r>
        <w:rPr>
          <w:sz w:val="16"/>
          <w:szCs w:val="16"/>
          <w:rtl w:val="0"/>
        </w:rPr>
        <w:t xml:space="preserve"> pp. 29-31.</w:t>
      </w:r>
    </w:p>
  </w:footnote>
  <w:footnote w:id="10">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 Raul </w:t>
      </w:r>
      <w:r>
        <w:rPr>
          <w:sz w:val="16"/>
          <w:szCs w:val="16"/>
          <w:rtl w:val="0"/>
          <w:lang w:val="de-DE"/>
        </w:rPr>
        <w:t>Prebisch</w:t>
      </w:r>
      <w:r>
        <w:rPr>
          <w:sz w:val="16"/>
          <w:szCs w:val="16"/>
          <w:rtl w:val="0"/>
          <w:lang w:val="en-US"/>
        </w:rPr>
        <w:t>,</w:t>
      </w:r>
      <w:r>
        <w:rPr>
          <w:sz w:val="16"/>
          <w:szCs w:val="16"/>
          <w:rtl w:val="0"/>
        </w:rPr>
        <w:t xml:space="preserve"> </w:t>
      </w:r>
      <w:r>
        <w:rPr>
          <w:rFonts w:ascii="Times New Roman" w:hAnsi="Times New Roman"/>
          <w:i w:val="1"/>
          <w:iCs w:val="1"/>
          <w:sz w:val="16"/>
          <w:szCs w:val="16"/>
          <w:rtl w:val="0"/>
          <w:lang w:val="en-US"/>
        </w:rPr>
        <w:t>Towards a New Trade Policy</w:t>
      </w:r>
      <w:r>
        <w:rPr>
          <w:rFonts w:ascii="Times New Roman" w:hAnsi="Times New Roman"/>
          <w:i w:val="1"/>
          <w:iCs w:val="1"/>
          <w:sz w:val="16"/>
          <w:szCs w:val="16"/>
          <w:rtl w:val="0"/>
          <w:lang w:val="en-US"/>
        </w:rPr>
        <w:t xml:space="preserve"> For Development</w:t>
      </w:r>
      <w:r>
        <w:rPr>
          <w:sz w:val="16"/>
          <w:szCs w:val="16"/>
          <w:rtl w:val="0"/>
        </w:rPr>
        <w:t xml:space="preserve">, </w:t>
      </w:r>
      <w:r>
        <w:rPr>
          <w:sz w:val="16"/>
          <w:szCs w:val="16"/>
          <w:rtl w:val="0"/>
          <w:lang w:val="en-US"/>
        </w:rPr>
        <w:t>UNCTAD:</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The situation can be presented simply in the following terms. During the last quarter of the nineteenth century, the United Kingdom, as the world's leading dynamic centre, accounted for 36 per cent of world exports of manufactures and 27 per cent of the imports of primary commodities. Since the historical accident of the industrial revolution happened in the United Kingdom before it did in other parts of the world, that country, with its limited resources and given its level of technology at the time, had to grow outwards and there emerged the classic pattern of exchanging manufactured goods for primary commodities. Imports of primary goods and other commodities by the United Kingdom grew apace, as did their share in the national income: the over-all import coefficient rose from approximately 18 per cent in 1850 to the very high figure of almost 36 per cent in 1880-84, as a result of free trade. This phenomenon influenced the rest of Europe, although not to the same extent, and its effects on the development of countries on the periphery of the world economy were striking.</w:t>
      </w:r>
    </w:p>
    <w:p>
      <w:pPr>
        <w:pStyle w:val="Footnote"/>
        <w:rPr>
          <w:sz w:val="16"/>
          <w:szCs w:val="16"/>
        </w:rPr>
      </w:pPr>
    </w:p>
    <w:p>
      <w:pPr>
        <w:pStyle w:val="Footnote"/>
        <w:rPr>
          <w:sz w:val="16"/>
          <w:szCs w:val="16"/>
        </w:rPr>
      </w:pPr>
      <w:r>
        <w:rPr>
          <w:sz w:val="16"/>
          <w:szCs w:val="16"/>
          <w:rtl w:val="0"/>
          <w:lang w:val="en-US"/>
        </w:rPr>
        <w:t>Actually the process was the opposite of that which has gradually come into existence since the end of the First World War and especially since the great depression: the substitution of imports of food and raw materials for domestic production and not vice versa.</w:t>
      </w:r>
    </w:p>
    <w:p>
      <w:pPr>
        <w:pStyle w:val="Footnote"/>
        <w:rPr>
          <w:sz w:val="16"/>
          <w:szCs w:val="16"/>
        </w:rPr>
      </w:pPr>
      <w:r>
        <w:rPr>
          <w:sz w:val="16"/>
          <w:szCs w:val="16"/>
          <w:rtl w:val="0"/>
        </w:rPr>
        <w:t> </w:t>
      </w:r>
    </w:p>
    <w:p>
      <w:pPr>
        <w:pStyle w:val="Footnote"/>
        <w:rPr>
          <w:sz w:val="16"/>
          <w:szCs w:val="16"/>
        </w:rPr>
      </w:pPr>
      <w:r>
        <w:rPr>
          <w:sz w:val="16"/>
          <w:szCs w:val="16"/>
          <w:rtl w:val="0"/>
          <w:lang w:val="en-US"/>
        </w:rPr>
        <w:t>There was another factor which encouraged the growth of consumption and primary commodity imports: these imports were not yet subject to the adverse effects of technological progress as they would be in later years. Per capita income was still able to sustain an active demand for foodstuffs, synthetic production of raw materials had not yet begun on a larger scale, and European farmers still clung to their traditional methods.</w:t>
      </w:r>
      <w:r>
        <w:rPr>
          <w:sz w:val="16"/>
          <w:szCs w:val="16"/>
          <w:rtl w:val="0"/>
          <w:lang w:val="en-US"/>
        </w:rPr>
        <w:t>'</w:t>
      </w:r>
      <w:r>
        <w:rPr>
          <w:sz w:val="16"/>
          <w:szCs w:val="16"/>
          <w:rtl w:val="0"/>
        </w:rPr>
        <w:t xml:space="preserve"> p. 7.</w:t>
      </w:r>
    </w:p>
    <w:p>
      <w:pPr>
        <w:pStyle w:val="Footnote"/>
        <w:rPr>
          <w:sz w:val="16"/>
          <w:szCs w:val="16"/>
        </w:rPr>
      </w:pPr>
    </w:p>
    <w:p>
      <w:pPr>
        <w:pStyle w:val="Footnote"/>
      </w:pPr>
      <w:r>
        <w:rPr>
          <w:sz w:val="16"/>
          <w:szCs w:val="16"/>
          <w:rtl w:val="0"/>
          <w:lang w:val="en-US"/>
        </w:rPr>
        <w:t>'</w:t>
      </w:r>
      <w:r>
        <w:rPr>
          <w:sz w:val="16"/>
          <w:szCs w:val="16"/>
          <w:rtl w:val="0"/>
          <w:lang w:val="en-US"/>
        </w:rPr>
        <w:t>While primary commodity exports are, with a few exceptions, expanding relatively slowly, demand for imports of manufactured goods is tending to grow rapidly, at a pace that increases with the rate of development. The resulting imbalance creates a serious external bottleneck which makes development difficult. The imbalance must be rectified if development is to be accelerated in conditions of dynamic equilibrium.</w:t>
      </w:r>
      <w:r>
        <w:rPr>
          <w:sz w:val="16"/>
          <w:szCs w:val="16"/>
          <w:rtl w:val="0"/>
          <w:lang w:val="en-US"/>
        </w:rPr>
        <w:t>'</w:t>
      </w:r>
      <w:r>
        <w:rPr>
          <w:sz w:val="16"/>
          <w:szCs w:val="16"/>
          <w:rtl w:val="0"/>
        </w:rPr>
        <w:t xml:space="preserve"> p. 3.</w:t>
      </w:r>
    </w:p>
  </w:footnote>
  <w:footnote w:id="11">
    <w:p>
      <w:pPr>
        <w:pStyle w:val="Footnote"/>
      </w:pPr>
      <w:r>
        <w:rPr>
          <w:sz w:val="16"/>
          <w:szCs w:val="16"/>
          <w:vertAlign w:val="superscript"/>
        </w:rPr>
        <w:footnoteRef/>
      </w:r>
      <w:r>
        <w:rPr>
          <w:sz w:val="16"/>
          <w:szCs w:val="16"/>
          <w:rtl w:val="0"/>
          <w:lang w:val="en-US"/>
        </w:rPr>
        <w:t xml:space="preserve"> JFJ Toye and Richard Toye, "The Origins and Interpretation of the Prebisch-Singer thesis," </w:t>
      </w:r>
      <w:r>
        <w:rPr>
          <w:rFonts w:ascii="Times New Roman" w:hAnsi="Times New Roman"/>
          <w:i w:val="1"/>
          <w:iCs w:val="1"/>
          <w:sz w:val="16"/>
          <w:szCs w:val="16"/>
          <w:rtl w:val="0"/>
          <w:lang w:val="en-US"/>
        </w:rPr>
        <w:t>History of political Economy</w:t>
      </w:r>
      <w:r>
        <w:rPr>
          <w:sz w:val="16"/>
          <w:szCs w:val="16"/>
          <w:rtl w:val="0"/>
        </w:rPr>
        <w:t xml:space="preserve"> 35, no. 3 (2003).</w:t>
      </w:r>
    </w:p>
  </w:footnote>
  <w:footnote w:id="12">
    <w:p>
      <w:pPr>
        <w:pStyle w:val="Footnote"/>
        <w:rPr>
          <w:sz w:val="16"/>
          <w:szCs w:val="16"/>
        </w:rPr>
      </w:pPr>
      <w:r>
        <w:rPr>
          <w:sz w:val="16"/>
          <w:szCs w:val="16"/>
          <w:vertAlign w:val="superscript"/>
        </w:rPr>
        <w:footnoteRef/>
      </w:r>
      <w:r>
        <w:rPr>
          <w:sz w:val="16"/>
          <w:szCs w:val="16"/>
          <w:rtl w:val="0"/>
          <w:lang w:val="en-US"/>
        </w:rPr>
        <w:t xml:space="preserve"> For that, he argued for new regional trade agreements, which would allow the smaller states of the South to gain the economies of scale needed for export-focused protectionism. Thus, contrary to many who dismiss Prebisch as a simplistic proponent of import-substitution industrialisation, he had actually striven for an internationalist promotion of export-focused infant industries. What's more, the goal of this had been always a global economy in which such protectionism was no longer needed. </w:t>
      </w:r>
    </w:p>
    <w:p>
      <w:pPr>
        <w:pStyle w:val="Footnote"/>
        <w:rPr>
          <w:sz w:val="16"/>
          <w:szCs w:val="16"/>
        </w:rPr>
      </w:pPr>
    </w:p>
    <w:p>
      <w:pPr>
        <w:pStyle w:val="Footnote"/>
        <w:rPr>
          <w:sz w:val="16"/>
          <w:szCs w:val="16"/>
        </w:rPr>
      </w:pPr>
      <w:r>
        <w:rPr>
          <w:sz w:val="16"/>
          <w:szCs w:val="16"/>
          <w:rtl w:val="0"/>
          <w:lang w:val="en-US"/>
        </w:rPr>
        <w:t xml:space="preserve">Raul </w:t>
      </w:r>
      <w:r>
        <w:rPr>
          <w:sz w:val="16"/>
          <w:szCs w:val="16"/>
          <w:rtl w:val="0"/>
          <w:lang w:val="de-DE"/>
        </w:rPr>
        <w:t>Prebisch</w:t>
      </w:r>
      <w:r>
        <w:rPr>
          <w:sz w:val="16"/>
          <w:szCs w:val="16"/>
          <w:rtl w:val="0"/>
          <w:lang w:val="en-US"/>
        </w:rPr>
        <w:t>,</w:t>
      </w:r>
      <w:r>
        <w:rPr>
          <w:sz w:val="16"/>
          <w:szCs w:val="16"/>
          <w:rtl w:val="0"/>
        </w:rPr>
        <w:t xml:space="preserve"> </w:t>
      </w:r>
      <w:r>
        <w:rPr>
          <w:rFonts w:ascii="Times New Roman" w:hAnsi="Times New Roman"/>
          <w:i w:val="1"/>
          <w:iCs w:val="1"/>
          <w:sz w:val="16"/>
          <w:szCs w:val="16"/>
          <w:rtl w:val="0"/>
          <w:lang w:val="en-US"/>
        </w:rPr>
        <w:t>Towards a New Trade Policy</w:t>
      </w:r>
      <w:r>
        <w:rPr>
          <w:rFonts w:ascii="Times New Roman" w:hAnsi="Times New Roman"/>
          <w:i w:val="1"/>
          <w:iCs w:val="1"/>
          <w:sz w:val="16"/>
          <w:szCs w:val="16"/>
          <w:rtl w:val="0"/>
          <w:lang w:val="en-US"/>
        </w:rPr>
        <w:t xml:space="preserve"> For Development</w:t>
      </w:r>
      <w:r>
        <w:rPr>
          <w:sz w:val="16"/>
          <w:szCs w:val="16"/>
          <w:rtl w:val="0"/>
        </w:rPr>
        <w:t xml:space="preserve">, </w:t>
      </w:r>
      <w:r>
        <w:rPr>
          <w:sz w:val="16"/>
          <w:szCs w:val="16"/>
          <w:rtl w:val="0"/>
          <w:lang w:val="en-US"/>
        </w:rPr>
        <w:t xml:space="preserve">UNCTAD. </w:t>
      </w:r>
      <w:r>
        <w:rPr>
          <w:sz w:val="16"/>
          <w:szCs w:val="16"/>
          <w:rtl w:val="0"/>
        </w:rPr>
        <w:t>pp. 65-66</w:t>
      </w:r>
      <w:r>
        <w:rPr>
          <w:sz w:val="16"/>
          <w:szCs w:val="16"/>
          <w:rtl w:val="0"/>
          <w:lang w:val="en-US"/>
        </w:rPr>
        <w:t>:</w:t>
      </w:r>
    </w:p>
    <w:p>
      <w:pPr>
        <w:pStyle w:val="Footnote"/>
        <w:rPr>
          <w:sz w:val="16"/>
          <w:szCs w:val="16"/>
        </w:rPr>
      </w:pPr>
    </w:p>
    <w:p>
      <w:pPr>
        <w:pStyle w:val="Footnote"/>
        <w:rPr>
          <w:rFonts w:ascii="Times New Roman" w:cs="Times New Roman" w:hAnsi="Times New Roman" w:eastAsia="Times New Roman"/>
          <w:i w:val="1"/>
          <w:iCs w:val="1"/>
          <w:sz w:val="16"/>
          <w:szCs w:val="16"/>
        </w:rPr>
      </w:pPr>
      <w:r>
        <w:rPr>
          <w:sz w:val="16"/>
          <w:szCs w:val="16"/>
          <w:rtl w:val="0"/>
          <w:lang w:val="en-US"/>
        </w:rPr>
        <w:t>'</w:t>
      </w:r>
      <w:r>
        <w:rPr>
          <w:sz w:val="16"/>
          <w:szCs w:val="16"/>
          <w:rtl w:val="0"/>
          <w:lang w:val="en-US"/>
        </w:rPr>
        <w:t>The easing or elimination of protectionism in the industrial centres could have a far-reaching effect on the prices of the goods benefiting thereby. But it would be idle to believe that this can have any decisive effect on the downward trend of the terms of trade for primary commodities in relation to industrial products, which has again prevailed in the past decade. The factors operating in this direction have deeper roots in the peripheral countries than in the industrial centres. The former suffer from a congenital weakness that makes it extremely difficult, if not impossible, for the deterioration to be checked by a decision on their part and on their part alone.</w:t>
      </w:r>
      <w:r>
        <w:rPr>
          <w:sz w:val="16"/>
          <w:szCs w:val="16"/>
          <w:rtl w:val="0"/>
          <w:lang w:val="en-US"/>
        </w:rPr>
        <w:t>' p.14.</w:t>
      </w:r>
    </w:p>
    <w:p>
      <w:pPr>
        <w:pStyle w:val="Footnote"/>
        <w:rPr>
          <w:rFonts w:ascii="Times New Roman" w:cs="Times New Roman" w:hAnsi="Times New Roman" w:eastAsia="Times New Roman"/>
          <w:i w:val="1"/>
          <w:iCs w:val="1"/>
          <w:sz w:val="16"/>
          <w:szCs w:val="16"/>
        </w:rPr>
      </w:pPr>
    </w:p>
    <w:p>
      <w:pPr>
        <w:pStyle w:val="Footnote"/>
      </w:pPr>
      <w:r>
        <w:rPr>
          <w:rFonts w:ascii="Times New Roman" w:hAnsi="Times New Roman"/>
          <w:sz w:val="16"/>
          <w:szCs w:val="16"/>
          <w:rtl w:val="0"/>
          <w:lang w:val="en-US"/>
        </w:rPr>
        <w:t>'</w:t>
      </w:r>
      <w:r>
        <w:rPr>
          <w:rFonts w:ascii="Times New Roman" w:hAnsi="Times New Roman"/>
          <w:sz w:val="16"/>
          <w:szCs w:val="16"/>
          <w:rtl w:val="0"/>
          <w:lang w:val="en-US"/>
        </w:rPr>
        <w:t xml:space="preserve">It is clear that the development of an export trade in manufactures from developing countries depends primarily upon the efforts of these countries </w:t>
      </w:r>
      <w:r>
        <w:rPr>
          <w:rFonts w:ascii="Times New Roman" w:hAnsi="Times New Roman" w:hint="default"/>
          <w:sz w:val="16"/>
          <w:szCs w:val="16"/>
          <w:rtl w:val="0"/>
        </w:rPr>
        <w:t> </w:t>
      </w:r>
      <w:r>
        <w:rPr>
          <w:rFonts w:ascii="Times New Roman" w:hAnsi="Times New Roman"/>
          <w:sz w:val="16"/>
          <w:szCs w:val="16"/>
          <w:rtl w:val="0"/>
          <w:lang w:val="en-US"/>
        </w:rPr>
        <w:t>themselves. No guarantee of access to world markets nor even the granting of preferential treatment could replace measures taken in the developing countries to stimulate industries capable of production for export. There are many obstacles to the expansion of manufactures in the developing countries.</w:t>
      </w:r>
      <w:r>
        <w:rPr>
          <w:rFonts w:ascii="Times New Roman" w:hAnsi="Times New Roman"/>
          <w:sz w:val="16"/>
          <w:szCs w:val="16"/>
          <w:rtl w:val="0"/>
          <w:lang w:val="en-US"/>
        </w:rPr>
        <w:t>' p. 75</w:t>
      </w:r>
      <w:r>
        <w:rPr>
          <w:sz w:val="16"/>
          <w:szCs w:val="16"/>
        </w:rPr>
      </w:r>
    </w:p>
  </w:footnote>
  <w:footnote w:id="13">
    <w:p>
      <w:pPr>
        <w:pStyle w:val="Footnote"/>
      </w:pPr>
      <w:r>
        <w:rPr>
          <w:sz w:val="16"/>
          <w:szCs w:val="16"/>
          <w:vertAlign w:val="superscript"/>
        </w:rPr>
        <w:footnoteRef/>
      </w:r>
      <w:r>
        <w:rPr>
          <w:sz w:val="16"/>
          <w:szCs w:val="16"/>
          <w:rtl w:val="0"/>
        </w:rPr>
        <w:t xml:space="preserve"> </w:t>
      </w:r>
      <w:r>
        <w:rPr>
          <w:sz w:val="16"/>
          <w:szCs w:val="16"/>
          <w:rtl w:val="0"/>
          <w:lang w:val="en-US"/>
        </w:rPr>
        <w:t xml:space="preserve">Raul </w:t>
      </w:r>
      <w:r>
        <w:rPr>
          <w:sz w:val="16"/>
          <w:szCs w:val="16"/>
          <w:rtl w:val="0"/>
          <w:lang w:val="de-DE"/>
        </w:rPr>
        <w:t>Prebisch</w:t>
      </w:r>
      <w:r>
        <w:rPr>
          <w:sz w:val="16"/>
          <w:szCs w:val="16"/>
          <w:rtl w:val="0"/>
          <w:lang w:val="en-US"/>
        </w:rPr>
        <w:t>,</w:t>
      </w:r>
      <w:r>
        <w:rPr>
          <w:sz w:val="16"/>
          <w:szCs w:val="16"/>
          <w:rtl w:val="0"/>
        </w:rPr>
        <w:t xml:space="preserve"> </w:t>
      </w:r>
      <w:r>
        <w:rPr>
          <w:rFonts w:ascii="Times New Roman" w:hAnsi="Times New Roman"/>
          <w:i w:val="1"/>
          <w:iCs w:val="1"/>
          <w:sz w:val="16"/>
          <w:szCs w:val="16"/>
          <w:rtl w:val="0"/>
          <w:lang w:val="en-US"/>
        </w:rPr>
        <w:t>Towards a New Trade Policy</w:t>
      </w:r>
      <w:r>
        <w:rPr>
          <w:rFonts w:ascii="Times New Roman" w:hAnsi="Times New Roman"/>
          <w:i w:val="1"/>
          <w:iCs w:val="1"/>
          <w:sz w:val="16"/>
          <w:szCs w:val="16"/>
          <w:rtl w:val="0"/>
          <w:lang w:val="en-US"/>
        </w:rPr>
        <w:t xml:space="preserve"> For Development</w:t>
      </w:r>
      <w:r>
        <w:rPr>
          <w:sz w:val="16"/>
          <w:szCs w:val="16"/>
          <w:rtl w:val="0"/>
        </w:rPr>
        <w:t xml:space="preserve">, </w:t>
      </w:r>
      <w:r>
        <w:rPr>
          <w:sz w:val="16"/>
          <w:szCs w:val="16"/>
          <w:rtl w:val="0"/>
          <w:lang w:val="en-US"/>
        </w:rPr>
        <w:t xml:space="preserve">UNCTAD. </w:t>
      </w:r>
      <w:r>
        <w:rPr>
          <w:sz w:val="16"/>
          <w:szCs w:val="16"/>
          <w:rtl w:val="0"/>
        </w:rPr>
        <w:t>pp. 23-25.</w:t>
      </w:r>
    </w:p>
  </w:footnote>
  <w:footnote w:id="14">
    <w:p>
      <w:pPr>
        <w:pStyle w:val="Footnote"/>
      </w:pPr>
      <w:r>
        <w:rPr>
          <w:sz w:val="16"/>
          <w:szCs w:val="16"/>
          <w:vertAlign w:val="superscript"/>
        </w:rPr>
        <w:footnoteRef/>
      </w:r>
      <w:r>
        <w:rPr>
          <w:sz w:val="16"/>
          <w:szCs w:val="16"/>
          <w:rtl w:val="0"/>
          <w:lang w:val="da-DK"/>
        </w:rPr>
        <w:t xml:space="preserve"> Thomas</w:t>
      </w:r>
      <w:r>
        <w:rPr>
          <w:sz w:val="16"/>
          <w:szCs w:val="16"/>
          <w:rtl w:val="0"/>
          <w:lang w:val="en-US"/>
        </w:rPr>
        <w:t xml:space="preserve"> Nelson,</w:t>
      </w:r>
      <w:r>
        <w:rPr>
          <w:sz w:val="16"/>
          <w:szCs w:val="16"/>
          <w:rtl w:val="0"/>
        </w:rPr>
        <w:t xml:space="preserve"> </w:t>
      </w:r>
      <w:r>
        <w:rPr>
          <w:i w:val="1"/>
          <w:iCs w:val="1"/>
          <w:sz w:val="16"/>
          <w:szCs w:val="16"/>
          <w:rtl w:val="0"/>
          <w:lang w:val="en-US"/>
        </w:rPr>
        <w:t>KJV study Bible</w:t>
      </w:r>
      <w:r>
        <w:rPr>
          <w:i w:val="1"/>
          <w:iCs w:val="1"/>
          <w:sz w:val="16"/>
          <w:szCs w:val="16"/>
          <w:rtl w:val="0"/>
          <w:lang w:val="en-US"/>
        </w:rPr>
        <w:t>,</w:t>
      </w:r>
      <w:r>
        <w:rPr>
          <w:sz w:val="16"/>
          <w:szCs w:val="16"/>
          <w:rtl w:val="0"/>
          <w:lang w:val="da-DK"/>
        </w:rPr>
        <w:t xml:space="preserve"> Thomas Nelson</w:t>
      </w:r>
      <w:r>
        <w:rPr>
          <w:sz w:val="16"/>
          <w:szCs w:val="16"/>
          <w:rtl w:val="0"/>
          <w:lang w:val="en-US"/>
        </w:rPr>
        <w:t xml:space="preserve"> (</w:t>
      </w:r>
      <w:r>
        <w:rPr>
          <w:sz w:val="16"/>
          <w:szCs w:val="16"/>
          <w:rtl w:val="0"/>
        </w:rPr>
        <w:t>2013</w:t>
      </w:r>
      <w:r>
        <w:rPr>
          <w:sz w:val="16"/>
          <w:szCs w:val="16"/>
          <w:rtl w:val="0"/>
          <w:lang w:val="en-US"/>
        </w:rPr>
        <w:t>)</w:t>
      </w:r>
      <w:r>
        <w:rPr>
          <w:sz w:val="16"/>
          <w:szCs w:val="16"/>
          <w:rtl w:val="0"/>
        </w:rPr>
        <w:t>.</w:t>
      </w:r>
    </w:p>
  </w:footnote>
  <w:footnote w:id="15">
    <w:p>
      <w:pPr>
        <w:pStyle w:val="Footnote"/>
      </w:pPr>
      <w:r>
        <w:rPr>
          <w:sz w:val="16"/>
          <w:szCs w:val="16"/>
          <w:vertAlign w:val="superscript"/>
        </w:rPr>
        <w:footnoteRef/>
      </w:r>
      <w:r>
        <w:rPr>
          <w:sz w:val="16"/>
          <w:szCs w:val="16"/>
          <w:rtl w:val="0"/>
          <w:lang w:val="en-US"/>
        </w:rPr>
        <w:t xml:space="preserve"> United Nations,</w:t>
      </w:r>
      <w:r>
        <w:rPr>
          <w:sz w:val="16"/>
          <w:szCs w:val="16"/>
          <w:rtl w:val="0"/>
        </w:rPr>
        <w:t> </w:t>
      </w:r>
      <w:r>
        <w:rPr>
          <w:i w:val="1"/>
          <w:iCs w:val="1"/>
          <w:sz w:val="16"/>
          <w:szCs w:val="16"/>
          <w:rtl w:val="0"/>
          <w:lang w:val="en-US"/>
        </w:rPr>
        <w:t>Charter of the United Nations</w:t>
      </w:r>
      <w:r>
        <w:rPr>
          <w:sz w:val="16"/>
          <w:szCs w:val="16"/>
          <w:rtl w:val="0"/>
        </w:rPr>
        <w:t>, 1945,</w:t>
      </w:r>
      <w:r>
        <w:rPr>
          <w:sz w:val="16"/>
          <w:szCs w:val="16"/>
          <w:rtl w:val="0"/>
          <w:lang w:val="en-US"/>
        </w:rPr>
        <w:t xml:space="preserve"> Preamble. [</w:t>
      </w:r>
      <w:r>
        <w:rPr>
          <w:rStyle w:val="Hyperlink.0"/>
          <w:sz w:val="16"/>
          <w:szCs w:val="16"/>
        </w:rPr>
        <w:fldChar w:fldCharType="begin" w:fldLock="0"/>
      </w:r>
      <w:r>
        <w:rPr>
          <w:rStyle w:val="Hyperlink.0"/>
          <w:sz w:val="16"/>
          <w:szCs w:val="16"/>
        </w:rPr>
        <w:instrText xml:space="preserve"> HYPERLINK "https://www.un.org/en/about-us/un-charter/preamble"</w:instrText>
      </w:r>
      <w:r>
        <w:rPr>
          <w:rStyle w:val="Hyperlink.0"/>
          <w:sz w:val="16"/>
          <w:szCs w:val="16"/>
        </w:rPr>
        <w:fldChar w:fldCharType="separate" w:fldLock="0"/>
      </w:r>
      <w:r>
        <w:rPr>
          <w:rStyle w:val="Hyperlink.0"/>
          <w:sz w:val="16"/>
          <w:szCs w:val="16"/>
          <w:rtl w:val="0"/>
          <w:lang w:val="en-US"/>
        </w:rPr>
        <w:t>https://www.un.org/en/about-us/un-charter/preamble</w:t>
      </w:r>
      <w:r>
        <w:rPr>
          <w:sz w:val="16"/>
          <w:szCs w:val="16"/>
        </w:rPr>
        <w:fldChar w:fldCharType="end" w:fldLock="0"/>
      </w:r>
      <w:r>
        <w:rPr>
          <w:sz w:val="16"/>
          <w:szCs w:val="16"/>
          <w:rtl w:val="0"/>
          <w:lang w:val="en-US"/>
        </w:rPr>
        <w:t>]</w:t>
      </w:r>
    </w:p>
  </w:footnote>
  <w:footnote w:id="16">
    <w:p>
      <w:pPr>
        <w:pStyle w:val="Footnote"/>
      </w:pPr>
      <w:r>
        <w:rPr>
          <w:sz w:val="16"/>
          <w:szCs w:val="16"/>
          <w:vertAlign w:val="superscript"/>
        </w:rPr>
        <w:footnoteRef/>
      </w:r>
      <w:r>
        <w:rPr>
          <w:sz w:val="16"/>
          <w:szCs w:val="16"/>
          <w:rtl w:val="0"/>
          <w:lang w:val="en-US"/>
        </w:rPr>
        <w:t xml:space="preserve"> United Nations General Assembly, "Programme of Action on the Establishment of a New International Economic Order,"  (1974), </w:t>
      </w:r>
      <w:r>
        <w:rPr>
          <w:sz w:val="16"/>
          <w:szCs w:val="16"/>
          <w:rtl w:val="0"/>
          <w:lang w:val="en-US"/>
        </w:rPr>
        <w:t>Chapter I, Section 3(a), i-xii. [</w:t>
      </w:r>
      <w:r>
        <w:rPr>
          <w:rStyle w:val="Hyperlink.0"/>
          <w:sz w:val="16"/>
          <w:szCs w:val="16"/>
        </w:rPr>
        <w:fldChar w:fldCharType="begin" w:fldLock="0"/>
      </w:r>
      <w:r>
        <w:rPr>
          <w:rStyle w:val="Hyperlink.0"/>
          <w:sz w:val="16"/>
          <w:szCs w:val="16"/>
        </w:rPr>
        <w:instrText xml:space="preserve"> HYPERLINK "https://digitallibrary.un.org/record/218451?ln=en"</w:instrText>
      </w:r>
      <w:r>
        <w:rPr>
          <w:rStyle w:val="Hyperlink.0"/>
          <w:sz w:val="16"/>
          <w:szCs w:val="16"/>
        </w:rPr>
        <w:fldChar w:fldCharType="separate" w:fldLock="0"/>
      </w:r>
      <w:r>
        <w:rPr>
          <w:rStyle w:val="Hyperlink.0"/>
          <w:sz w:val="16"/>
          <w:szCs w:val="16"/>
          <w:rtl w:val="0"/>
          <w:lang w:val="en-US"/>
        </w:rPr>
        <w:t>https://digitallibrary.un.org/record/218451?ln=en</w:t>
      </w:r>
      <w:r>
        <w:rPr>
          <w:sz w:val="16"/>
          <w:szCs w:val="16"/>
        </w:rPr>
        <w:fldChar w:fldCharType="end" w:fldLock="0"/>
      </w:r>
      <w:r>
        <w:rPr>
          <w:sz w:val="16"/>
          <w:szCs w:val="16"/>
          <w:rtl w:val="0"/>
          <w:lang w:val="en-US"/>
        </w:rPr>
        <w:t>]</w:t>
      </w:r>
    </w:p>
  </w:footnote>
  <w:footnote w:id="17">
    <w:p>
      <w:pPr>
        <w:pStyle w:val="Footnote"/>
        <w:rPr>
          <w:sz w:val="16"/>
          <w:szCs w:val="16"/>
        </w:rPr>
      </w:pPr>
      <w:r>
        <w:rPr>
          <w:sz w:val="16"/>
          <w:szCs w:val="16"/>
          <w:vertAlign w:val="superscript"/>
        </w:rPr>
        <w:footnoteRef/>
      </w:r>
      <w:r>
        <w:rPr>
          <w:sz w:val="16"/>
          <w:szCs w:val="16"/>
          <w:rtl w:val="0"/>
        </w:rPr>
        <w:t xml:space="preserve"> Vijay</w:t>
      </w:r>
      <w:r>
        <w:rPr>
          <w:sz w:val="16"/>
          <w:szCs w:val="16"/>
          <w:rtl w:val="0"/>
          <w:lang w:val="en-US"/>
        </w:rPr>
        <w:t xml:space="preserve"> Prashad</w:t>
      </w:r>
      <w:r>
        <w:rPr>
          <w:sz w:val="16"/>
          <w:szCs w:val="16"/>
          <w:rtl w:val="0"/>
        </w:rPr>
        <w:t xml:space="preserve">. </w:t>
      </w:r>
      <w:r>
        <w:rPr>
          <w:i w:val="1"/>
          <w:iCs w:val="1"/>
          <w:sz w:val="16"/>
          <w:szCs w:val="16"/>
          <w:rtl w:val="0"/>
          <w:lang w:val="en-US"/>
        </w:rPr>
        <w:t>The Darker Nations</w:t>
      </w:r>
      <w:r>
        <w:rPr>
          <w:i w:val="1"/>
          <w:iCs w:val="1"/>
          <w:sz w:val="16"/>
          <w:szCs w:val="16"/>
          <w:rtl w:val="0"/>
          <w:lang w:val="en-US"/>
        </w:rPr>
        <w:t>: A</w:t>
      </w:r>
      <w:r>
        <w:rPr>
          <w:i w:val="1"/>
          <w:iCs w:val="1"/>
          <w:sz w:val="16"/>
          <w:szCs w:val="16"/>
          <w:rtl w:val="0"/>
          <w:lang w:val="en-US"/>
        </w:rPr>
        <w:t xml:space="preserve"> Biography Of The Short-Lived Third World</w:t>
      </w:r>
      <w:r>
        <w:rPr>
          <w:sz w:val="16"/>
          <w:szCs w:val="16"/>
          <w:rtl w:val="0"/>
          <w:lang w:val="en-US"/>
        </w:rPr>
        <w:t>. Leftword Books, 2007</w:t>
      </w:r>
      <w:r>
        <w:rPr>
          <w:sz w:val="16"/>
          <w:szCs w:val="16"/>
          <w:rtl w:val="0"/>
          <w:lang w:val="en-US"/>
        </w:rPr>
        <w:t>:</w:t>
      </w:r>
    </w:p>
    <w:p>
      <w:pPr>
        <w:pStyle w:val="Footnote"/>
        <w:rPr>
          <w:sz w:val="16"/>
          <w:szCs w:val="16"/>
        </w:rPr>
      </w:pPr>
    </w:p>
    <w:p>
      <w:pPr>
        <w:pStyle w:val="Footnote"/>
      </w:pPr>
      <w:r>
        <w:rPr>
          <w:sz w:val="16"/>
          <w:szCs w:val="16"/>
          <w:rtl w:val="0"/>
          <w:lang w:val="en-US"/>
        </w:rPr>
        <w:t>'</w:t>
      </w:r>
      <w:r>
        <w:rPr>
          <w:sz w:val="16"/>
          <w:szCs w:val="16"/>
          <w:rtl w:val="0"/>
          <w:lang w:val="en-US"/>
        </w:rPr>
        <w:t>The paper traveled from Buenos Aires into many languages, and mimeographed copies of it found their way into the planning commissions of many of the new nations.</w:t>
      </w:r>
      <w:r>
        <w:rPr>
          <w:sz w:val="16"/>
          <w:szCs w:val="16"/>
          <w:rtl w:val="0"/>
          <w:lang w:val="en-US"/>
        </w:rPr>
        <w:t>' p. 62.</w:t>
      </w:r>
    </w:p>
  </w:footnote>
  <w:footnote w:id="18">
    <w:p>
      <w:pPr>
        <w:pStyle w:val="Footnote"/>
        <w:rPr>
          <w:sz w:val="16"/>
          <w:szCs w:val="16"/>
        </w:rPr>
      </w:pPr>
      <w:r>
        <w:rPr>
          <w:sz w:val="16"/>
          <w:szCs w:val="16"/>
          <w:vertAlign w:val="superscript"/>
        </w:rPr>
        <w:footnoteRef/>
      </w:r>
      <w:r>
        <w:rPr>
          <w:sz w:val="16"/>
          <w:szCs w:val="16"/>
          <w:rtl w:val="0"/>
        </w:rPr>
        <w:t xml:space="preserve"> Kwama Nkrumah. "Neo-</w:t>
      </w:r>
      <w:r>
        <w:rPr>
          <w:sz w:val="16"/>
          <w:szCs w:val="16"/>
          <w:rtl w:val="0"/>
          <w:lang w:val="en-US"/>
        </w:rPr>
        <w:t>C</w:t>
      </w:r>
      <w:r>
        <w:rPr>
          <w:sz w:val="16"/>
          <w:szCs w:val="16"/>
          <w:rtl w:val="0"/>
          <w:lang w:val="fr-FR"/>
        </w:rPr>
        <w:t xml:space="preserve">olonialism: The </w:t>
      </w:r>
      <w:r>
        <w:rPr>
          <w:sz w:val="16"/>
          <w:szCs w:val="16"/>
          <w:rtl w:val="0"/>
          <w:lang w:val="en-US"/>
        </w:rPr>
        <w:t>L</w:t>
      </w:r>
      <w:r>
        <w:rPr>
          <w:sz w:val="16"/>
          <w:szCs w:val="16"/>
          <w:rtl w:val="0"/>
          <w:lang w:val="en-US"/>
        </w:rPr>
        <w:t xml:space="preserve">ast </w:t>
      </w:r>
      <w:r>
        <w:rPr>
          <w:sz w:val="16"/>
          <w:szCs w:val="16"/>
          <w:rtl w:val="0"/>
          <w:lang w:val="en-US"/>
        </w:rPr>
        <w:t>S</w:t>
      </w:r>
      <w:r>
        <w:rPr>
          <w:sz w:val="16"/>
          <w:szCs w:val="16"/>
          <w:rtl w:val="0"/>
          <w:lang w:val="en-US"/>
        </w:rPr>
        <w:t xml:space="preserve">tage of </w:t>
      </w:r>
      <w:r>
        <w:rPr>
          <w:sz w:val="16"/>
          <w:szCs w:val="16"/>
          <w:rtl w:val="0"/>
          <w:lang w:val="en-US"/>
        </w:rPr>
        <w:t>I</w:t>
      </w:r>
      <w:r>
        <w:rPr>
          <w:sz w:val="16"/>
          <w:szCs w:val="16"/>
          <w:rtl w:val="0"/>
        </w:rPr>
        <w:t>mperialism." (1965).</w:t>
      </w:r>
      <w:r>
        <w:rPr>
          <w:sz w:val="16"/>
          <w:szCs w:val="16"/>
          <w:rtl w:val="0"/>
          <w:lang w:val="en-US"/>
        </w:rPr>
        <w:t xml:space="preserve"> [</w:t>
      </w:r>
      <w:r>
        <w:rPr>
          <w:rStyle w:val="Hyperlink.0"/>
          <w:sz w:val="16"/>
          <w:szCs w:val="16"/>
        </w:rPr>
        <w:fldChar w:fldCharType="begin" w:fldLock="0"/>
      </w:r>
      <w:r>
        <w:rPr>
          <w:rStyle w:val="Hyperlink.0"/>
          <w:sz w:val="16"/>
          <w:szCs w:val="16"/>
        </w:rPr>
        <w:instrText xml:space="preserve"> HYPERLINK "https://www.marxists.org/subject/africa/nkrumah/neo-colonialism/"</w:instrText>
      </w:r>
      <w:r>
        <w:rPr>
          <w:rStyle w:val="Hyperlink.0"/>
          <w:sz w:val="16"/>
          <w:szCs w:val="16"/>
        </w:rPr>
        <w:fldChar w:fldCharType="separate" w:fldLock="0"/>
      </w:r>
      <w:r>
        <w:rPr>
          <w:rStyle w:val="Hyperlink.0"/>
          <w:sz w:val="16"/>
          <w:szCs w:val="16"/>
          <w:rtl w:val="0"/>
          <w:lang w:val="fr-FR"/>
        </w:rPr>
        <w:t>https://www.marxists.org/subject/africa/nkrumah/neo-colonialism/</w:t>
      </w:r>
      <w:r>
        <w:rPr>
          <w:sz w:val="16"/>
          <w:szCs w:val="16"/>
        </w:rPr>
        <w:fldChar w:fldCharType="end" w:fldLock="0"/>
      </w:r>
      <w:r>
        <w:rPr>
          <w:sz w:val="16"/>
          <w:szCs w:val="16"/>
          <w:rtl w:val="0"/>
          <w:lang w:val="en-US"/>
        </w:rPr>
        <w:t>]</w:t>
      </w:r>
    </w:p>
    <w:p>
      <w:pPr>
        <w:pStyle w:val="Footnote"/>
        <w:rPr>
          <w:sz w:val="16"/>
          <w:szCs w:val="16"/>
        </w:rPr>
      </w:pPr>
    </w:p>
    <w:p>
      <w:pPr>
        <w:pStyle w:val="Footnote"/>
      </w:pPr>
      <w:r>
        <w:rPr>
          <w:sz w:val="16"/>
          <w:szCs w:val="16"/>
          <w:rtl w:val="0"/>
          <w:lang w:val="en-US"/>
        </w:rPr>
        <w:t>'Unless small States can combine they must be compelled to sell their primary products at prices dictated by the developed nations and buy their manufactured goods at the prices fixed by them. So long as neo-colonialism can prevent political and economic conditions for optimum development, the developing countries, whether they are under neo-colonialist control or not, will be unable to create a large enough market to support industrialisation. In the same way they will lack the financial strength to force the developed countries to accept their primary products at a fair price.' p. xiv.</w:t>
      </w:r>
    </w:p>
  </w:footnote>
  <w:footnote w:id="19">
    <w:p>
      <w:pPr>
        <w:pStyle w:val="Footnote"/>
      </w:pPr>
      <w:r>
        <w:rPr>
          <w:sz w:val="16"/>
          <w:szCs w:val="16"/>
          <w:vertAlign w:val="superscript"/>
        </w:rPr>
        <w:footnoteRef/>
      </w:r>
      <w:r>
        <w:rPr>
          <w:sz w:val="16"/>
          <w:szCs w:val="16"/>
          <w:rtl w:val="0"/>
        </w:rPr>
        <w:t xml:space="preserve"> </w:t>
      </w:r>
      <w:r>
        <w:rPr>
          <w:sz w:val="16"/>
          <w:szCs w:val="16"/>
          <w:rtl w:val="0"/>
          <w:lang w:val="en-US"/>
        </w:rPr>
        <w:t xml:space="preserve">Ibid., </w:t>
      </w:r>
      <w:r>
        <w:rPr>
          <w:sz w:val="16"/>
          <w:szCs w:val="16"/>
          <w:rtl w:val="0"/>
        </w:rPr>
        <w:t>p.ix.</w:t>
      </w:r>
    </w:p>
  </w:footnote>
  <w:footnote w:id="20">
    <w:p>
      <w:pPr>
        <w:pStyle w:val="Footnote"/>
      </w:pPr>
      <w:r>
        <w:rPr>
          <w:sz w:val="16"/>
          <w:szCs w:val="16"/>
          <w:vertAlign w:val="superscript"/>
        </w:rPr>
        <w:footnoteRef/>
      </w:r>
      <w:r>
        <w:rPr>
          <w:sz w:val="16"/>
          <w:szCs w:val="16"/>
          <w:rtl w:val="0"/>
        </w:rPr>
        <w:t xml:space="preserve"> </w:t>
      </w:r>
      <w:r>
        <w:rPr>
          <w:sz w:val="16"/>
          <w:szCs w:val="16"/>
          <w:rtl w:val="0"/>
          <w:lang w:val="en-US"/>
        </w:rPr>
        <w:t>Ibid., p. 11.</w:t>
      </w:r>
    </w:p>
  </w:footnote>
  <w:footnote w:id="21">
    <w:p>
      <w:pPr>
        <w:pStyle w:val="Footnote"/>
      </w:pPr>
      <w:r>
        <w:rPr>
          <w:sz w:val="16"/>
          <w:szCs w:val="16"/>
          <w:vertAlign w:val="superscript"/>
        </w:rPr>
        <w:footnoteRef/>
      </w:r>
      <w:r>
        <w:rPr>
          <w:sz w:val="16"/>
          <w:szCs w:val="16"/>
          <w:rtl w:val="0"/>
        </w:rPr>
        <w:t xml:space="preserve"> </w:t>
      </w:r>
      <w:r>
        <w:rPr>
          <w:sz w:val="16"/>
          <w:szCs w:val="16"/>
          <w:rtl w:val="0"/>
          <w:lang w:val="en-US"/>
        </w:rPr>
        <w:t xml:space="preserve">Raul </w:t>
      </w:r>
      <w:r>
        <w:rPr>
          <w:sz w:val="16"/>
          <w:szCs w:val="16"/>
          <w:rtl w:val="0"/>
          <w:lang w:val="de-DE"/>
        </w:rPr>
        <w:t>Prebisch</w:t>
      </w:r>
      <w:r>
        <w:rPr>
          <w:sz w:val="16"/>
          <w:szCs w:val="16"/>
          <w:rtl w:val="0"/>
          <w:lang w:val="en-US"/>
        </w:rPr>
        <w:t>,</w:t>
      </w:r>
      <w:r>
        <w:rPr>
          <w:sz w:val="16"/>
          <w:szCs w:val="16"/>
          <w:rtl w:val="0"/>
        </w:rPr>
        <w:t xml:space="preserve"> </w:t>
      </w:r>
      <w:r>
        <w:rPr>
          <w:rFonts w:ascii="Times New Roman" w:hAnsi="Times New Roman"/>
          <w:i w:val="1"/>
          <w:iCs w:val="1"/>
          <w:sz w:val="16"/>
          <w:szCs w:val="16"/>
          <w:rtl w:val="0"/>
          <w:lang w:val="en-US"/>
        </w:rPr>
        <w:t>Towards a New Trade Policy</w:t>
      </w:r>
      <w:r>
        <w:rPr>
          <w:rFonts w:ascii="Times New Roman" w:hAnsi="Times New Roman"/>
          <w:i w:val="1"/>
          <w:iCs w:val="1"/>
          <w:sz w:val="16"/>
          <w:szCs w:val="16"/>
          <w:rtl w:val="0"/>
          <w:lang w:val="en-US"/>
        </w:rPr>
        <w:t xml:space="preserve"> For Development</w:t>
      </w:r>
      <w:r>
        <w:rPr>
          <w:sz w:val="16"/>
          <w:szCs w:val="16"/>
          <w:rtl w:val="0"/>
        </w:rPr>
        <w:t xml:space="preserve">, </w:t>
      </w:r>
      <w:r>
        <w:rPr>
          <w:sz w:val="16"/>
          <w:szCs w:val="16"/>
          <w:rtl w:val="0"/>
          <w:lang w:val="en-US"/>
        </w:rPr>
        <w:t xml:space="preserve">UNCTAD. </w:t>
      </w:r>
      <w:r>
        <w:rPr>
          <w:sz w:val="16"/>
          <w:szCs w:val="16"/>
          <w:rtl w:val="0"/>
        </w:rPr>
        <w:t xml:space="preserve">pp. </w:t>
      </w:r>
      <w:r>
        <w:rPr>
          <w:sz w:val="16"/>
          <w:szCs w:val="16"/>
          <w:rtl w:val="0"/>
          <w:lang w:val="en-US"/>
        </w:rPr>
        <w:t>65-66.</w:t>
      </w:r>
    </w:p>
  </w:footnote>
  <w:footnote w:id="22">
    <w:p>
      <w:pPr>
        <w:pStyle w:val="Footnote"/>
        <w:rPr>
          <w:sz w:val="16"/>
          <w:szCs w:val="16"/>
        </w:rPr>
      </w:pPr>
      <w:r>
        <w:rPr>
          <w:sz w:val="16"/>
          <w:szCs w:val="16"/>
          <w:vertAlign w:val="superscript"/>
        </w:rPr>
        <w:footnoteRef/>
      </w:r>
      <w:r>
        <w:rPr>
          <w:sz w:val="16"/>
          <w:szCs w:val="16"/>
          <w:rtl w:val="0"/>
          <w:lang w:val="en-US"/>
        </w:rPr>
        <w:t xml:space="preserve"> Kwama Nkrumah. "Neo-Colonialism: The Last Stage of Imperialism." (1965)</w:t>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The African continent, however, cannot hope to industrialise effectively in the haphazard, laisser-faire</w:t>
      </w:r>
      <w:r>
        <w:rPr>
          <w:sz w:val="16"/>
          <w:szCs w:val="16"/>
          <w:rtl w:val="0"/>
        </w:rPr>
        <w:t> </w:t>
      </w:r>
      <w:r>
        <w:rPr>
          <w:sz w:val="16"/>
          <w:szCs w:val="16"/>
          <w:rtl w:val="0"/>
          <w:lang w:val="en-US"/>
        </w:rPr>
        <w:t>manner of Europe. In the first place, there is the time factor. In the second, the socialised modes of production and tremendous human and capital investments involved call for cohesive and integrated planning. Africa will need to bring to its aid all its latent ingenuity and talent in order to meet the challenge that independence and the demands of its peoples for better living have raised. The challenge cannot be met on any piece-meal scale, but only by the total mobilisation of the continent</w:t>
      </w:r>
      <w:r>
        <w:rPr>
          <w:sz w:val="16"/>
          <w:szCs w:val="16"/>
          <w:rtl w:val="1"/>
        </w:rPr>
        <w:t>’</w:t>
      </w:r>
      <w:r>
        <w:rPr>
          <w:sz w:val="16"/>
          <w:szCs w:val="16"/>
          <w:rtl w:val="0"/>
          <w:lang w:val="en-US"/>
        </w:rPr>
        <w:t>s resources within the framework of comprehensive socialist panning and deployment.</w:t>
      </w:r>
      <w:r>
        <w:rPr>
          <w:sz w:val="16"/>
          <w:szCs w:val="16"/>
          <w:rtl w:val="0"/>
          <w:lang w:val="en-US"/>
        </w:rPr>
        <w:t>'</w:t>
      </w:r>
      <w:r>
        <w:rPr>
          <w:sz w:val="16"/>
          <w:szCs w:val="16"/>
          <w:rtl w:val="0"/>
        </w:rPr>
        <w:t xml:space="preserve"> p. 11.</w:t>
      </w:r>
    </w:p>
    <w:p>
      <w:pPr>
        <w:pStyle w:val="Footnote"/>
        <w:rPr>
          <w:sz w:val="16"/>
          <w:szCs w:val="16"/>
        </w:rPr>
      </w:pPr>
    </w:p>
    <w:p>
      <w:pPr>
        <w:pStyle w:val="Footnote"/>
      </w:pPr>
      <w:r>
        <w:rPr>
          <w:sz w:val="16"/>
          <w:szCs w:val="16"/>
          <w:rtl w:val="0"/>
          <w:lang w:val="en-US"/>
        </w:rPr>
        <w:t>Their financial and economic empires are pan-African and they can only be challenged on a pan-African basis. Only a united Africa through an All-African Union Government can defeat them.</w:t>
      </w:r>
      <w:r>
        <w:rPr>
          <w:sz w:val="16"/>
          <w:szCs w:val="16"/>
          <w:rtl w:val="1"/>
        </w:rPr>
        <w:t xml:space="preserve">’ </w:t>
      </w:r>
      <w:r>
        <w:rPr>
          <w:sz w:val="16"/>
          <w:szCs w:val="16"/>
          <w:rtl w:val="0"/>
        </w:rPr>
        <w:t>pp. 35-36.</w:t>
      </w:r>
    </w:p>
  </w:footnote>
  <w:footnote w:id="23">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Ibid.:</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We are certainly not against marketing and trading. On the contrary, we are for a widening of our potentialities in these spheres, and we are convinced that we shall be able to adjust the balance in our favour only by developing an agriculture attuned to our needs and supporting it with a rapidly increasing industrialisation that will break the neo-colonialist pattern which at present operates</w:t>
      </w:r>
      <w:r>
        <w:rPr>
          <w:sz w:val="16"/>
          <w:szCs w:val="16"/>
          <w:rtl w:val="0"/>
          <w:lang w:val="en-US"/>
        </w:rPr>
        <w:t>.' p. 9.</w:t>
      </w:r>
    </w:p>
    <w:p>
      <w:pPr>
        <w:pStyle w:val="Footnote"/>
        <w:rPr>
          <w:sz w:val="16"/>
          <w:szCs w:val="16"/>
        </w:rPr>
      </w:pPr>
    </w:p>
    <w:p>
      <w:pPr>
        <w:pStyle w:val="Footnote"/>
        <w:rPr>
          <w:sz w:val="16"/>
          <w:szCs w:val="16"/>
        </w:rPr>
      </w:pPr>
      <w:r>
        <w:rPr>
          <w:sz w:val="16"/>
          <w:szCs w:val="16"/>
          <w:rtl w:val="0"/>
          <w:lang w:val="en-US"/>
        </w:rPr>
        <w:t>Or foreign investment:</w:t>
      </w:r>
    </w:p>
    <w:p>
      <w:pPr>
        <w:pStyle w:val="Footnote"/>
        <w:rPr>
          <w:sz w:val="16"/>
          <w:szCs w:val="16"/>
        </w:rPr>
      </w:pPr>
    </w:p>
    <w:p>
      <w:pPr>
        <w:pStyle w:val="Footnote"/>
      </w:pPr>
      <w:r>
        <w:rPr>
          <w:sz w:val="16"/>
          <w:szCs w:val="16"/>
          <w:rtl w:val="0"/>
          <w:lang w:val="en-US"/>
        </w:rPr>
        <w:tab/>
        <w:t>'</w:t>
      </w:r>
      <w:r>
        <w:rPr>
          <w:sz w:val="16"/>
          <w:szCs w:val="16"/>
          <w:rtl w:val="0"/>
          <w:lang w:val="en-US"/>
        </w:rPr>
        <w:t>The struggle against neo-colonialism is not aimed at excluding the capital of the developed world from operating in less developed countries. It is aimed at preventing the financial power of the developed countries being used in such a way as to impoverish the less developed.</w:t>
      </w:r>
      <w:r>
        <w:rPr>
          <w:sz w:val="16"/>
          <w:szCs w:val="16"/>
          <w:rtl w:val="0"/>
          <w:lang w:val="en-US"/>
        </w:rPr>
        <w:t>'</w:t>
      </w:r>
      <w:r>
        <w:rPr>
          <w:sz w:val="16"/>
          <w:szCs w:val="16"/>
          <w:rtl w:val="0"/>
        </w:rPr>
        <w:t xml:space="preserve"> p. x.</w:t>
      </w:r>
    </w:p>
  </w:footnote>
  <w:footnote w:id="24">
    <w:p>
      <w:pPr>
        <w:pStyle w:val="Footnote"/>
      </w:pPr>
      <w:r>
        <w:rPr>
          <w:sz w:val="16"/>
          <w:szCs w:val="16"/>
          <w:vertAlign w:val="superscript"/>
        </w:rPr>
        <w:footnoteRef/>
      </w:r>
      <w:r>
        <w:rPr>
          <w:sz w:val="16"/>
          <w:szCs w:val="16"/>
          <w:rtl w:val="0"/>
        </w:rPr>
        <w:t xml:space="preserve"> </w:t>
      </w:r>
      <w:r>
        <w:rPr>
          <w:sz w:val="16"/>
          <w:szCs w:val="16"/>
          <w:rtl w:val="0"/>
          <w:lang w:val="en-US"/>
        </w:rPr>
        <w:t>Ibid., p. 241.</w:t>
      </w:r>
    </w:p>
  </w:footnote>
  <w:footnote w:id="25">
    <w:p>
      <w:pPr>
        <w:pStyle w:val="Footnote"/>
      </w:pPr>
      <w:r>
        <w:rPr>
          <w:sz w:val="16"/>
          <w:szCs w:val="16"/>
          <w:vertAlign w:val="superscript"/>
        </w:rPr>
        <w:footnoteRef/>
      </w:r>
      <w:r>
        <w:rPr>
          <w:sz w:val="16"/>
          <w:szCs w:val="16"/>
          <w:rtl w:val="0"/>
        </w:rPr>
        <w:t xml:space="preserve"> </w:t>
      </w:r>
      <w:r>
        <w:rPr>
          <w:sz w:val="16"/>
          <w:szCs w:val="16"/>
          <w:rtl w:val="0"/>
          <w:lang w:val="en-US"/>
        </w:rPr>
        <w:t>Ibid., p. 242.</w:t>
      </w:r>
    </w:p>
  </w:footnote>
  <w:footnote w:id="26">
    <w:p>
      <w:pPr>
        <w:pStyle w:val="Footnote"/>
        <w:rPr>
          <w:sz w:val="16"/>
          <w:szCs w:val="16"/>
        </w:rPr>
      </w:pPr>
      <w:r>
        <w:rPr>
          <w:sz w:val="16"/>
          <w:szCs w:val="16"/>
          <w:vertAlign w:val="superscript"/>
        </w:rPr>
        <w:footnoteRef/>
      </w:r>
      <w:r>
        <w:rPr>
          <w:sz w:val="16"/>
          <w:szCs w:val="16"/>
          <w:rtl w:val="0"/>
          <w:lang w:val="en-US"/>
        </w:rPr>
        <w:t xml:space="preserve"> Seymour M. Hersh</w:t>
      </w:r>
      <w:r>
        <w:rPr>
          <w:sz w:val="16"/>
          <w:szCs w:val="16"/>
          <w:rtl w:val="0"/>
          <w:lang w:val="en-US"/>
        </w:rPr>
        <w:t>, "</w:t>
      </w:r>
      <w:r>
        <w:rPr>
          <w:sz w:val="16"/>
          <w:szCs w:val="16"/>
          <w:rtl w:val="0"/>
          <w:lang w:val="en-US"/>
        </w:rPr>
        <w:t>C.I.A. Said to Have Aided Plotters Who Overthrew Nkrumah in Ghana</w:t>
      </w:r>
      <w:r>
        <w:rPr>
          <w:sz w:val="16"/>
          <w:szCs w:val="16"/>
          <w:rtl w:val="0"/>
          <w:lang w:val="en-US"/>
        </w:rPr>
        <w:t xml:space="preserve">", </w:t>
      </w:r>
      <w:r>
        <w:rPr>
          <w:i w:val="1"/>
          <w:iCs w:val="1"/>
          <w:sz w:val="16"/>
          <w:szCs w:val="16"/>
          <w:rtl w:val="0"/>
          <w:lang w:val="en-US"/>
        </w:rPr>
        <w:t xml:space="preserve">NY Times, </w:t>
      </w:r>
      <w:r>
        <w:rPr>
          <w:i w:val="1"/>
          <w:iCs w:val="1"/>
          <w:sz w:val="16"/>
          <w:szCs w:val="16"/>
          <w:rtl w:val="0"/>
        </w:rPr>
        <w:t>May 9, 1978</w:t>
      </w:r>
      <w:r>
        <w:rPr>
          <w:i w:val="1"/>
          <w:iCs w:val="1"/>
          <w:sz w:val="16"/>
          <w:szCs w:val="16"/>
          <w:rtl w:val="0"/>
          <w:lang w:val="en-US"/>
        </w:rPr>
        <w:t>:</w:t>
      </w:r>
    </w:p>
    <w:p>
      <w:pPr>
        <w:pStyle w:val="Footnote"/>
      </w:pPr>
      <w:r>
        <w:rPr>
          <w:sz w:val="16"/>
          <w:szCs w:val="16"/>
          <w:rtl w:val="0"/>
          <w:lang w:val="en-US"/>
        </w:rPr>
        <w:t>https://www.nytimes.com/1978/05/09/archives/cia-said-to-have-aided-plotters-who-overthrew-nkrumah-in-ghana.html</w:t>
      </w:r>
    </w:p>
  </w:footnote>
  <w:footnote w:id="27">
    <w:p>
      <w:pPr>
        <w:pStyle w:val="Footnote"/>
        <w:rPr>
          <w:sz w:val="16"/>
          <w:szCs w:val="16"/>
        </w:rPr>
      </w:pPr>
      <w:r>
        <w:rPr>
          <w:sz w:val="16"/>
          <w:szCs w:val="16"/>
          <w:vertAlign w:val="superscript"/>
        </w:rPr>
        <w:footnoteRef/>
      </w:r>
      <w:r>
        <w:rPr>
          <w:sz w:val="16"/>
          <w:szCs w:val="16"/>
          <w:rtl w:val="0"/>
          <w:lang w:val="en-US"/>
        </w:rPr>
        <w:t xml:space="preserve"> United Nations General Assembly, "Programme of Action on the Establishment of a New International Economic Order,"  (1974), </w:t>
      </w:r>
      <w:r>
        <w:rPr>
          <w:sz w:val="16"/>
          <w:szCs w:val="16"/>
          <w:rtl w:val="0"/>
          <w:lang w:val="en-US"/>
        </w:rPr>
        <w:t>Chapter II, Section 1(a): i-xii. [</w:t>
      </w:r>
      <w:r>
        <w:rPr>
          <w:rStyle w:val="Hyperlink.0"/>
          <w:sz w:val="16"/>
          <w:szCs w:val="16"/>
        </w:rPr>
        <w:fldChar w:fldCharType="begin" w:fldLock="0"/>
      </w:r>
      <w:r>
        <w:rPr>
          <w:rStyle w:val="Hyperlink.0"/>
          <w:sz w:val="16"/>
          <w:szCs w:val="16"/>
        </w:rPr>
        <w:instrText xml:space="preserve"> HYPERLINK "https://digitallibrary.un.org/record/218451?ln=en"</w:instrText>
      </w:r>
      <w:r>
        <w:rPr>
          <w:rStyle w:val="Hyperlink.0"/>
          <w:sz w:val="16"/>
          <w:szCs w:val="16"/>
        </w:rPr>
        <w:fldChar w:fldCharType="separate" w:fldLock="0"/>
      </w:r>
      <w:r>
        <w:rPr>
          <w:rStyle w:val="Hyperlink.0"/>
          <w:sz w:val="16"/>
          <w:szCs w:val="16"/>
          <w:rtl w:val="0"/>
          <w:lang w:val="en-US"/>
        </w:rPr>
        <w:t>https://digitallibrary.un.org/record/218451?ln=en</w:t>
      </w:r>
      <w:r>
        <w:rPr>
          <w:sz w:val="16"/>
          <w:szCs w:val="16"/>
        </w:rPr>
        <w:fldChar w:fldCharType="end" w:fldLock="0"/>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All efforts should be made:</w:t>
      </w:r>
    </w:p>
    <w:p>
      <w:pPr>
        <w:pStyle w:val="Footnote"/>
      </w:pPr>
      <w:r>
        <w:rPr>
          <w:sz w:val="16"/>
          <w:szCs w:val="16"/>
          <w:rtl w:val="0"/>
          <w:lang w:val="en-US"/>
        </w:rPr>
        <w:t>(a) To put an end to all forms of foreign</w:t>
      </w:r>
      <w:r>
        <w:rPr>
          <w:sz w:val="16"/>
          <w:szCs w:val="16"/>
          <w:rtl w:val="0"/>
          <w:lang w:val="en-US"/>
        </w:rPr>
        <w:t xml:space="preserve"> </w:t>
      </w:r>
      <w:r>
        <w:rPr>
          <w:sz w:val="16"/>
          <w:szCs w:val="16"/>
          <w:rtl w:val="0"/>
          <w:lang w:val="it-IT"/>
        </w:rPr>
        <w:t>occupat</w:t>
      </w:r>
      <w:r>
        <w:rPr>
          <w:sz w:val="16"/>
          <w:szCs w:val="16"/>
          <w:rtl w:val="0"/>
          <w:lang w:val="en-US"/>
        </w:rPr>
        <w:t>i</w:t>
      </w:r>
      <w:r>
        <w:rPr>
          <w:sz w:val="16"/>
          <w:szCs w:val="16"/>
          <w:rtl w:val="0"/>
          <w:lang w:val="fr-FR"/>
        </w:rPr>
        <w:t>on, racial discrimination, apartheid, colonial</w:t>
      </w:r>
      <w:r>
        <w:rPr>
          <w:sz w:val="16"/>
          <w:szCs w:val="16"/>
          <w:rtl w:val="0"/>
          <w:lang w:val="en-US"/>
        </w:rPr>
        <w:t xml:space="preserve"> and neo-</w:t>
      </w:r>
      <w:r>
        <w:rPr>
          <w:sz w:val="16"/>
          <w:szCs w:val="16"/>
          <w:rtl w:val="0"/>
          <w:lang w:val="en-US"/>
        </w:rPr>
        <w:t>colonial and alien domination and exploitation through the exercise of permanent sovereignty over natural resources;</w:t>
      </w:r>
      <w:r>
        <w:rPr>
          <w:sz w:val="16"/>
          <w:szCs w:val="16"/>
          <w:rtl w:val="0"/>
          <w:lang w:val="en-US"/>
        </w:rPr>
        <w:t xml:space="preserve">' </w:t>
      </w:r>
    </w:p>
  </w:footnote>
  <w:footnote w:id="28">
    <w:p>
      <w:pPr>
        <w:pStyle w:val="Footnote"/>
        <w:rPr>
          <w:sz w:val="16"/>
          <w:szCs w:val="16"/>
        </w:rPr>
      </w:pPr>
      <w:r>
        <w:rPr>
          <w:sz w:val="16"/>
          <w:szCs w:val="16"/>
          <w:vertAlign w:val="superscript"/>
        </w:rPr>
        <w:footnoteRef/>
      </w:r>
      <w:r>
        <w:rPr>
          <w:sz w:val="16"/>
          <w:szCs w:val="16"/>
          <w:rtl w:val="0"/>
          <w:lang w:val="en-US"/>
        </w:rPr>
        <w:t xml:space="preserve"> Kwama Nkrumah. "Neo-Colonialism: The Last Stage of Imperialism." (1965)</w:t>
      </w:r>
      <w:r>
        <w:rPr>
          <w:sz w:val="16"/>
          <w:szCs w:val="16"/>
          <w:rtl w:val="0"/>
          <w:lang w:val="en-US"/>
        </w:rPr>
        <w:t xml:space="preserve">, </w:t>
      </w:r>
      <w:r>
        <w:rPr>
          <w:sz w:val="16"/>
          <w:szCs w:val="16"/>
          <w:rtl w:val="0"/>
        </w:rPr>
        <w:t>pp. xv-xvi, 26</w:t>
      </w:r>
      <w:r>
        <w:rPr>
          <w:sz w:val="16"/>
          <w:szCs w:val="16"/>
          <w:rtl w:val="0"/>
          <w:lang w:val="en-US"/>
        </w:rPr>
        <w:t>, 30-31:</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neo-colonialism is fast entrenching itself within the body of Africa today through the consortia and monopoly combinations that are the carpetbaggers of the African revolt against colonialism and the urge for continental unity.</w:t>
      </w:r>
      <w:r>
        <w:rPr>
          <w:sz w:val="16"/>
          <w:szCs w:val="16"/>
          <w:rtl w:val="1"/>
        </w:rPr>
        <w:t xml:space="preserve">’ </w:t>
      </w:r>
      <w:r>
        <w:rPr>
          <w:sz w:val="16"/>
          <w:szCs w:val="16"/>
          <w:rtl w:val="0"/>
        </w:rPr>
        <w:t>p. 32.</w:t>
      </w:r>
    </w:p>
    <w:p>
      <w:pPr>
        <w:pStyle w:val="Footnote"/>
        <w:rPr>
          <w:sz w:val="16"/>
          <w:szCs w:val="16"/>
        </w:rPr>
      </w:pPr>
    </w:p>
    <w:p>
      <w:pPr>
        <w:pStyle w:val="Footnote"/>
      </w:pPr>
      <w:r>
        <w:rPr>
          <w:sz w:val="16"/>
          <w:szCs w:val="16"/>
          <w:rtl w:val="0"/>
          <w:lang w:val="en-US"/>
        </w:rPr>
        <w:t>'</w:t>
      </w:r>
      <w:r>
        <w:rPr>
          <w:sz w:val="16"/>
          <w:szCs w:val="16"/>
          <w:rtl w:val="0"/>
          <w:lang w:val="en-US"/>
        </w:rPr>
        <w:t>As things are, most of our new States, alarmed at the prospect of the harsh world of poverty, disease, ignorance and lack of financial and technical resources into which they are thrust from the womb of colonialism, are reluctant to cut the cord that holds them to the imperialist mother. Their hesitancy is fostered by the sugared water of aid, which is the stop-gap between avid hunger and the hoped-for greater nourishment that never comes.</w:t>
      </w:r>
      <w:r>
        <w:rPr>
          <w:sz w:val="16"/>
          <w:szCs w:val="16"/>
          <w:rtl w:val="0"/>
          <w:lang w:val="en-US"/>
        </w:rPr>
        <w:t>' p. 33.</w:t>
      </w:r>
    </w:p>
  </w:footnote>
  <w:footnote w:id="29">
    <w:p>
      <w:pPr>
        <w:pStyle w:val="Footnote"/>
        <w:rPr>
          <w:sz w:val="16"/>
          <w:szCs w:val="16"/>
        </w:rPr>
      </w:pPr>
      <w:r>
        <w:rPr>
          <w:sz w:val="16"/>
          <w:szCs w:val="16"/>
          <w:vertAlign w:val="superscript"/>
        </w:rPr>
        <w:footnoteRef/>
      </w:r>
      <w:r>
        <w:rPr>
          <w:sz w:val="16"/>
          <w:szCs w:val="16"/>
          <w:rtl w:val="0"/>
          <w:lang w:val="en-US"/>
        </w:rPr>
        <w:t xml:space="preserve"> Kwama Nkrumah. "Neo-Colonialism: The Last Stage of Imperialism." (1965)</w:t>
      </w:r>
      <w:r>
        <w:rPr>
          <w:sz w:val="16"/>
          <w:szCs w:val="16"/>
          <w:rtl w:val="0"/>
          <w:lang w:val="en-US"/>
        </w:rPr>
        <w:t xml:space="preserve">, </w:t>
      </w:r>
      <w:r>
        <w:rPr>
          <w:sz w:val="16"/>
          <w:szCs w:val="16"/>
          <w:rtl w:val="0"/>
        </w:rPr>
        <w:t>pp. xv-xvi</w:t>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This is embodied in:</w:t>
      </w:r>
    </w:p>
    <w:p>
      <w:pPr>
        <w:pStyle w:val="Footnote"/>
        <w:rPr>
          <w:sz w:val="16"/>
          <w:szCs w:val="16"/>
        </w:rPr>
      </w:pPr>
    </w:p>
    <w:p>
      <w:pPr>
        <w:pStyle w:val="Footnote"/>
        <w:rPr>
          <w:sz w:val="16"/>
          <w:szCs w:val="16"/>
        </w:rPr>
      </w:pPr>
      <w:r>
        <w:rPr>
          <w:sz w:val="16"/>
          <w:szCs w:val="16"/>
          <w:rtl w:val="0"/>
          <w:lang w:val="en-US"/>
        </w:rPr>
        <w:t>United Nations General Assembly, "Declaration on the Establishment of a NIEO," (1974), Para. 4 (k). [[</w:t>
      </w:r>
      <w:r>
        <w:rPr>
          <w:rStyle w:val="Hyperlink.0"/>
          <w:sz w:val="16"/>
          <w:szCs w:val="16"/>
        </w:rPr>
        <w:fldChar w:fldCharType="begin" w:fldLock="0"/>
      </w:r>
      <w:r>
        <w:rPr>
          <w:rStyle w:val="Hyperlink.0"/>
          <w:sz w:val="16"/>
          <w:szCs w:val="16"/>
        </w:rPr>
        <w:instrText xml:space="preserve"> HYPERLINK "https://digitallibrary.un.org/record/218450?ln=en"</w:instrText>
      </w:r>
      <w:r>
        <w:rPr>
          <w:rStyle w:val="Hyperlink.0"/>
          <w:sz w:val="16"/>
          <w:szCs w:val="16"/>
        </w:rPr>
        <w:fldChar w:fldCharType="separate" w:fldLock="0"/>
      </w:r>
      <w:r>
        <w:rPr>
          <w:rStyle w:val="Hyperlink.0"/>
          <w:sz w:val="16"/>
          <w:szCs w:val="16"/>
          <w:rtl w:val="0"/>
          <w:lang w:val="en-US"/>
        </w:rPr>
        <w:t>https://digitallibrary.un.org/record/218450?ln=en</w:t>
      </w:r>
      <w:r>
        <w:rPr>
          <w:sz w:val="16"/>
          <w:szCs w:val="16"/>
        </w:rPr>
        <w:fldChar w:fldCharType="end" w:fldLock="0"/>
      </w:r>
      <w:r>
        <w:rPr>
          <w:sz w:val="16"/>
          <w:szCs w:val="16"/>
          <w:rtl w:val="0"/>
          <w:lang w:val="en-US"/>
        </w:rPr>
        <w:t>]:</w:t>
      </w:r>
    </w:p>
    <w:p>
      <w:pPr>
        <w:pStyle w:val="Footnote"/>
        <w:rPr>
          <w:sz w:val="16"/>
          <w:szCs w:val="16"/>
        </w:rPr>
      </w:pPr>
    </w:p>
    <w:p>
      <w:pPr>
        <w:pStyle w:val="Footnote"/>
      </w:pPr>
      <w:r>
        <w:rPr>
          <w:sz w:val="16"/>
          <w:szCs w:val="16"/>
          <w:rtl w:val="0"/>
          <w:lang w:val="en-US"/>
        </w:rPr>
        <w:t>'</w:t>
      </w:r>
      <w:r>
        <w:rPr>
          <w:sz w:val="16"/>
          <w:szCs w:val="16"/>
          <w:rtl w:val="0"/>
          <w:lang w:val="en-US"/>
        </w:rPr>
        <w:t>Extension of active assistance to developing countries by the whole international community, free of any political or military conditions</w:t>
      </w:r>
      <w:r>
        <w:rPr>
          <w:sz w:val="16"/>
          <w:szCs w:val="16"/>
          <w:rtl w:val="0"/>
          <w:lang w:val="en-US"/>
        </w:rPr>
        <w:t>'</w:t>
      </w:r>
    </w:p>
  </w:footnote>
  <w:footnote w:id="30">
    <w:p>
      <w:pPr>
        <w:pStyle w:val="Footnote"/>
        <w:rPr>
          <w:sz w:val="16"/>
          <w:szCs w:val="16"/>
        </w:rPr>
      </w:pPr>
      <w:r>
        <w:rPr>
          <w:sz w:val="16"/>
          <w:szCs w:val="16"/>
          <w:vertAlign w:val="superscript"/>
        </w:rPr>
        <w:footnoteRef/>
      </w:r>
      <w:r>
        <w:rPr>
          <w:sz w:val="16"/>
          <w:szCs w:val="16"/>
          <w:rtl w:val="0"/>
          <w:lang w:val="en-US"/>
        </w:rPr>
        <w:t xml:space="preserve"> Kwama Nkrumah. "Neo-Colonialism: The Last Stage of Imperialism." (1965), </w:t>
      </w:r>
      <w:r>
        <w:rPr>
          <w:sz w:val="16"/>
          <w:szCs w:val="16"/>
          <w:rtl w:val="0"/>
          <w:lang w:val="en-US"/>
        </w:rPr>
        <w:t>p. 32:</w:t>
      </w:r>
    </w:p>
    <w:p>
      <w:pPr>
        <w:pStyle w:val="Footnote"/>
        <w:rPr>
          <w:sz w:val="16"/>
          <w:szCs w:val="16"/>
        </w:rPr>
      </w:pPr>
    </w:p>
    <w:p>
      <w:pPr>
        <w:pStyle w:val="Footnote"/>
      </w:pPr>
      <w:r>
        <w:rPr>
          <w:sz w:val="16"/>
          <w:szCs w:val="16"/>
          <w:rtl w:val="1"/>
        </w:rPr>
        <w:t>‘</w:t>
      </w:r>
      <w:r>
        <w:rPr>
          <w:sz w:val="16"/>
          <w:szCs w:val="16"/>
          <w:rtl w:val="0"/>
          <w:lang w:val="en-US"/>
        </w:rPr>
        <w:t>In their new-found independence, it is to these very same monopolistic groups that the new African States are obliged to turn to supply the requirements arising from the need to lay the foundations for their economic transformation. The policy of non-alignment, whenever it is exercised, imposes the obligation to 'shop around', but since capitalism has come to the peak of monopoly, it is impossible for any of us to avoid dealing with monopoly in some form or another. But it is in the nature of our arrangements with the monopolies that the freedom or otherwise of the African States lies. Where we establish and maintain the integrity of our financial institutions and keep our basic projects free from imperialist control, we leave ourselves room to manoeuvre away from the neo-colonialism that, unfortunately, has closed its grip upon countries whose independence is over-shadowed by a heavy reliance upon extra-African associations. In this atmosphere of relative freedom, the giant combines that open up industrial enterprises on our soil do so on arrangements that are well screened and are part of nationally planned advancement.</w:t>
      </w:r>
      <w:r>
        <w:rPr>
          <w:sz w:val="16"/>
          <w:szCs w:val="16"/>
          <w:rtl w:val="1"/>
        </w:rPr>
        <w:t xml:space="preserve">’ </w:t>
      </w:r>
      <w:r>
        <w:rPr>
          <w:sz w:val="16"/>
          <w:szCs w:val="16"/>
          <w:rtl w:val="0"/>
        </w:rPr>
        <w:t>p. 32.</w:t>
      </w:r>
    </w:p>
  </w:footnote>
  <w:footnote w:id="31">
    <w:p>
      <w:pPr>
        <w:pStyle w:val="Footnote"/>
      </w:pPr>
      <w:r>
        <w:rPr>
          <w:sz w:val="16"/>
          <w:szCs w:val="16"/>
          <w:vertAlign w:val="superscript"/>
        </w:rPr>
        <w:footnoteRef/>
      </w:r>
      <w:r>
        <w:rPr>
          <w:sz w:val="16"/>
          <w:szCs w:val="16"/>
          <w:rtl w:val="0"/>
          <w:lang w:val="en-US"/>
        </w:rPr>
        <w:t xml:space="preserve"> Kwama Nkrumah. "Neo-Colonialism: The Last Stage of Imperialism." (1965), </w:t>
      </w:r>
      <w:r>
        <w:rPr>
          <w:sz w:val="16"/>
          <w:szCs w:val="16"/>
          <w:rtl w:val="0"/>
          <w:lang w:val="en-US"/>
        </w:rPr>
        <w:t>p. 257.</w:t>
      </w:r>
    </w:p>
  </w:footnote>
  <w:footnote w:id="32">
    <w:p>
      <w:pPr>
        <w:pStyle w:val="Footnote"/>
      </w:pPr>
      <w:r>
        <w:rPr>
          <w:sz w:val="16"/>
          <w:szCs w:val="16"/>
          <w:vertAlign w:val="superscript"/>
        </w:rPr>
        <w:footnoteRef/>
      </w:r>
      <w:r>
        <w:rPr>
          <w:sz w:val="16"/>
          <w:szCs w:val="16"/>
          <w:rtl w:val="0"/>
          <w:lang w:val="en-US"/>
        </w:rPr>
        <w:t xml:space="preserve"> United Nations General Assembly, "Programme of Action on the Establishment of a New International Economic Order,"  (1974), </w:t>
      </w:r>
      <w:r>
        <w:rPr>
          <w:sz w:val="16"/>
          <w:szCs w:val="16"/>
          <w:rtl w:val="0"/>
          <w:lang w:val="en-US"/>
        </w:rPr>
        <w:t>Section V.  [</w:t>
      </w:r>
      <w:r>
        <w:rPr>
          <w:rStyle w:val="Hyperlink.0"/>
          <w:sz w:val="16"/>
          <w:szCs w:val="16"/>
        </w:rPr>
        <w:fldChar w:fldCharType="begin" w:fldLock="0"/>
      </w:r>
      <w:r>
        <w:rPr>
          <w:rStyle w:val="Hyperlink.0"/>
          <w:sz w:val="16"/>
          <w:szCs w:val="16"/>
        </w:rPr>
        <w:instrText xml:space="preserve"> HYPERLINK "https://digitallibrary.un.org/record/218451?ln=en"</w:instrText>
      </w:r>
      <w:r>
        <w:rPr>
          <w:rStyle w:val="Hyperlink.0"/>
          <w:sz w:val="16"/>
          <w:szCs w:val="16"/>
        </w:rPr>
        <w:fldChar w:fldCharType="separate" w:fldLock="0"/>
      </w:r>
      <w:r>
        <w:rPr>
          <w:rStyle w:val="Hyperlink.0"/>
          <w:sz w:val="16"/>
          <w:szCs w:val="16"/>
          <w:rtl w:val="0"/>
          <w:lang w:val="en-US"/>
        </w:rPr>
        <w:t>https://digitallibrary.un.org/record/218451?ln=en</w:t>
      </w:r>
      <w:r>
        <w:rPr>
          <w:sz w:val="16"/>
          <w:szCs w:val="16"/>
        </w:rPr>
        <w:fldChar w:fldCharType="end" w:fldLock="0"/>
      </w:r>
      <w:r>
        <w:rPr>
          <w:sz w:val="16"/>
          <w:szCs w:val="16"/>
          <w:rtl w:val="0"/>
          <w:lang w:val="en-US"/>
        </w:rPr>
        <w:t>].</w:t>
      </w:r>
    </w:p>
  </w:footnote>
  <w:footnote w:id="33">
    <w:p>
      <w:pPr>
        <w:pStyle w:val="Footnote"/>
      </w:pPr>
      <w:r>
        <w:rPr>
          <w:sz w:val="16"/>
          <w:szCs w:val="16"/>
          <w:vertAlign w:val="superscript"/>
        </w:rPr>
        <w:footnoteRef/>
      </w:r>
      <w:r>
        <w:rPr>
          <w:sz w:val="16"/>
          <w:szCs w:val="16"/>
          <w:rtl w:val="0"/>
        </w:rPr>
        <w:t xml:space="preserve"> </w:t>
      </w:r>
      <w:r>
        <w:rPr>
          <w:sz w:val="16"/>
          <w:szCs w:val="16"/>
          <w:rtl w:val="0"/>
          <w:lang w:val="en-US"/>
        </w:rPr>
        <w:t xml:space="preserve">Mohammed Bedjaoui, </w:t>
      </w:r>
      <w:r>
        <w:rPr>
          <w:i w:val="1"/>
          <w:iCs w:val="1"/>
          <w:sz w:val="16"/>
          <w:szCs w:val="16"/>
          <w:rtl w:val="0"/>
          <w:lang w:val="en-US"/>
        </w:rPr>
        <w:t>Towards a New International Economic Order</w:t>
      </w:r>
      <w:r>
        <w:rPr>
          <w:sz w:val="16"/>
          <w:szCs w:val="16"/>
          <w:rtl w:val="0"/>
          <w:lang w:val="en-US"/>
        </w:rPr>
        <w:t>, 1979, pp. 101-103, 104. [</w:t>
      </w:r>
      <w:r>
        <w:rPr>
          <w:rStyle w:val="Hyperlink.0"/>
          <w:sz w:val="16"/>
          <w:szCs w:val="16"/>
        </w:rPr>
        <w:fldChar w:fldCharType="begin" w:fldLock="0"/>
      </w:r>
      <w:r>
        <w:rPr>
          <w:rStyle w:val="Hyperlink.0"/>
          <w:sz w:val="16"/>
          <w:szCs w:val="16"/>
        </w:rPr>
        <w:instrText xml:space="preserve"> HYPERLINK "https://unesdoc.unesco.org/ark:/48223/pf0000035806"</w:instrText>
      </w:r>
      <w:r>
        <w:rPr>
          <w:rStyle w:val="Hyperlink.0"/>
          <w:sz w:val="16"/>
          <w:szCs w:val="16"/>
        </w:rPr>
        <w:fldChar w:fldCharType="separate" w:fldLock="0"/>
      </w:r>
      <w:r>
        <w:rPr>
          <w:rStyle w:val="Hyperlink.0"/>
          <w:sz w:val="16"/>
          <w:szCs w:val="16"/>
          <w:rtl w:val="0"/>
          <w:lang w:val="en-US"/>
        </w:rPr>
        <w:t>https://unesdoc.unesco.org/ark:/48223/pf0000035806</w:t>
      </w:r>
      <w:r>
        <w:rPr>
          <w:sz w:val="16"/>
          <w:szCs w:val="16"/>
        </w:rPr>
        <w:fldChar w:fldCharType="end" w:fldLock="0"/>
      </w:r>
      <w:r>
        <w:rPr>
          <w:sz w:val="16"/>
          <w:szCs w:val="16"/>
          <w:rtl w:val="0"/>
          <w:lang w:val="en-US"/>
        </w:rPr>
        <w:t>]</w:t>
      </w:r>
    </w:p>
  </w:footnote>
  <w:footnote w:id="34">
    <w:p>
      <w:pPr>
        <w:pStyle w:val="Footnote"/>
      </w:pPr>
      <w:r>
        <w:rPr>
          <w:sz w:val="16"/>
          <w:szCs w:val="16"/>
          <w:vertAlign w:val="superscript"/>
        </w:rPr>
        <w:footnoteRef/>
      </w:r>
      <w:r>
        <w:rPr>
          <w:sz w:val="16"/>
          <w:szCs w:val="16"/>
          <w:rtl w:val="0"/>
        </w:rPr>
        <w:t xml:space="preserve"> Vijay</w:t>
      </w:r>
      <w:r>
        <w:rPr>
          <w:sz w:val="16"/>
          <w:szCs w:val="16"/>
          <w:rtl w:val="0"/>
          <w:lang w:val="en-US"/>
        </w:rPr>
        <w:t xml:space="preserve"> Prashad</w:t>
      </w:r>
      <w:r>
        <w:rPr>
          <w:sz w:val="16"/>
          <w:szCs w:val="16"/>
          <w:rtl w:val="0"/>
        </w:rPr>
        <w:t xml:space="preserve">. </w:t>
      </w:r>
      <w:r>
        <w:rPr>
          <w:i w:val="1"/>
          <w:iCs w:val="1"/>
          <w:sz w:val="16"/>
          <w:szCs w:val="16"/>
          <w:rtl w:val="0"/>
          <w:lang w:val="en-US"/>
        </w:rPr>
        <w:t xml:space="preserve">The </w:t>
      </w:r>
      <w:r>
        <w:rPr>
          <w:i w:val="1"/>
          <w:iCs w:val="1"/>
          <w:sz w:val="16"/>
          <w:szCs w:val="16"/>
          <w:rtl w:val="0"/>
          <w:lang w:val="en-US"/>
        </w:rPr>
        <w:t>P</w:t>
      </w:r>
      <w:r>
        <w:rPr>
          <w:i w:val="1"/>
          <w:iCs w:val="1"/>
          <w:sz w:val="16"/>
          <w:szCs w:val="16"/>
          <w:rtl w:val="0"/>
          <w:lang w:val="nl-NL"/>
        </w:rPr>
        <w:t xml:space="preserve">oorer </w:t>
      </w:r>
      <w:r>
        <w:rPr>
          <w:i w:val="1"/>
          <w:iCs w:val="1"/>
          <w:sz w:val="16"/>
          <w:szCs w:val="16"/>
          <w:rtl w:val="0"/>
          <w:lang w:val="en-US"/>
        </w:rPr>
        <w:t>N</w:t>
      </w:r>
      <w:r>
        <w:rPr>
          <w:i w:val="1"/>
          <w:iCs w:val="1"/>
          <w:sz w:val="16"/>
          <w:szCs w:val="16"/>
          <w:rtl w:val="0"/>
          <w:lang w:val="en-US"/>
        </w:rPr>
        <w:t xml:space="preserve">ations: A </w:t>
      </w:r>
      <w:r>
        <w:rPr>
          <w:i w:val="1"/>
          <w:iCs w:val="1"/>
          <w:sz w:val="16"/>
          <w:szCs w:val="16"/>
          <w:rtl w:val="0"/>
          <w:lang w:val="en-US"/>
        </w:rPr>
        <w:t>P</w:t>
      </w:r>
      <w:r>
        <w:rPr>
          <w:i w:val="1"/>
          <w:iCs w:val="1"/>
          <w:sz w:val="16"/>
          <w:szCs w:val="16"/>
          <w:rtl w:val="0"/>
          <w:lang w:val="en-US"/>
        </w:rPr>
        <w:t xml:space="preserve">ossible </w:t>
      </w:r>
      <w:r>
        <w:rPr>
          <w:i w:val="1"/>
          <w:iCs w:val="1"/>
          <w:sz w:val="16"/>
          <w:szCs w:val="16"/>
          <w:rtl w:val="0"/>
          <w:lang w:val="en-US"/>
        </w:rPr>
        <w:t>H</w:t>
      </w:r>
      <w:r>
        <w:rPr>
          <w:i w:val="1"/>
          <w:iCs w:val="1"/>
          <w:sz w:val="16"/>
          <w:szCs w:val="16"/>
          <w:rtl w:val="0"/>
          <w:lang w:val="en-US"/>
        </w:rPr>
        <w:t xml:space="preserve">istory of the </w:t>
      </w:r>
      <w:r>
        <w:rPr>
          <w:i w:val="1"/>
          <w:iCs w:val="1"/>
          <w:sz w:val="16"/>
          <w:szCs w:val="16"/>
          <w:rtl w:val="0"/>
          <w:lang w:val="en-US"/>
        </w:rPr>
        <w:t>G</w:t>
      </w:r>
      <w:r>
        <w:rPr>
          <w:i w:val="1"/>
          <w:iCs w:val="1"/>
          <w:sz w:val="16"/>
          <w:szCs w:val="16"/>
          <w:rtl w:val="0"/>
        </w:rPr>
        <w:t xml:space="preserve">lobal </w:t>
      </w:r>
      <w:r>
        <w:rPr>
          <w:i w:val="1"/>
          <w:iCs w:val="1"/>
          <w:sz w:val="16"/>
          <w:szCs w:val="16"/>
          <w:rtl w:val="0"/>
          <w:lang w:val="en-US"/>
        </w:rPr>
        <w:t>S</w:t>
      </w:r>
      <w:r>
        <w:rPr>
          <w:i w:val="1"/>
          <w:iCs w:val="1"/>
          <w:sz w:val="16"/>
          <w:szCs w:val="16"/>
          <w:rtl w:val="0"/>
          <w:lang w:val="en-US"/>
        </w:rPr>
        <w:t>outh</w:t>
      </w:r>
      <w:r>
        <w:rPr>
          <w:sz w:val="16"/>
          <w:szCs w:val="16"/>
          <w:rtl w:val="0"/>
          <w:lang w:val="it-IT"/>
        </w:rPr>
        <w:t>. Verso Books, 2014</w:t>
      </w:r>
      <w:r>
        <w:rPr>
          <w:sz w:val="16"/>
          <w:szCs w:val="16"/>
          <w:rtl w:val="0"/>
          <w:lang w:val="en-US"/>
        </w:rPr>
        <w:t>,</w:t>
      </w:r>
      <w:r>
        <w:rPr>
          <w:sz w:val="16"/>
          <w:szCs w:val="16"/>
          <w:rtl w:val="0"/>
        </w:rPr>
        <w:t xml:space="preserve"> p. 81.</w:t>
      </w:r>
    </w:p>
  </w:footnote>
  <w:footnote w:id="35">
    <w:p>
      <w:pPr>
        <w:pStyle w:val="Footnote"/>
      </w:pPr>
      <w:r>
        <w:rPr>
          <w:sz w:val="16"/>
          <w:szCs w:val="16"/>
          <w:vertAlign w:val="superscript"/>
        </w:rPr>
        <w:footnoteRef/>
      </w:r>
      <w:r>
        <w:rPr>
          <w:sz w:val="16"/>
          <w:szCs w:val="16"/>
          <w:rtl w:val="0"/>
        </w:rPr>
        <w:t xml:space="preserve"> </w:t>
      </w:r>
      <w:r>
        <w:rPr>
          <w:sz w:val="16"/>
          <w:szCs w:val="16"/>
          <w:rtl w:val="0"/>
          <w:lang w:val="en-US"/>
        </w:rPr>
        <w:t xml:space="preserve">Note, for example, Bedjaoui's critique of the G77's prioritisation of achieving international consensus, which Bedjaoui viewed as a mistake: Mohammed Bedjaoui, </w:t>
      </w:r>
      <w:r>
        <w:rPr>
          <w:i w:val="1"/>
          <w:iCs w:val="1"/>
          <w:sz w:val="16"/>
          <w:szCs w:val="16"/>
          <w:rtl w:val="0"/>
          <w:lang w:val="en-US"/>
        </w:rPr>
        <w:t>Towards a New International Economic Order</w:t>
      </w:r>
      <w:r>
        <w:rPr>
          <w:sz w:val="16"/>
          <w:szCs w:val="16"/>
          <w:rtl w:val="0"/>
          <w:lang w:val="en-US"/>
        </w:rPr>
        <w:t>, 1979, p</w:t>
      </w:r>
      <w:r>
        <w:rPr>
          <w:sz w:val="16"/>
          <w:szCs w:val="16"/>
          <w:rtl w:val="0"/>
        </w:rPr>
        <w:t>. 173.</w:t>
      </w:r>
    </w:p>
  </w:footnote>
  <w:footnote w:id="36">
    <w:p>
      <w:pPr>
        <w:pStyle w:val="Footnote"/>
      </w:pPr>
      <w:r>
        <w:rPr>
          <w:sz w:val="16"/>
          <w:szCs w:val="16"/>
          <w:vertAlign w:val="superscript"/>
        </w:rPr>
        <w:footnoteRef/>
      </w:r>
      <w:r>
        <w:rPr>
          <w:sz w:val="16"/>
          <w:szCs w:val="16"/>
          <w:rtl w:val="0"/>
          <w:lang w:val="en-US"/>
        </w:rPr>
        <w:t xml:space="preserve"> Bedjaoui, Towards a New International Economic Order, pp. 59-60, 86-87.</w:t>
      </w:r>
    </w:p>
  </w:footnote>
  <w:footnote w:id="37">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Ibid.:</w:t>
      </w:r>
    </w:p>
    <w:p>
      <w:pPr>
        <w:pStyle w:val="Footnote"/>
        <w:rPr>
          <w:sz w:val="16"/>
          <w:szCs w:val="16"/>
        </w:rPr>
      </w:pPr>
    </w:p>
    <w:p>
      <w:pPr>
        <w:pStyle w:val="Footnote"/>
      </w:pPr>
      <w:r>
        <w:rPr>
          <w:sz w:val="16"/>
          <w:szCs w:val="16"/>
          <w:rtl w:val="0"/>
          <w:lang w:val="en-US"/>
        </w:rPr>
        <w:t>'</w:t>
      </w:r>
      <w:r>
        <w:rPr>
          <w:sz w:val="16"/>
          <w:szCs w:val="16"/>
          <w:rtl w:val="0"/>
          <w:lang w:val="en-US"/>
        </w:rPr>
        <w:t>The older States consider the new ones to be bound by the provisions of international law which were in force when the new States came into being. This idea is based on a formal principle according to which, when a State is admitted into the international community,</w:t>
      </w:r>
      <w:r>
        <w:rPr>
          <w:sz w:val="16"/>
          <w:szCs w:val="16"/>
          <w:rtl w:val="0"/>
        </w:rPr>
        <w:t> </w:t>
      </w:r>
      <w:r>
        <w:rPr>
          <w:sz w:val="16"/>
          <w:szCs w:val="16"/>
          <w:rtl w:val="0"/>
          <w:lang w:val="en-US"/>
        </w:rPr>
        <w:t>it must ipso facto accept that community</w:t>
      </w:r>
      <w:r>
        <w:rPr>
          <w:sz w:val="16"/>
          <w:szCs w:val="16"/>
          <w:rtl w:val="1"/>
        </w:rPr>
        <w:t>’</w:t>
      </w:r>
      <w:r>
        <w:rPr>
          <w:sz w:val="16"/>
          <w:szCs w:val="16"/>
          <w:rtl w:val="0"/>
          <w:lang w:val="en-US"/>
        </w:rPr>
        <w:t>s norms and institutions. The price the new State is required to pay for its entry into the international order is thus the stability of international law and of international relations.</w:t>
      </w:r>
      <w:r>
        <w:rPr>
          <w:sz w:val="16"/>
          <w:szCs w:val="16"/>
          <w:rtl w:val="0"/>
          <w:lang w:val="en-US"/>
        </w:rPr>
        <w:t>' p. 101.</w:t>
      </w:r>
    </w:p>
  </w:footnote>
  <w:footnote w:id="38">
    <w:p>
      <w:pPr>
        <w:pStyle w:val="Footnote"/>
      </w:pPr>
      <w:r>
        <w:rPr>
          <w:sz w:val="16"/>
          <w:szCs w:val="16"/>
          <w:vertAlign w:val="superscript"/>
        </w:rPr>
        <w:footnoteRef/>
      </w:r>
      <w:r>
        <w:rPr>
          <w:sz w:val="16"/>
          <w:szCs w:val="16"/>
          <w:rtl w:val="0"/>
          <w:lang w:val="nl-NL"/>
        </w:rPr>
        <w:t xml:space="preserve"> Bedjaoui, Towards a New International Economic Order, pp. 131-32; Schrijver, Sovereignty Over Natural Resources, pp. 31-32; Anghie, Imperialism, pp. 212-20.</w:t>
      </w:r>
    </w:p>
  </w:footnote>
  <w:footnote w:id="39">
    <w:p>
      <w:pPr>
        <w:pStyle w:val="Footnote"/>
      </w:pPr>
      <w:r>
        <w:rPr>
          <w:sz w:val="16"/>
          <w:szCs w:val="16"/>
          <w:vertAlign w:val="superscript"/>
        </w:rPr>
        <w:footnoteRef/>
      </w:r>
      <w:r>
        <w:rPr>
          <w:sz w:val="16"/>
          <w:szCs w:val="16"/>
          <w:rtl w:val="0"/>
          <w:lang w:val="en-US"/>
        </w:rPr>
        <w:t xml:space="preserve"> Bedjaoui, Towards a New International Economic Order, p</w:t>
      </w:r>
      <w:r>
        <w:rPr>
          <w:sz w:val="16"/>
          <w:szCs w:val="16"/>
          <w:rtl w:val="0"/>
          <w:lang w:val="en-US"/>
        </w:rPr>
        <w:t>. 23.</w:t>
      </w:r>
    </w:p>
  </w:footnote>
  <w:footnote w:id="40">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Ibid.:</w:t>
      </w:r>
    </w:p>
    <w:p>
      <w:pPr>
        <w:pStyle w:val="Footnote"/>
        <w:rPr>
          <w:sz w:val="16"/>
          <w:szCs w:val="16"/>
        </w:rPr>
      </w:pPr>
    </w:p>
    <w:p>
      <w:pPr>
        <w:pStyle w:val="Footnote"/>
        <w:rPr>
          <w:sz w:val="16"/>
          <w:szCs w:val="16"/>
        </w:rPr>
      </w:pPr>
      <w:r>
        <w:rPr>
          <w:sz w:val="16"/>
          <w:szCs w:val="16"/>
          <w:rtl w:val="0"/>
          <w:lang w:val="en-US"/>
        </w:rPr>
        <w:t>'In the recent past -- not to say the present -- traditional international law was an obstacle to decolonization, although decolonization today represents a stimulus to the transformation of that law.</w:t>
      </w:r>
      <w:r>
        <w:rPr>
          <w:sz w:val="16"/>
          <w:szCs w:val="16"/>
          <w:rtl w:val="0"/>
          <w:lang w:val="en-US"/>
        </w:rPr>
        <w:t>'</w:t>
      </w:r>
    </w:p>
    <w:p>
      <w:pPr>
        <w:pStyle w:val="Footnote"/>
        <w:rPr>
          <w:sz w:val="16"/>
          <w:szCs w:val="16"/>
        </w:rPr>
      </w:pPr>
      <w:r>
        <w:rPr>
          <w:sz w:val="16"/>
          <w:szCs w:val="16"/>
          <w:rtl w:val="0"/>
          <w:lang w:val="en-US"/>
        </w:rPr>
        <w:t>'</w:t>
      </w:r>
      <w:r>
        <w:rPr>
          <w:sz w:val="16"/>
          <w:szCs w:val="16"/>
          <w:rtl w:val="0"/>
          <w:lang w:val="en-US"/>
        </w:rPr>
        <w:t>Accordingly, it can be maintained that while decolonization may have taken place without the help of international law, the latter is now being formed with the help of decolonization</w:t>
      </w:r>
      <w:r>
        <w:rPr>
          <w:sz w:val="16"/>
          <w:szCs w:val="16"/>
          <w:rtl w:val="0"/>
          <w:lang w:val="en-US"/>
        </w:rPr>
        <w:t>.' pp. 62-63.</w:t>
      </w:r>
    </w:p>
    <w:p>
      <w:pPr>
        <w:pStyle w:val="Footnote"/>
        <w:rPr>
          <w:sz w:val="16"/>
          <w:szCs w:val="16"/>
        </w:rPr>
      </w:pPr>
    </w:p>
    <w:p>
      <w:pPr>
        <w:pStyle w:val="Footnote"/>
      </w:pPr>
      <w:r>
        <w:rPr>
          <w:sz w:val="16"/>
          <w:szCs w:val="16"/>
          <w:rtl w:val="0"/>
          <w:lang w:val="en-US"/>
        </w:rPr>
        <w:t>'</w:t>
      </w:r>
      <w:r>
        <w:rPr>
          <w:sz w:val="16"/>
          <w:szCs w:val="16"/>
          <w:rtl w:val="0"/>
          <w:lang w:val="en-US"/>
        </w:rPr>
        <w:t>But this law, which has done nothing to help the poor countries, may nevertheless be improved thanks to them. This is the task which the developing countries have undertaken, being resolved to free international law from its paralysing formalism and its heavy armour of hypocrisy, and to steer it towards a nobler, more humane and more essential goal -- the promise of development.</w:t>
      </w:r>
      <w:r>
        <w:rPr>
          <w:sz w:val="16"/>
          <w:szCs w:val="16"/>
          <w:rtl w:val="1"/>
        </w:rPr>
        <w:t xml:space="preserve">’ </w:t>
      </w:r>
      <w:r>
        <w:rPr>
          <w:sz w:val="16"/>
          <w:szCs w:val="16"/>
          <w:rtl w:val="0"/>
        </w:rPr>
        <w:t>pp. 62-63.</w:t>
      </w:r>
    </w:p>
  </w:footnote>
  <w:footnote w:id="41">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Mohammed Bedjaoui, </w:t>
      </w:r>
      <w:r>
        <w:rPr>
          <w:i w:val="1"/>
          <w:iCs w:val="1"/>
          <w:sz w:val="16"/>
          <w:szCs w:val="16"/>
          <w:rtl w:val="0"/>
          <w:lang w:val="en-US"/>
        </w:rPr>
        <w:t>Towards a New International Economic Order</w:t>
      </w:r>
      <w:r>
        <w:rPr>
          <w:sz w:val="16"/>
          <w:szCs w:val="16"/>
          <w:rtl w:val="0"/>
          <w:lang w:val="en-US"/>
        </w:rPr>
        <w:t>, 1979, pp. 86-87</w:t>
      </w:r>
    </w:p>
    <w:p>
      <w:pPr>
        <w:pStyle w:val="Footnote"/>
        <w:rPr>
          <w:sz w:val="16"/>
          <w:szCs w:val="16"/>
        </w:rPr>
      </w:pPr>
    </w:p>
    <w:p>
      <w:pPr>
        <w:pStyle w:val="Footnote"/>
        <w:rPr>
          <w:i w:val="1"/>
          <w:iCs w:val="1"/>
          <w:sz w:val="16"/>
          <w:szCs w:val="16"/>
        </w:rPr>
      </w:pPr>
      <w:r>
        <w:rPr>
          <w:sz w:val="16"/>
          <w:szCs w:val="16"/>
          <w:rtl w:val="0"/>
          <w:lang w:val="en-US"/>
        </w:rPr>
        <w:t xml:space="preserve">This principle is articulated in the </w:t>
      </w:r>
      <w:r>
        <w:rPr>
          <w:i w:val="1"/>
          <w:iCs w:val="1"/>
          <w:sz w:val="16"/>
          <w:szCs w:val="16"/>
          <w:rtl w:val="0"/>
          <w:lang w:val="en-US"/>
        </w:rPr>
        <w:t>Declaration on the Establishment of the NIEO</w:t>
      </w:r>
      <w:r>
        <w:rPr>
          <w:sz w:val="16"/>
          <w:szCs w:val="16"/>
          <w:rtl w:val="0"/>
          <w:lang w:val="en-US"/>
        </w:rPr>
        <w:t>:</w:t>
      </w:r>
    </w:p>
    <w:p>
      <w:pPr>
        <w:pStyle w:val="Footnote"/>
        <w:rPr>
          <w:i w:val="1"/>
          <w:iCs w:val="1"/>
          <w:sz w:val="16"/>
          <w:szCs w:val="16"/>
        </w:rPr>
      </w:pPr>
    </w:p>
    <w:p>
      <w:pPr>
        <w:pStyle w:val="Footnote"/>
        <w:rPr>
          <w:i w:val="1"/>
          <w:iCs w:val="1"/>
          <w:sz w:val="16"/>
          <w:szCs w:val="16"/>
        </w:rPr>
      </w:pPr>
      <w:r>
        <w:rPr>
          <w:i w:val="1"/>
          <w:iCs w:val="1"/>
          <w:sz w:val="16"/>
          <w:szCs w:val="16"/>
          <w:rtl w:val="0"/>
          <w:lang w:val="en-US"/>
        </w:rPr>
        <w:t>'</w:t>
      </w:r>
      <w:r>
        <w:rPr>
          <w:i w:val="1"/>
          <w:iCs w:val="1"/>
          <w:sz w:val="16"/>
          <w:szCs w:val="16"/>
          <w:rtl w:val="0"/>
          <w:lang w:val="en-US"/>
        </w:rPr>
        <w:t>Full permanent sovereignty of every State</w:t>
      </w:r>
      <w:r>
        <w:rPr>
          <w:i w:val="1"/>
          <w:iCs w:val="1"/>
          <w:sz w:val="16"/>
          <w:szCs w:val="16"/>
          <w:rtl w:val="0"/>
          <w:lang w:val="en-US"/>
        </w:rPr>
        <w:t xml:space="preserve"> </w:t>
      </w:r>
      <w:r>
        <w:rPr>
          <w:i w:val="1"/>
          <w:iCs w:val="1"/>
          <w:sz w:val="16"/>
          <w:szCs w:val="16"/>
          <w:rtl w:val="0"/>
          <w:lang w:val="en-US"/>
        </w:rPr>
        <w:t>over its natural resources and all economic activities.</w:t>
      </w:r>
      <w:r>
        <w:rPr>
          <w:i w:val="1"/>
          <w:iCs w:val="1"/>
          <w:sz w:val="16"/>
          <w:szCs w:val="16"/>
          <w:rtl w:val="0"/>
          <w:lang w:val="en-US"/>
        </w:rPr>
        <w:t xml:space="preserve"> I</w:t>
      </w:r>
      <w:r>
        <w:rPr>
          <w:i w:val="1"/>
          <w:iCs w:val="1"/>
          <w:sz w:val="16"/>
          <w:szCs w:val="16"/>
          <w:rtl w:val="0"/>
          <w:lang w:val="en-US"/>
        </w:rPr>
        <w:t>n order to safeguard these resources, each State is entitled to exercise effective control over them and</w:t>
      </w:r>
      <w:r>
        <w:rPr>
          <w:i w:val="1"/>
          <w:iCs w:val="1"/>
          <w:sz w:val="16"/>
          <w:szCs w:val="16"/>
          <w:rtl w:val="0"/>
          <w:lang w:val="en-US"/>
        </w:rPr>
        <w:t xml:space="preserve"> </w:t>
      </w:r>
      <w:r>
        <w:rPr>
          <w:i w:val="1"/>
          <w:iCs w:val="1"/>
          <w:sz w:val="16"/>
          <w:szCs w:val="16"/>
          <w:rtl w:val="0"/>
          <w:lang w:val="en-US"/>
        </w:rPr>
        <w:t>their exploitation with means suitable to its own situation, including the right to nationalization or transfer of ownership to its nationals, this right be- ing an expression of the full permanent sovereignty of</w:t>
      </w:r>
      <w:r>
        <w:rPr>
          <w:i w:val="1"/>
          <w:iCs w:val="1"/>
          <w:sz w:val="16"/>
          <w:szCs w:val="16"/>
          <w:rtl w:val="0"/>
          <w:lang w:val="en-US"/>
        </w:rPr>
        <w:t xml:space="preserve"> </w:t>
      </w:r>
      <w:r>
        <w:rPr>
          <w:i w:val="1"/>
          <w:iCs w:val="1"/>
          <w:sz w:val="16"/>
          <w:szCs w:val="16"/>
          <w:rtl w:val="0"/>
          <w:lang w:val="en-US"/>
        </w:rPr>
        <w:t>the State. No State may be subjected to economic, political or any other. type of coercion to prevent the free and full exercise of this inalienable right</w:t>
      </w:r>
      <w:r>
        <w:rPr>
          <w:i w:val="1"/>
          <w:iCs w:val="1"/>
          <w:sz w:val="16"/>
          <w:szCs w:val="16"/>
          <w:rtl w:val="0"/>
          <w:lang w:val="en-US"/>
        </w:rPr>
        <w:t>'</w:t>
      </w:r>
    </w:p>
    <w:p>
      <w:pPr>
        <w:pStyle w:val="Footnote"/>
        <w:rPr>
          <w:i w:val="1"/>
          <w:iCs w:val="1"/>
          <w:sz w:val="16"/>
          <w:szCs w:val="16"/>
        </w:rPr>
      </w:pPr>
    </w:p>
    <w:p>
      <w:pPr>
        <w:pStyle w:val="Footnote"/>
      </w:pPr>
      <w:r>
        <w:rPr>
          <w:i w:val="1"/>
          <w:iCs w:val="1"/>
          <w:sz w:val="16"/>
          <w:szCs w:val="16"/>
          <w:rtl w:val="0"/>
          <w:lang w:val="en-US"/>
        </w:rPr>
        <w:t>'(a) To put an end to all forms of foreign occupation, racial discrimination, apartheid, colonial, neo-colonial and alien domination and exploitation through the exercise of permanent sovereignty over natural resources;'</w:t>
      </w:r>
      <w:r>
        <w:rPr>
          <w:i w:val="1"/>
          <w:iCs w:val="1"/>
          <w:sz w:val="16"/>
          <w:szCs w:val="16"/>
          <w:rtl w:val="0"/>
          <w:lang w:val="en-US"/>
        </w:rPr>
        <w:t xml:space="preserve"> </w:t>
      </w:r>
      <w:r>
        <w:rPr>
          <w:sz w:val="16"/>
          <w:szCs w:val="16"/>
          <w:rtl w:val="0"/>
          <w:lang w:val="en-US"/>
        </w:rPr>
        <w:t>[</w:t>
      </w:r>
      <w:r>
        <w:rPr>
          <w:rStyle w:val="Hyperlink.0"/>
          <w:sz w:val="16"/>
          <w:szCs w:val="16"/>
        </w:rPr>
        <w:fldChar w:fldCharType="begin" w:fldLock="0"/>
      </w:r>
      <w:r>
        <w:rPr>
          <w:rStyle w:val="Hyperlink.0"/>
          <w:sz w:val="16"/>
          <w:szCs w:val="16"/>
        </w:rPr>
        <w:instrText xml:space="preserve"> HYPERLINK "https://digitallibrary.un.org/record/218450?ln=en"</w:instrText>
      </w:r>
      <w:r>
        <w:rPr>
          <w:rStyle w:val="Hyperlink.0"/>
          <w:sz w:val="16"/>
          <w:szCs w:val="16"/>
        </w:rPr>
        <w:fldChar w:fldCharType="separate" w:fldLock="0"/>
      </w:r>
      <w:r>
        <w:rPr>
          <w:rStyle w:val="Hyperlink.0"/>
          <w:sz w:val="16"/>
          <w:szCs w:val="16"/>
          <w:rtl w:val="0"/>
          <w:lang w:val="en-US"/>
        </w:rPr>
        <w:t>https://digitallibrary.un.org/record/218450?ln=en</w:t>
      </w:r>
      <w:r>
        <w:rPr>
          <w:sz w:val="16"/>
          <w:szCs w:val="16"/>
        </w:rPr>
        <w:fldChar w:fldCharType="end" w:fldLock="0"/>
      </w:r>
      <w:r>
        <w:rPr>
          <w:sz w:val="16"/>
          <w:szCs w:val="16"/>
          <w:rtl w:val="0"/>
          <w:lang w:val="en-US"/>
        </w:rPr>
        <w:t>]</w:t>
      </w:r>
    </w:p>
  </w:footnote>
  <w:footnote w:id="42">
    <w:p>
      <w:pPr>
        <w:pStyle w:val="Footnote"/>
      </w:pPr>
      <w:r>
        <w:rPr>
          <w:sz w:val="16"/>
          <w:szCs w:val="16"/>
          <w:vertAlign w:val="superscript"/>
        </w:rPr>
        <w:footnoteRef/>
      </w:r>
      <w:r>
        <w:rPr>
          <w:sz w:val="16"/>
          <w:szCs w:val="16"/>
          <w:rtl w:val="0"/>
        </w:rPr>
        <w:t xml:space="preserve"> </w:t>
      </w:r>
      <w:r>
        <w:rPr>
          <w:i w:val="1"/>
          <w:iCs w:val="1"/>
          <w:sz w:val="16"/>
          <w:szCs w:val="16"/>
          <w:rtl w:val="0"/>
          <w:lang w:val="en-US"/>
        </w:rPr>
        <w:t>To put an end to all forms of foreign occupation, racial discrimination, apartheid, colonial, neo-colonial and alien domination and exploitation through the exercise of permanent sovereignty over natural resources;'</w:t>
      </w:r>
      <w:r>
        <w:rPr>
          <w:i w:val="1"/>
          <w:iCs w:val="1"/>
          <w:sz w:val="16"/>
          <w:szCs w:val="16"/>
          <w:rtl w:val="0"/>
          <w:lang w:val="en-US"/>
        </w:rPr>
        <w:t xml:space="preserve"> </w:t>
      </w:r>
      <w:r>
        <w:rPr>
          <w:sz w:val="16"/>
          <w:szCs w:val="16"/>
          <w:rtl w:val="0"/>
          <w:lang w:val="en-US"/>
        </w:rPr>
        <w:t>[</w:t>
      </w:r>
      <w:r>
        <w:rPr>
          <w:rStyle w:val="Hyperlink.0"/>
          <w:sz w:val="16"/>
          <w:szCs w:val="16"/>
        </w:rPr>
        <w:fldChar w:fldCharType="begin" w:fldLock="0"/>
      </w:r>
      <w:r>
        <w:rPr>
          <w:rStyle w:val="Hyperlink.0"/>
          <w:sz w:val="16"/>
          <w:szCs w:val="16"/>
        </w:rPr>
        <w:instrText xml:space="preserve"> HYPERLINK "https://digitallibrary.un.org/record/218450?ln=en"</w:instrText>
      </w:r>
      <w:r>
        <w:rPr>
          <w:rStyle w:val="Hyperlink.0"/>
          <w:sz w:val="16"/>
          <w:szCs w:val="16"/>
        </w:rPr>
        <w:fldChar w:fldCharType="separate" w:fldLock="0"/>
      </w:r>
      <w:r>
        <w:rPr>
          <w:rStyle w:val="Hyperlink.0"/>
          <w:sz w:val="16"/>
          <w:szCs w:val="16"/>
          <w:rtl w:val="0"/>
          <w:lang w:val="en-US"/>
        </w:rPr>
        <w:t>https://digitallibrary.un.org/record/218450?ln=en</w:t>
      </w:r>
      <w:r>
        <w:rPr>
          <w:sz w:val="16"/>
          <w:szCs w:val="16"/>
        </w:rPr>
        <w:fldChar w:fldCharType="end" w:fldLock="0"/>
      </w:r>
      <w:r>
        <w:rPr>
          <w:sz w:val="16"/>
          <w:szCs w:val="16"/>
          <w:rtl w:val="0"/>
          <w:lang w:val="en-US"/>
        </w:rPr>
        <w:t>]</w:t>
      </w:r>
    </w:p>
  </w:footnote>
  <w:footnote w:id="43">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This was a key part of the </w:t>
      </w:r>
      <w:r>
        <w:rPr>
          <w:i w:val="1"/>
          <w:iCs w:val="1"/>
          <w:sz w:val="16"/>
          <w:szCs w:val="16"/>
          <w:rtl w:val="0"/>
          <w:lang w:val="en-US"/>
        </w:rPr>
        <w:t>Programme of Action</w:t>
      </w:r>
      <w:r>
        <w:rPr>
          <w:sz w:val="16"/>
          <w:szCs w:val="16"/>
          <w:rtl w:val="0"/>
          <w:lang w:val="en-US"/>
        </w:rPr>
        <w:t>, which also showed the importance of reaching a compromise between the G77's OPEC and NO-PEC members. See Section VII, 1 (a):</w:t>
      </w:r>
    </w:p>
    <w:p>
      <w:pPr>
        <w:pStyle w:val="Footnote"/>
        <w:rPr>
          <w:sz w:val="16"/>
          <w:szCs w:val="16"/>
        </w:rPr>
      </w:pPr>
    </w:p>
    <w:p>
      <w:pPr>
        <w:pStyle w:val="Footnote"/>
      </w:pPr>
      <w:r>
        <w:rPr>
          <w:sz w:val="16"/>
          <w:szCs w:val="16"/>
          <w:rtl w:val="0"/>
          <w:lang w:val="en-US"/>
        </w:rPr>
        <w:t>'</w:t>
      </w:r>
      <w:r>
        <w:rPr>
          <w:sz w:val="16"/>
          <w:szCs w:val="16"/>
          <w:rtl w:val="0"/>
          <w:lang w:val="en-US"/>
        </w:rPr>
        <w:t>the increasingly effective mobilization by the whole group of oil-exporting countries of their natural resources for the benefit of their economic development is to be welcomed. At the same time there is the paramount need for co-operation among the developing countries in evolving urgently and in a spirit of</w:t>
      </w:r>
      <w:r>
        <w:rPr>
          <w:sz w:val="16"/>
          <w:szCs w:val="16"/>
          <w:rtl w:val="0"/>
          <w:lang w:val="en-US"/>
        </w:rPr>
        <w:t xml:space="preserve"> </w:t>
      </w:r>
      <w:r>
        <w:rPr>
          <w:sz w:val="16"/>
          <w:szCs w:val="16"/>
          <w:rtl w:val="0"/>
          <w:lang w:val="en-US"/>
        </w:rPr>
        <w:t>solidarity all possible means to assist developing countries to cope with the immediate problems resulting</w:t>
      </w:r>
      <w:r>
        <w:rPr>
          <w:sz w:val="16"/>
          <w:szCs w:val="16"/>
          <w:rtl w:val="0"/>
          <w:lang w:val="en-US"/>
        </w:rPr>
        <w:t xml:space="preserve"> </w:t>
      </w:r>
      <w:r>
        <w:rPr>
          <w:sz w:val="16"/>
          <w:szCs w:val="16"/>
          <w:rtl w:val="0"/>
          <w:lang w:val="en-US"/>
        </w:rPr>
        <w:t>from this legitimate and perfectly justified action. The measures al</w:t>
      </w:r>
      <w:r>
        <w:rPr>
          <w:sz w:val="16"/>
          <w:szCs w:val="16"/>
          <w:rtl w:val="0"/>
          <w:lang w:val="en-US"/>
        </w:rPr>
        <w:t>r</w:t>
      </w:r>
      <w:r>
        <w:rPr>
          <w:sz w:val="16"/>
          <w:szCs w:val="16"/>
          <w:rtl w:val="0"/>
          <w:lang w:val="en-US"/>
        </w:rPr>
        <w:t>eady taken in this regard are a positive indication of the evolving cooperation between developing countries</w:t>
      </w:r>
      <w:r>
        <w:rPr>
          <w:sz w:val="16"/>
          <w:szCs w:val="16"/>
          <w:rtl w:val="0"/>
          <w:lang w:val="en-US"/>
        </w:rPr>
        <w:t>'</w:t>
      </w:r>
    </w:p>
  </w:footnote>
  <w:footnote w:id="44">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Mohammed Bedjaoui, </w:t>
      </w:r>
      <w:r>
        <w:rPr>
          <w:i w:val="1"/>
          <w:iCs w:val="1"/>
          <w:sz w:val="16"/>
          <w:szCs w:val="16"/>
          <w:rtl w:val="0"/>
          <w:lang w:val="en-US"/>
        </w:rPr>
        <w:t>Towards a New International Economic Order</w:t>
      </w:r>
      <w:r>
        <w:rPr>
          <w:sz w:val="16"/>
          <w:szCs w:val="16"/>
          <w:rtl w:val="0"/>
          <w:lang w:val="en-US"/>
        </w:rPr>
        <w:t xml:space="preserve">, 1979, pp. 193-194. </w:t>
      </w:r>
      <w:r>
        <w:rPr>
          <w:sz w:val="16"/>
          <w:szCs w:val="16"/>
          <w:rtl w:val="0"/>
          <w:lang w:val="en-US"/>
        </w:rPr>
        <w:t>'These countries thus seek actively to make the United Nations the essential body for the elaboration of decisions, and to make this organization more attentive to their own desires.</w:t>
      </w:r>
      <w:r>
        <w:rPr>
          <w:sz w:val="16"/>
          <w:szCs w:val="16"/>
          <w:rtl w:val="1"/>
        </w:rPr>
        <w:t xml:space="preserve">’ </w:t>
      </w:r>
      <w:r>
        <w:rPr>
          <w:sz w:val="16"/>
          <w:szCs w:val="16"/>
          <w:rtl w:val="0"/>
        </w:rPr>
        <w:t>pp. 196-197.</w:t>
      </w:r>
    </w:p>
    <w:p>
      <w:pPr>
        <w:pStyle w:val="Footnote"/>
        <w:rPr>
          <w:sz w:val="16"/>
          <w:szCs w:val="16"/>
        </w:rPr>
      </w:pPr>
    </w:p>
    <w:p>
      <w:pPr>
        <w:pStyle w:val="Footnote"/>
        <w:rPr>
          <w:sz w:val="16"/>
          <w:szCs w:val="16"/>
        </w:rPr>
      </w:pPr>
      <w:r>
        <w:rPr>
          <w:sz w:val="16"/>
          <w:szCs w:val="16"/>
          <w:rtl w:val="0"/>
          <w:lang w:val="en-US"/>
        </w:rPr>
        <w:t xml:space="preserve">This was an explicit goal of the founding documents, as the </w:t>
      </w:r>
      <w:r>
        <w:rPr>
          <w:i w:val="1"/>
          <w:iCs w:val="1"/>
          <w:sz w:val="16"/>
          <w:szCs w:val="16"/>
          <w:rtl w:val="0"/>
          <w:lang w:val="en-US"/>
        </w:rPr>
        <w:t xml:space="preserve">Declaration on the Establishment of a NIEO </w:t>
      </w:r>
      <w:r>
        <w:rPr>
          <w:sz w:val="16"/>
          <w:szCs w:val="16"/>
          <w:rtl w:val="0"/>
          <w:lang w:val="en-US"/>
        </w:rPr>
        <w:t>makes clear:</w:t>
      </w:r>
    </w:p>
    <w:p>
      <w:pPr>
        <w:pStyle w:val="Footnote"/>
        <w:rPr>
          <w:sz w:val="16"/>
          <w:szCs w:val="16"/>
        </w:rPr>
      </w:pPr>
    </w:p>
    <w:p>
      <w:pPr>
        <w:pStyle w:val="Footnote"/>
      </w:pPr>
      <w:r>
        <w:rPr>
          <w:sz w:val="16"/>
          <w:szCs w:val="16"/>
          <w:rtl w:val="0"/>
          <w:lang w:val="en-US"/>
        </w:rPr>
        <w:t>'</w:t>
      </w:r>
      <w:r>
        <w:rPr>
          <w:sz w:val="16"/>
          <w:szCs w:val="16"/>
          <w:rtl w:val="0"/>
        </w:rPr>
        <w:t>all</w:t>
      </w:r>
      <w:r>
        <w:rPr>
          <w:sz w:val="16"/>
          <w:szCs w:val="16"/>
          <w:rtl w:val="0"/>
          <w:lang w:val="en-US"/>
        </w:rPr>
        <w:t xml:space="preserve"> </w:t>
      </w:r>
      <w:r>
        <w:rPr>
          <w:sz w:val="16"/>
          <w:szCs w:val="16"/>
          <w:rtl w:val="0"/>
          <w:lang w:val="en-US"/>
        </w:rPr>
        <w:t>Member States pledge</w:t>
      </w:r>
      <w:r>
        <w:rPr>
          <w:sz w:val="16"/>
          <w:szCs w:val="16"/>
          <w:rtl w:val="0"/>
          <w:lang w:val="en-US"/>
        </w:rPr>
        <w:t xml:space="preserve"> </w:t>
      </w:r>
      <w:r>
        <w:rPr>
          <w:sz w:val="16"/>
          <w:szCs w:val="16"/>
          <w:rtl w:val="0"/>
          <w:lang w:val="en-US"/>
        </w:rPr>
        <w:t>to make</w:t>
      </w:r>
      <w:r>
        <w:rPr>
          <w:sz w:val="16"/>
          <w:szCs w:val="16"/>
          <w:rtl w:val="0"/>
          <w:lang w:val="en-US"/>
        </w:rPr>
        <w:t xml:space="preserve"> </w:t>
      </w:r>
      <w:r>
        <w:rPr>
          <w:sz w:val="16"/>
          <w:szCs w:val="16"/>
          <w:rtl w:val="0"/>
          <w:lang w:val="en-US"/>
        </w:rPr>
        <w:t>full</w:t>
      </w:r>
      <w:r>
        <w:rPr>
          <w:sz w:val="16"/>
          <w:szCs w:val="16"/>
          <w:rtl w:val="0"/>
          <w:lang w:val="en-US"/>
        </w:rPr>
        <w:t xml:space="preserve"> </w:t>
      </w:r>
      <w:r>
        <w:rPr>
          <w:sz w:val="16"/>
          <w:szCs w:val="16"/>
          <w:rtl w:val="0"/>
          <w:lang w:val="en-US"/>
        </w:rPr>
        <w:t>use of the United Nations system in the implementation of the present Programme of Action, jointly adopted by them, in working for the establishment of a new international economic order and thereby strengthening</w:t>
      </w:r>
      <w:r>
        <w:rPr>
          <w:sz w:val="16"/>
          <w:szCs w:val="16"/>
          <w:rtl w:val="0"/>
          <w:lang w:val="en-US"/>
        </w:rPr>
        <w:t xml:space="preserve"> </w:t>
      </w:r>
      <w:r>
        <w:rPr>
          <w:sz w:val="16"/>
          <w:szCs w:val="16"/>
          <w:rtl w:val="0"/>
          <w:lang w:val="en-US"/>
        </w:rPr>
        <w:t>the role of the United Nations in the field of world-wide co-operation for economic and social development.</w:t>
      </w:r>
      <w:r>
        <w:rPr>
          <w:sz w:val="16"/>
          <w:szCs w:val="16"/>
          <w:rtl w:val="0"/>
          <w:lang w:val="en-US"/>
        </w:rPr>
        <w:t>' [</w:t>
      </w:r>
      <w:r>
        <w:rPr>
          <w:rStyle w:val="Hyperlink.0"/>
          <w:sz w:val="16"/>
          <w:szCs w:val="16"/>
        </w:rPr>
        <w:fldChar w:fldCharType="begin" w:fldLock="0"/>
      </w:r>
      <w:r>
        <w:rPr>
          <w:rStyle w:val="Hyperlink.0"/>
          <w:sz w:val="16"/>
          <w:szCs w:val="16"/>
        </w:rPr>
        <w:instrText xml:space="preserve"> HYPERLINK "https://digitallibrary.un.org/record/218450?ln=en"</w:instrText>
      </w:r>
      <w:r>
        <w:rPr>
          <w:rStyle w:val="Hyperlink.0"/>
          <w:sz w:val="16"/>
          <w:szCs w:val="16"/>
        </w:rPr>
        <w:fldChar w:fldCharType="separate" w:fldLock="0"/>
      </w:r>
      <w:r>
        <w:rPr>
          <w:rStyle w:val="Hyperlink.0"/>
          <w:sz w:val="16"/>
          <w:szCs w:val="16"/>
          <w:rtl w:val="0"/>
          <w:lang w:val="en-US"/>
        </w:rPr>
        <w:t>https://digitallibrary.un.org/record/218450?ln=en</w:t>
      </w:r>
      <w:r>
        <w:rPr>
          <w:sz w:val="16"/>
          <w:szCs w:val="16"/>
        </w:rPr>
        <w:fldChar w:fldCharType="end" w:fldLock="0"/>
      </w:r>
      <w:r>
        <w:rPr>
          <w:sz w:val="16"/>
          <w:szCs w:val="16"/>
          <w:rtl w:val="0"/>
          <w:lang w:val="en-US"/>
        </w:rPr>
        <w:t>]</w:t>
      </w:r>
    </w:p>
  </w:footnote>
  <w:footnote w:id="45">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Group of 77, "</w:t>
      </w:r>
      <w:r>
        <w:rPr>
          <w:sz w:val="16"/>
          <w:szCs w:val="16"/>
          <w:rtl w:val="0"/>
          <w:lang w:val="en-US"/>
        </w:rPr>
        <w:t>Joint Declaration of the Seventy-Seven</w:t>
      </w:r>
      <w:r>
        <w:rPr>
          <w:sz w:val="16"/>
          <w:szCs w:val="16"/>
          <w:rtl w:val="0"/>
          <w:lang w:val="en-US"/>
        </w:rPr>
        <w:t xml:space="preserve">", </w:t>
      </w:r>
      <w:r>
        <w:rPr>
          <w:sz w:val="16"/>
          <w:szCs w:val="16"/>
          <w:rtl w:val="0"/>
          <w:lang w:val="en-US"/>
        </w:rPr>
        <w:t>June 15 1964</w:t>
      </w:r>
      <w:r>
        <w:rPr>
          <w:sz w:val="16"/>
          <w:szCs w:val="16"/>
          <w:rtl w:val="0"/>
          <w:lang w:val="en-US"/>
        </w:rPr>
        <w:t xml:space="preserve">. </w:t>
      </w:r>
      <w:r>
        <w:rPr>
          <w:sz w:val="16"/>
          <w:szCs w:val="16"/>
          <w:rtl w:val="0"/>
          <w:lang w:val="en-US"/>
        </w:rPr>
        <w:t>[http://www.g77.org/doc/Joint%20Declaration.html]</w:t>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 xml:space="preserve">Also see: </w:t>
      </w:r>
      <w:r>
        <w:rPr>
          <w:sz w:val="16"/>
          <w:szCs w:val="16"/>
          <w:rtl w:val="0"/>
          <w:lang w:val="en-US"/>
        </w:rPr>
        <w:t xml:space="preserve">Sauvant, Karl P. "The early days of the Group of 77." </w:t>
      </w:r>
      <w:r>
        <w:rPr>
          <w:i w:val="1"/>
          <w:iCs w:val="1"/>
          <w:sz w:val="16"/>
          <w:szCs w:val="16"/>
          <w:rtl w:val="0"/>
          <w:lang w:val="en-US"/>
        </w:rPr>
        <w:t>UN Chronicle: The Magazine of the United Nations</w:t>
      </w:r>
      <w:r>
        <w:rPr>
          <w:i w:val="1"/>
          <w:iCs w:val="1"/>
          <w:sz w:val="16"/>
          <w:szCs w:val="16"/>
          <w:rtl w:val="0"/>
          <w:lang w:val="en-US"/>
        </w:rPr>
        <w:t>,</w:t>
      </w:r>
      <w:r>
        <w:rPr>
          <w:sz w:val="16"/>
          <w:szCs w:val="16"/>
          <w:rtl w:val="0"/>
        </w:rPr>
        <w:t xml:space="preserve"> 51, no. 1 (2014): 27-33.</w:t>
      </w:r>
      <w:r>
        <w:rPr>
          <w:sz w:val="16"/>
          <w:szCs w:val="16"/>
          <w:rtl w:val="0"/>
          <w:lang w:val="en-US"/>
        </w:rPr>
        <w:t xml:space="preserve"> [</w:t>
      </w:r>
      <w:r>
        <w:rPr>
          <w:rStyle w:val="Hyperlink.0"/>
          <w:sz w:val="16"/>
          <w:szCs w:val="16"/>
        </w:rPr>
        <w:fldChar w:fldCharType="begin" w:fldLock="0"/>
      </w:r>
      <w:r>
        <w:rPr>
          <w:rStyle w:val="Hyperlink.0"/>
          <w:sz w:val="16"/>
          <w:szCs w:val="16"/>
        </w:rPr>
        <w:instrText xml:space="preserve"> HYPERLINK "https://www.un.org/en/chronicle/article/early-days-group-77"</w:instrText>
      </w:r>
      <w:r>
        <w:rPr>
          <w:rStyle w:val="Hyperlink.0"/>
          <w:sz w:val="16"/>
          <w:szCs w:val="16"/>
        </w:rPr>
        <w:fldChar w:fldCharType="separate" w:fldLock="0"/>
      </w:r>
      <w:r>
        <w:rPr>
          <w:rStyle w:val="Hyperlink.0"/>
          <w:sz w:val="16"/>
          <w:szCs w:val="16"/>
          <w:rtl w:val="0"/>
          <w:lang w:val="en-US"/>
        </w:rPr>
        <w:t>https://www.un.org/en/chronicle/article/early-days-group-77</w:t>
      </w:r>
      <w:r>
        <w:rPr>
          <w:sz w:val="16"/>
          <w:szCs w:val="16"/>
        </w:rPr>
        <w:fldChar w:fldCharType="end" w:fldLock="0"/>
      </w:r>
      <w:r>
        <w:rPr>
          <w:sz w:val="16"/>
          <w:szCs w:val="16"/>
          <w:rtl w:val="0"/>
          <w:lang w:val="en-US"/>
        </w:rPr>
        <w:t>]:</w:t>
      </w:r>
    </w:p>
    <w:p>
      <w:pPr>
        <w:pStyle w:val="Footnote"/>
        <w:rPr>
          <w:sz w:val="16"/>
          <w:szCs w:val="16"/>
        </w:rPr>
      </w:pPr>
    </w:p>
    <w:p>
      <w:pPr>
        <w:pStyle w:val="Footnote"/>
      </w:pPr>
      <w:r>
        <w:rPr>
          <w:sz w:val="16"/>
          <w:szCs w:val="16"/>
          <w:rtl w:val="0"/>
          <w:lang w:val="en-US"/>
        </w:rPr>
        <w:t>'</w:t>
      </w:r>
      <w:r>
        <w:rPr>
          <w:sz w:val="16"/>
          <w:szCs w:val="16"/>
          <w:rtl w:val="0"/>
          <w:lang w:val="en-US"/>
        </w:rPr>
        <w:t>UNCTAD I met in Geneva between 23rd March and the 16th June 1964. It was the first major North-South conference on development questions. During the negotiations at that conference, economic interests clearly</w:t>
      </w:r>
      <w:r>
        <w:rPr>
          <w:sz w:val="16"/>
          <w:szCs w:val="16"/>
          <w:rtl w:val="0"/>
        </w:rPr>
        <w:t> </w:t>
      </w:r>
      <w:r>
        <w:rPr>
          <w:sz w:val="16"/>
          <w:szCs w:val="16"/>
          <w:rtl w:val="0"/>
          <w:lang w:val="en-US"/>
        </w:rPr>
        <w:t>crystallized</w:t>
      </w:r>
      <w:r>
        <w:rPr>
          <w:sz w:val="16"/>
          <w:szCs w:val="16"/>
          <w:rtl w:val="0"/>
        </w:rPr>
        <w:t> </w:t>
      </w:r>
      <w:r>
        <w:rPr>
          <w:sz w:val="16"/>
          <w:szCs w:val="16"/>
          <w:rtl w:val="0"/>
          <w:lang w:val="en-US"/>
        </w:rPr>
        <w:t>along geo-political-group lines and the developing countries emerged as a</w:t>
      </w:r>
      <w:r>
        <w:rPr>
          <w:sz w:val="16"/>
          <w:szCs w:val="16"/>
          <w:rtl w:val="0"/>
        </w:rPr>
        <w:t> </w:t>
      </w:r>
      <w:r>
        <w:rPr>
          <w:sz w:val="16"/>
          <w:szCs w:val="16"/>
          <w:rtl w:val="0"/>
          <w:lang w:val="fr-FR"/>
        </w:rPr>
        <w:t>group</w:t>
      </w:r>
      <w:r>
        <w:rPr>
          <w:sz w:val="16"/>
          <w:szCs w:val="16"/>
          <w:rtl w:val="0"/>
        </w:rPr>
        <w:t> </w:t>
      </w:r>
      <w:r>
        <w:rPr>
          <w:sz w:val="16"/>
          <w:szCs w:val="16"/>
          <w:rtl w:val="0"/>
          <w:lang w:val="en-US"/>
        </w:rPr>
        <w:t>that</w:t>
      </w:r>
      <w:r>
        <w:rPr>
          <w:sz w:val="16"/>
          <w:szCs w:val="16"/>
          <w:rtl w:val="0"/>
        </w:rPr>
        <w:t> </w:t>
      </w:r>
      <w:r>
        <w:rPr>
          <w:sz w:val="16"/>
          <w:szCs w:val="16"/>
          <w:rtl w:val="0"/>
          <w:lang w:val="en-US"/>
        </w:rPr>
        <w:t>was</w:t>
      </w:r>
      <w:r>
        <w:rPr>
          <w:sz w:val="16"/>
          <w:szCs w:val="16"/>
          <w:rtl w:val="0"/>
        </w:rPr>
        <w:t> </w:t>
      </w:r>
      <w:r>
        <w:rPr>
          <w:sz w:val="16"/>
          <w:szCs w:val="16"/>
          <w:rtl w:val="0"/>
          <w:lang w:val="en-US"/>
        </w:rPr>
        <w:t>beginning to find its own identity.</w:t>
      </w:r>
      <w:r>
        <w:rPr>
          <w:sz w:val="16"/>
          <w:szCs w:val="16"/>
          <w:rtl w:val="0"/>
          <w:lang w:val="en-US"/>
        </w:rPr>
        <w:t>'</w:t>
      </w:r>
    </w:p>
  </w:footnote>
  <w:footnote w:id="46">
    <w:p>
      <w:pPr>
        <w:pStyle w:val="Footnote"/>
      </w:pPr>
      <w:r>
        <w:rPr>
          <w:sz w:val="16"/>
          <w:szCs w:val="16"/>
          <w:vertAlign w:val="superscript"/>
        </w:rPr>
        <w:footnoteRef/>
      </w:r>
      <w:r>
        <w:rPr>
          <w:sz w:val="16"/>
          <w:szCs w:val="16"/>
          <w:rtl w:val="0"/>
        </w:rPr>
        <w:t xml:space="preserve"> </w:t>
      </w:r>
      <w:r>
        <w:rPr>
          <w:sz w:val="16"/>
          <w:szCs w:val="16"/>
          <w:rtl w:val="0"/>
          <w:lang w:val="en-US"/>
        </w:rPr>
        <w:t>Ibid.</w:t>
      </w:r>
    </w:p>
  </w:footnote>
  <w:footnote w:id="47">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This began with the Smithsonian Agreement. See: Federal Reserve History, 'The Smithsonian Agreement', November 22, 2013. [</w:t>
      </w:r>
      <w:r>
        <w:rPr>
          <w:rStyle w:val="Hyperlink.0"/>
          <w:sz w:val="16"/>
          <w:szCs w:val="16"/>
        </w:rPr>
        <w:fldChar w:fldCharType="begin" w:fldLock="0"/>
      </w:r>
      <w:r>
        <w:rPr>
          <w:rStyle w:val="Hyperlink.0"/>
          <w:sz w:val="16"/>
          <w:szCs w:val="16"/>
        </w:rPr>
        <w:instrText xml:space="preserve"> HYPERLINK "https://www.federalreservehistory.org/essays/smithsonian-agreement"</w:instrText>
      </w:r>
      <w:r>
        <w:rPr>
          <w:rStyle w:val="Hyperlink.0"/>
          <w:sz w:val="16"/>
          <w:szCs w:val="16"/>
        </w:rPr>
        <w:fldChar w:fldCharType="separate" w:fldLock="0"/>
      </w:r>
      <w:r>
        <w:rPr>
          <w:rStyle w:val="Hyperlink.0"/>
          <w:sz w:val="16"/>
          <w:szCs w:val="16"/>
          <w:rtl w:val="0"/>
          <w:lang w:val="en-US"/>
        </w:rPr>
        <w:t>https://www.federalreservehistory.org/essays/smithsonian-agreement</w:t>
      </w:r>
      <w:r>
        <w:rPr>
          <w:sz w:val="16"/>
          <w:szCs w:val="16"/>
        </w:rPr>
        <w:fldChar w:fldCharType="end" w:fldLock="0"/>
      </w:r>
      <w:r>
        <w:rPr>
          <w:sz w:val="16"/>
          <w:szCs w:val="16"/>
          <w:rtl w:val="0"/>
          <w:lang w:val="en-US"/>
        </w:rPr>
        <w:t xml:space="preserve">]; </w:t>
      </w:r>
      <w:r>
        <w:rPr>
          <w:sz w:val="16"/>
          <w:szCs w:val="16"/>
          <w:rtl w:val="0"/>
          <w:lang w:val="nl-NL"/>
        </w:rPr>
        <w:t xml:space="preserve">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 p. 123:</w:t>
      </w:r>
    </w:p>
    <w:p>
      <w:pPr>
        <w:pStyle w:val="Footnote"/>
        <w:rPr>
          <w:sz w:val="16"/>
          <w:szCs w:val="16"/>
        </w:rPr>
      </w:pPr>
    </w:p>
    <w:p>
      <w:pPr>
        <w:pStyle w:val="Footnote"/>
      </w:pPr>
      <w:r>
        <w:rPr>
          <w:sz w:val="16"/>
          <w:szCs w:val="16"/>
          <w:rtl w:val="1"/>
        </w:rPr>
        <w:t>‘</w:t>
      </w:r>
      <w:r>
        <w:rPr>
          <w:sz w:val="16"/>
          <w:szCs w:val="16"/>
          <w:rtl w:val="0"/>
          <w:lang w:val="en-US"/>
        </w:rPr>
        <w:t>REFORMING THE INTERNATIONAL MONETARY SYSTEM presented monetary officials with an unusual challenge. They sensed that they were entering a new era and that, like those who had planned and negotiated the Bretton Woods system three decades earlier, they had an unusual opportunity to write a new monetary constitution for the world.</w:t>
      </w:r>
      <w:r>
        <w:rPr>
          <w:sz w:val="16"/>
          <w:szCs w:val="16"/>
          <w:rtl w:val="1"/>
        </w:rPr>
        <w:t xml:space="preserve">’ </w:t>
      </w:r>
      <w:r>
        <w:rPr>
          <w:sz w:val="16"/>
          <w:szCs w:val="16"/>
          <w:rtl w:val="0"/>
        </w:rPr>
        <w:t>p. 123.</w:t>
      </w:r>
    </w:p>
  </w:footnote>
  <w:footnote w:id="48">
    <w:p>
      <w:pPr>
        <w:pStyle w:val="Footnote"/>
      </w:pPr>
      <w:r>
        <w:rPr>
          <w:sz w:val="16"/>
          <w:szCs w:val="16"/>
          <w:vertAlign w:val="superscript"/>
        </w:rPr>
        <w:footnoteRef/>
      </w:r>
      <w:r>
        <w:rPr>
          <w:sz w:val="16"/>
          <w:szCs w:val="16"/>
          <w:rtl w:val="0"/>
        </w:rPr>
        <w:t xml:space="preserve"> </w:t>
      </w:r>
      <w:r>
        <w:rPr>
          <w:sz w:val="16"/>
          <w:szCs w:val="16"/>
          <w:rtl w:val="0"/>
          <w:lang w:val="en-US"/>
        </w:rPr>
        <w:t xml:space="preserve">IMF Executive Board, "Reform of the International Monetary System: A Sketch of Its Scope and Content", Ed. J. J. Polak, March 7, 1972. As Published in: IMF, </w:t>
      </w:r>
      <w:r>
        <w:rPr>
          <w:i w:val="1"/>
          <w:iCs w:val="1"/>
          <w:sz w:val="16"/>
          <w:szCs w:val="16"/>
          <w:rtl w:val="0"/>
          <w:lang w:val="en-US"/>
        </w:rPr>
        <w:t>The International Monetary Fund 1972-1978, Volume III: Documents</w:t>
      </w:r>
      <w:r>
        <w:rPr>
          <w:sz w:val="16"/>
          <w:szCs w:val="16"/>
          <w:rtl w:val="0"/>
          <w:lang w:val="en-US"/>
        </w:rPr>
        <w:t xml:space="preserve">, ed. </w:t>
      </w:r>
      <w:r>
        <w:rPr>
          <w:sz w:val="16"/>
          <w:szCs w:val="16"/>
          <w:rtl w:val="0"/>
          <w:lang w:val="nl-NL"/>
        </w:rPr>
        <w:t>Margaret Garritsen de Vries</w:t>
      </w:r>
      <w:r>
        <w:rPr>
          <w:sz w:val="16"/>
          <w:szCs w:val="16"/>
          <w:rtl w:val="0"/>
          <w:lang w:val="en-US"/>
        </w:rPr>
        <w:t>, (Washington DC, IMF, 1985), p. 4. [</w:t>
      </w:r>
      <w:r>
        <w:rPr>
          <w:rStyle w:val="Hyperlink.0"/>
          <w:sz w:val="16"/>
          <w:szCs w:val="16"/>
        </w:rPr>
        <w:fldChar w:fldCharType="begin" w:fldLock="0"/>
      </w:r>
      <w:r>
        <w:rPr>
          <w:rStyle w:val="Hyperlink.0"/>
          <w:sz w:val="16"/>
          <w:szCs w:val="16"/>
        </w:rPr>
        <w:instrText xml:space="preserve"> HYPERLINK "https://www.elibrary.imf.org/display/book/9781451940220/9781451940220.xml"</w:instrText>
      </w:r>
      <w:r>
        <w:rPr>
          <w:rStyle w:val="Hyperlink.0"/>
          <w:sz w:val="16"/>
          <w:szCs w:val="16"/>
        </w:rPr>
        <w:fldChar w:fldCharType="separate" w:fldLock="0"/>
      </w:r>
      <w:r>
        <w:rPr>
          <w:rStyle w:val="Hyperlink.0"/>
          <w:sz w:val="16"/>
          <w:szCs w:val="16"/>
          <w:rtl w:val="0"/>
          <w:lang w:val="en-US"/>
        </w:rPr>
        <w:t>https://www.elibrary.imf.org/display/book/9781451940220/9781451940220.xml</w:t>
      </w:r>
      <w:r>
        <w:rPr>
          <w:sz w:val="16"/>
          <w:szCs w:val="16"/>
        </w:rPr>
        <w:fldChar w:fldCharType="end" w:fldLock="0"/>
      </w:r>
      <w:r>
        <w:rPr>
          <w:sz w:val="16"/>
          <w:szCs w:val="16"/>
          <w:rtl w:val="0"/>
          <w:lang w:val="en-US"/>
        </w:rPr>
        <w:t xml:space="preserve">] </w:t>
      </w:r>
    </w:p>
  </w:footnote>
  <w:footnote w:id="49">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IMF, </w:t>
      </w:r>
      <w:r>
        <w:rPr>
          <w:sz w:val="16"/>
          <w:szCs w:val="16"/>
          <w:rtl w:val="0"/>
          <w:lang w:val="en-US"/>
        </w:rPr>
        <w:t xml:space="preserve">"Committee on Reform of the International Monetary System and Related Issues1". In </w:t>
      </w:r>
      <w:r>
        <w:rPr>
          <w:i w:val="1"/>
          <w:iCs w:val="1"/>
          <w:sz w:val="16"/>
          <w:szCs w:val="16"/>
          <w:rtl w:val="0"/>
          <w:lang w:val="en-US"/>
        </w:rPr>
        <w:t>Summary Proceedings of the Twenty-Seventh Annual Meeting of the Board of Governors 1972</w:t>
      </w:r>
      <w:r>
        <w:rPr>
          <w:sz w:val="16"/>
          <w:szCs w:val="16"/>
          <w:rtl w:val="0"/>
          <w:lang w:val="en-US"/>
        </w:rPr>
        <w:t xml:space="preserve">, (USA: International Monetary Fund, </w:t>
      </w:r>
      <w:r>
        <w:rPr>
          <w:sz w:val="16"/>
          <w:szCs w:val="16"/>
          <w:rtl w:val="0"/>
          <w:lang w:val="en-US"/>
        </w:rPr>
        <w:t xml:space="preserve">18 September, </w:t>
      </w:r>
      <w:r>
        <w:rPr>
          <w:sz w:val="16"/>
          <w:szCs w:val="16"/>
          <w:rtl w:val="0"/>
          <w:lang w:val="en-US"/>
        </w:rPr>
        <w:t>1972) accessed Jan 15, 2024, https://www.elibrary.imf.org/display/book/9781475576467/ch013.xml</w:t>
      </w:r>
    </w:p>
    <w:p>
      <w:pPr>
        <w:pStyle w:val="Footnote"/>
        <w:rPr>
          <w:sz w:val="16"/>
          <w:szCs w:val="16"/>
        </w:rPr>
      </w:pPr>
    </w:p>
    <w:p>
      <w:pPr>
        <w:pStyle w:val="Footnote"/>
        <w:rPr>
          <w:sz w:val="16"/>
          <w:szCs w:val="16"/>
        </w:rPr>
      </w:pPr>
      <w:r>
        <w:rPr>
          <w:sz w:val="16"/>
          <w:szCs w:val="16"/>
          <w:rtl w:val="0"/>
          <w:lang w:val="nl-NL"/>
        </w:rPr>
        <w:t xml:space="preserve">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 p. 151, 153:</w:t>
      </w:r>
    </w:p>
    <w:p>
      <w:pPr>
        <w:pStyle w:val="Footnote"/>
        <w:rPr>
          <w:sz w:val="16"/>
          <w:szCs w:val="16"/>
        </w:rPr>
      </w:pPr>
    </w:p>
    <w:p>
      <w:pPr>
        <w:pStyle w:val="Footnote"/>
      </w:pPr>
      <w:r>
        <w:rPr>
          <w:sz w:val="16"/>
          <w:szCs w:val="16"/>
          <w:rtl w:val="1"/>
        </w:rPr>
        <w:t>‘</w:t>
      </w:r>
      <w:r>
        <w:rPr>
          <w:sz w:val="16"/>
          <w:szCs w:val="16"/>
          <w:rtl w:val="0"/>
          <w:lang w:val="en-US"/>
        </w:rPr>
        <w:t>Mr. Volcker's views on the nature of a new group to negotiate reform collided with the ideas of the Fund management and staff. The Fund management and staff were convinced that the best way to organize a high-level group was to establish a committee of 20 Fund Governors based on the 20 constituencies that made up the Executive Board so that all Fund members would be able to regard themselves as represented. To include officials who would represent all the numerous developing members of the Fund was especially important since developing members were becoming an effective force in international monetary affairs and their consent to the shape of any reformed system was indispensable. Reform would require amendment of the Articles of Agreement, and collectively the developing members had more than enough votes to prevent ratification of any amendments they did not endorse.</w:t>
      </w:r>
      <w:r>
        <w:rPr>
          <w:sz w:val="16"/>
          <w:szCs w:val="16"/>
          <w:rtl w:val="1"/>
        </w:rPr>
        <w:t xml:space="preserve">’ </w:t>
      </w:r>
      <w:r>
        <w:rPr>
          <w:sz w:val="16"/>
          <w:szCs w:val="16"/>
          <w:rtl w:val="0"/>
        </w:rPr>
        <w:t>p. 151.</w:t>
      </w:r>
    </w:p>
  </w:footnote>
  <w:footnote w:id="50">
    <w:p>
      <w:pPr>
        <w:pStyle w:val="Footnote"/>
        <w:rPr>
          <w:sz w:val="16"/>
          <w:szCs w:val="16"/>
        </w:rPr>
      </w:pPr>
      <w:r>
        <w:rPr>
          <w:sz w:val="16"/>
          <w:szCs w:val="16"/>
          <w:vertAlign w:val="superscript"/>
        </w:rPr>
        <w:footnoteRef/>
      </w:r>
      <w:r>
        <w:rPr>
          <w:sz w:val="16"/>
          <w:szCs w:val="16"/>
          <w:rtl w:val="0"/>
          <w:lang w:val="nl-NL"/>
        </w:rPr>
        <w:t xml:space="preserve"> 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w:t>
      </w:r>
    </w:p>
    <w:p>
      <w:pPr>
        <w:pStyle w:val="Footnote"/>
        <w:rPr>
          <w:sz w:val="16"/>
          <w:szCs w:val="16"/>
        </w:rPr>
      </w:pPr>
    </w:p>
    <w:p>
      <w:pPr>
        <w:pStyle w:val="Footnote"/>
      </w:pPr>
      <w:r>
        <w:rPr>
          <w:sz w:val="16"/>
          <w:szCs w:val="16"/>
          <w:rtl w:val="1"/>
        </w:rPr>
        <w:t>‘</w:t>
      </w:r>
      <w:r>
        <w:rPr>
          <w:sz w:val="16"/>
          <w:szCs w:val="16"/>
          <w:rtl w:val="0"/>
          <w:lang w:val="en-US"/>
        </w:rPr>
        <w:t>Clearly after August 15, 1971, "reform" of the international monetary system meant something quite different from what it had meant before. In the second half of the 1960s and through 1970, reform meant improving the Bretton Woods system by, for example, introducing a new reserve asset (the SDR) or by making relatively minor modifications in the par value system so that large industrial countries could more easily change the par values for their currencies. After August 15, 1971, reform meant radically altering the Bretton Woods system by constructing a wholly new international monetary system with arrangements for convertibility, reserves, and reserve currencies different from what had existed in the Bretton Woods system, as well as a substantially altered exchange rate mechanism.</w:t>
      </w:r>
      <w:r>
        <w:rPr>
          <w:sz w:val="16"/>
          <w:szCs w:val="16"/>
          <w:rtl w:val="1"/>
        </w:rPr>
        <w:t>’</w:t>
      </w:r>
      <w:r>
        <w:rPr>
          <w:sz w:val="16"/>
          <w:szCs w:val="16"/>
          <w:rtl w:val="0"/>
          <w:lang w:val="en-US"/>
        </w:rPr>
        <w:t xml:space="preserve"> p. 123.</w:t>
      </w:r>
    </w:p>
  </w:footnote>
  <w:footnote w:id="51">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Ibid. p. 131, and:</w:t>
      </w:r>
    </w:p>
    <w:p>
      <w:pPr>
        <w:pStyle w:val="Footnote"/>
        <w:rPr>
          <w:sz w:val="16"/>
          <w:szCs w:val="16"/>
        </w:rPr>
      </w:pPr>
    </w:p>
    <w:p>
      <w:pPr>
        <w:pStyle w:val="Footnote"/>
        <w:rPr>
          <w:sz w:val="16"/>
          <w:szCs w:val="16"/>
        </w:rPr>
      </w:pPr>
      <w:r>
        <w:rPr>
          <w:sz w:val="16"/>
          <w:szCs w:val="16"/>
          <w:rtl w:val="1"/>
        </w:rPr>
        <w:t>‘</w:t>
      </w:r>
      <w:r>
        <w:rPr>
          <w:sz w:val="16"/>
          <w:szCs w:val="16"/>
          <w:rtl w:val="0"/>
          <w:lang w:val="en-US"/>
        </w:rPr>
        <w:t xml:space="preserve">To reduce the use of national currencies, especially the dollar, as reserves, the sketch discussed "consolidation arrangements." Large outstanding balances of dollars held by central banks as reserves would be consolidated in the Fund or somehow converted into an alternative asset, such as the SDR. This would reduce liquidity in the international monetary system. That liquidity, widely regarded as excessive, was heavily in the form of dollars. </w:t>
      </w:r>
    </w:p>
    <w:p>
      <w:pPr>
        <w:pStyle w:val="Footnote"/>
        <w:rPr>
          <w:sz w:val="16"/>
          <w:szCs w:val="16"/>
        </w:rPr>
      </w:pPr>
    </w:p>
    <w:p>
      <w:pPr>
        <w:pStyle w:val="Footnote"/>
        <w:rPr>
          <w:sz w:val="16"/>
          <w:szCs w:val="16"/>
        </w:rPr>
      </w:pPr>
      <w:r>
        <w:rPr>
          <w:sz w:val="16"/>
          <w:szCs w:val="16"/>
          <w:rtl w:val="0"/>
          <w:lang w:val="en-US"/>
        </w:rPr>
        <w:t>The sketch described arrangements for the Fund to distribute special issues of SDRs against balances of reserve currencies tendered to it by its members. (Later on, the term "substitution account" was used to describe arrangements of this type.) In this way the SDR would become the primary reserve asset of the international monetary system. Questions still to be settled concerned the scope of such consolidation-whether all existing holdings of dollar balances would be exchange able for SDRs-and the changes needed to make the SDR a sufficiently attractive reserve asset, such as increasing its rate of interest, enlarging the number of official bodies that could hold SDRs, broadening the transactions in which SDRs could be used, and relaxing the rules for reconstitution so that financial officials would be willing to exchange dollars for SDRs.</w:t>
      </w:r>
      <w:r>
        <w:rPr>
          <w:sz w:val="16"/>
          <w:szCs w:val="16"/>
          <w:rtl w:val="1"/>
        </w:rPr>
        <w:t xml:space="preserve">’ </w:t>
      </w:r>
      <w:r>
        <w:rPr>
          <w:sz w:val="16"/>
          <w:szCs w:val="16"/>
          <w:rtl w:val="0"/>
        </w:rPr>
        <w:t>pp. 126-127.</w:t>
      </w:r>
    </w:p>
    <w:p>
      <w:pPr>
        <w:pStyle w:val="Footnote"/>
        <w:rPr>
          <w:sz w:val="16"/>
          <w:szCs w:val="16"/>
        </w:rPr>
      </w:pPr>
    </w:p>
    <w:p>
      <w:pPr>
        <w:pStyle w:val="Footnote"/>
      </w:pPr>
      <w:r>
        <w:rPr>
          <w:sz w:val="16"/>
          <w:szCs w:val="16"/>
          <w:rtl w:val="0"/>
        </w:rPr>
        <w:t>C. Fred</w:t>
      </w:r>
      <w:r>
        <w:rPr>
          <w:sz w:val="16"/>
          <w:szCs w:val="16"/>
          <w:rtl w:val="0"/>
          <w:lang w:val="en-US"/>
        </w:rPr>
        <w:t xml:space="preserve"> Bergsten</w:t>
      </w:r>
      <w:r>
        <w:rPr>
          <w:sz w:val="16"/>
          <w:szCs w:val="16"/>
          <w:rtl w:val="0"/>
          <w:lang w:val="en-US"/>
        </w:rPr>
        <w:t xml:space="preserve">. "New urgency for international monetary reform." </w:t>
      </w:r>
      <w:r>
        <w:rPr>
          <w:i w:val="1"/>
          <w:iCs w:val="1"/>
          <w:sz w:val="16"/>
          <w:szCs w:val="16"/>
          <w:rtl w:val="0"/>
          <w:lang w:val="en-US"/>
        </w:rPr>
        <w:t>Foreign Policy</w:t>
      </w:r>
      <w:r>
        <w:rPr>
          <w:sz w:val="16"/>
          <w:szCs w:val="16"/>
          <w:rtl w:val="0"/>
        </w:rPr>
        <w:t xml:space="preserve"> 19 (1975): </w:t>
      </w:r>
      <w:r>
        <w:rPr>
          <w:sz w:val="16"/>
          <w:szCs w:val="16"/>
          <w:rtl w:val="0"/>
          <w:lang w:val="en-US"/>
        </w:rPr>
        <w:t xml:space="preserve">pp. </w:t>
      </w:r>
      <w:r>
        <w:rPr>
          <w:sz w:val="16"/>
          <w:szCs w:val="16"/>
          <w:rtl w:val="0"/>
        </w:rPr>
        <w:t>79-</w:t>
      </w:r>
      <w:r>
        <w:rPr>
          <w:sz w:val="16"/>
          <w:szCs w:val="16"/>
          <w:rtl w:val="0"/>
          <w:lang w:val="en-US"/>
        </w:rPr>
        <w:t>80</w:t>
      </w:r>
      <w:r>
        <w:rPr>
          <w:sz w:val="16"/>
          <w:szCs w:val="16"/>
          <w:rtl w:val="0"/>
        </w:rPr>
        <w:t>.</w:t>
      </w:r>
    </w:p>
  </w:footnote>
  <w:footnote w:id="52">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Ibid., pp. 139-140, 202-203, 205-207: </w:t>
      </w:r>
    </w:p>
    <w:p>
      <w:pPr>
        <w:pStyle w:val="Footnote"/>
        <w:rPr>
          <w:sz w:val="16"/>
          <w:szCs w:val="16"/>
        </w:rPr>
      </w:pPr>
    </w:p>
    <w:p>
      <w:pPr>
        <w:pStyle w:val="Footnote"/>
      </w:pPr>
      <w:r>
        <w:rPr>
          <w:sz w:val="16"/>
          <w:szCs w:val="16"/>
          <w:rtl w:val="0"/>
          <w:lang w:val="en-US"/>
        </w:rPr>
        <w:t>'</w:t>
      </w:r>
      <w:r>
        <w:rPr>
          <w:sz w:val="16"/>
          <w:szCs w:val="16"/>
          <w:rtl w:val="0"/>
          <w:lang w:val="en-US"/>
        </w:rPr>
        <w:t>Developing countries had been emphasizing how the disruption in the Bretton Woods system, especially in the second half of 1971, had affected them adversely and why it was essential for them to participate fully in the formulation and negotiation of any proposals to reform the system and in any associated proposals relating to international trade. This chapter of the report gave recognition to these needs and noted that officials of developing countries favored some of the particular features in a reformed system, such as a system of par values with maintenance of narrow margins around parities. In addition, it pointed out that the developing countries continued to be especially interested in a link between the creation of SDRs and the provision of finance for development purposes and spelled out four possible ways in which some such link could be established. This chapter also put the public on notice that a study of the link was already under way in the Fund.</w:t>
      </w:r>
      <w:r>
        <w:rPr>
          <w:sz w:val="16"/>
          <w:szCs w:val="16"/>
          <w:rtl w:val="1"/>
        </w:rPr>
        <w:t xml:space="preserve">’ </w:t>
      </w:r>
      <w:r>
        <w:rPr>
          <w:sz w:val="16"/>
          <w:szCs w:val="16"/>
          <w:rtl w:val="0"/>
          <w:lang w:val="it-IT"/>
        </w:rPr>
        <w:t>pp. 139-140.</w:t>
      </w:r>
    </w:p>
  </w:footnote>
  <w:footnote w:id="53">
    <w:p>
      <w:pPr>
        <w:pStyle w:val="Footnote"/>
        <w:rPr>
          <w:sz w:val="16"/>
          <w:szCs w:val="16"/>
        </w:rPr>
      </w:pPr>
      <w:r>
        <w:rPr>
          <w:sz w:val="16"/>
          <w:szCs w:val="16"/>
          <w:vertAlign w:val="superscript"/>
        </w:rPr>
        <w:footnoteRef/>
      </w:r>
      <w:r>
        <w:rPr>
          <w:sz w:val="16"/>
          <w:szCs w:val="16"/>
          <w:rtl w:val="0"/>
          <w:lang w:val="en-US"/>
        </w:rPr>
        <w:t xml:space="preserve"> </w:t>
      </w:r>
      <w:r>
        <w:rPr>
          <w:sz w:val="16"/>
          <w:szCs w:val="16"/>
          <w:rtl w:val="0"/>
          <w:lang w:val="de-DE"/>
        </w:rPr>
        <w:t>Eric</w:t>
      </w:r>
      <w:r>
        <w:rPr>
          <w:sz w:val="16"/>
          <w:szCs w:val="16"/>
          <w:rtl w:val="0"/>
          <w:lang w:val="en-US"/>
        </w:rPr>
        <w:t xml:space="preserve"> </w:t>
      </w:r>
      <w:r>
        <w:rPr>
          <w:sz w:val="16"/>
          <w:szCs w:val="16"/>
          <w:rtl w:val="0"/>
        </w:rPr>
        <w:t xml:space="preserve">Helleiner. </w:t>
      </w:r>
      <w:r>
        <w:rPr>
          <w:i w:val="1"/>
          <w:iCs w:val="1"/>
          <w:sz w:val="16"/>
          <w:szCs w:val="16"/>
          <w:rtl w:val="0"/>
          <w:lang w:val="en-US"/>
        </w:rPr>
        <w:t xml:space="preserve">States and the </w:t>
      </w:r>
      <w:r>
        <w:rPr>
          <w:i w:val="1"/>
          <w:iCs w:val="1"/>
          <w:sz w:val="16"/>
          <w:szCs w:val="16"/>
          <w:rtl w:val="0"/>
          <w:lang w:val="en-US"/>
        </w:rPr>
        <w:t>R</w:t>
      </w:r>
      <w:r>
        <w:rPr>
          <w:i w:val="1"/>
          <w:iCs w:val="1"/>
          <w:sz w:val="16"/>
          <w:szCs w:val="16"/>
          <w:rtl w:val="0"/>
          <w:lang w:val="en-US"/>
        </w:rPr>
        <w:t xml:space="preserve">eemergence of </w:t>
      </w:r>
      <w:r>
        <w:rPr>
          <w:i w:val="1"/>
          <w:iCs w:val="1"/>
          <w:sz w:val="16"/>
          <w:szCs w:val="16"/>
          <w:rtl w:val="0"/>
          <w:lang w:val="en-US"/>
        </w:rPr>
        <w:t>G</w:t>
      </w:r>
      <w:r>
        <w:rPr>
          <w:i w:val="1"/>
          <w:iCs w:val="1"/>
          <w:sz w:val="16"/>
          <w:szCs w:val="16"/>
          <w:rtl w:val="0"/>
        </w:rPr>
        <w:t xml:space="preserve">lobal </w:t>
      </w:r>
      <w:r>
        <w:rPr>
          <w:i w:val="1"/>
          <w:iCs w:val="1"/>
          <w:sz w:val="16"/>
          <w:szCs w:val="16"/>
          <w:rtl w:val="0"/>
          <w:lang w:val="en-US"/>
        </w:rPr>
        <w:t>F</w:t>
      </w:r>
      <w:r>
        <w:rPr>
          <w:i w:val="1"/>
          <w:iCs w:val="1"/>
          <w:sz w:val="16"/>
          <w:szCs w:val="16"/>
          <w:rtl w:val="0"/>
          <w:lang w:val="en-US"/>
        </w:rPr>
        <w:t>inance: from Bretton Woods to the 1990s</w:t>
      </w:r>
      <w:r>
        <w:rPr>
          <w:sz w:val="16"/>
          <w:szCs w:val="16"/>
          <w:rtl w:val="0"/>
          <w:lang w:val="en-US"/>
        </w:rPr>
        <w:t>. Cornell university press, 1996</w:t>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Friedman's followers predicted that floating exchange rates would smoothly adjust to changing underlying conditions, but most central bankers feared that such rates would prove volatile, disrupt trade patterns, and lead to widespread resource misallocation. On the whole, they favored stricter controls on speculative capital movements in the interest of preserving a stable exchange rate system and liberal trading order, for they viewed these as more important aspects of a liberal international economic order than a liberal financial system. Hans Kloss, the general manager of the Austrian National Bank counseled that "we should have the courage to say that the idea of liberalized capital movements cannot be upheld in all respects and at all times. Rather if monetary and economic damage is to be avoided, it is an ideal which can only be applied with extreme caution."61' p. 118.</w:t>
      </w:r>
    </w:p>
    <w:p>
      <w:pPr>
        <w:pStyle w:val="Footnote"/>
        <w:rPr>
          <w:sz w:val="16"/>
          <w:szCs w:val="16"/>
        </w:rPr>
      </w:pPr>
    </w:p>
    <w:p>
      <w:pPr>
        <w:pStyle w:val="Footnote"/>
        <w:rPr>
          <w:sz w:val="16"/>
          <w:szCs w:val="16"/>
        </w:rPr>
      </w:pPr>
    </w:p>
    <w:p>
      <w:pPr>
        <w:pStyle w:val="Footnote"/>
        <w:rPr>
          <w:sz w:val="16"/>
          <w:szCs w:val="16"/>
        </w:rPr>
      </w:pPr>
      <w:r>
        <w:rPr>
          <w:sz w:val="16"/>
          <w:szCs w:val="16"/>
          <w:rtl w:val="0"/>
          <w:lang w:val="da-DK"/>
        </w:rPr>
        <w:t>Harold</w:t>
      </w:r>
      <w:r>
        <w:rPr>
          <w:sz w:val="16"/>
          <w:szCs w:val="16"/>
          <w:rtl w:val="0"/>
          <w:lang w:val="en-US"/>
        </w:rPr>
        <w:t xml:space="preserve"> James</w:t>
      </w:r>
      <w:r>
        <w:rPr>
          <w:sz w:val="16"/>
          <w:szCs w:val="16"/>
          <w:rtl w:val="0"/>
          <w:lang w:val="en-US"/>
        </w:rPr>
        <w:t xml:space="preserve">. "CHAPTER 9 Reform of the International Monetary System, or Nonsystem?". In </w:t>
      </w:r>
      <w:r>
        <w:rPr>
          <w:i w:val="1"/>
          <w:iCs w:val="1"/>
          <w:sz w:val="16"/>
          <w:szCs w:val="16"/>
          <w:rtl w:val="0"/>
          <w:lang w:val="en-US"/>
        </w:rPr>
        <w:t>International Monetary Cooperation Since Bretton Woods</w:t>
      </w:r>
      <w:r>
        <w:rPr>
          <w:sz w:val="16"/>
          <w:szCs w:val="16"/>
          <w:rtl w:val="0"/>
          <w:lang w:val="en-US"/>
        </w:rPr>
        <w:t>, (USA: Oxford University Press, 1996) accessed Jan 15, 2024, https://doi.org/10.5089/9781475506969.071.ch009</w:t>
      </w:r>
    </w:p>
    <w:p>
      <w:pPr>
        <w:pStyle w:val="Footnote"/>
        <w:rPr>
          <w:sz w:val="16"/>
          <w:szCs w:val="16"/>
        </w:rPr>
      </w:pPr>
    </w:p>
    <w:p>
      <w:pPr>
        <w:pStyle w:val="Footnote"/>
        <w:rPr>
          <w:sz w:val="16"/>
          <w:szCs w:val="16"/>
        </w:rPr>
      </w:pPr>
      <w:r>
        <w:rPr>
          <w:sz w:val="16"/>
          <w:szCs w:val="16"/>
          <w:rtl w:val="0"/>
          <w:lang w:val="en-US"/>
        </w:rPr>
        <w:t xml:space="preserve">'There were few significant political advocates of floating (although it commanded a substantial academic following) at the beginning of the </w:t>
      </w:r>
      <w:r>
        <w:rPr>
          <w:sz w:val="16"/>
          <w:szCs w:val="16"/>
          <w:rtl w:val="1"/>
          <w:lang w:val="ar-SA" w:bidi="ar-SA"/>
        </w:rPr>
        <w:t>“</w:t>
      </w:r>
      <w:r>
        <w:rPr>
          <w:sz w:val="16"/>
          <w:szCs w:val="16"/>
          <w:rtl w:val="0"/>
          <w:lang w:val="en-US"/>
        </w:rPr>
        <w:t>disintegration of Bretton Woods.</w:t>
      </w:r>
      <w:r>
        <w:rPr>
          <w:sz w:val="16"/>
          <w:szCs w:val="16"/>
          <w:rtl w:val="0"/>
        </w:rPr>
        <w:t xml:space="preserve">” </w:t>
      </w:r>
      <w:r>
        <w:rPr>
          <w:sz w:val="16"/>
          <w:szCs w:val="16"/>
          <w:rtl w:val="0"/>
          <w:lang w:val="en-US"/>
        </w:rPr>
        <w:t xml:space="preserve">Karl Schiller, the German Economics Minister and at first the only enthusiastic political </w:t>
      </w:r>
      <w:r>
        <w:rPr>
          <w:sz w:val="16"/>
          <w:szCs w:val="16"/>
          <w:rtl w:val="1"/>
          <w:lang w:val="ar-SA" w:bidi="ar-SA"/>
        </w:rPr>
        <w:t>“</w:t>
      </w:r>
      <w:r>
        <w:rPr>
          <w:sz w:val="16"/>
          <w:szCs w:val="16"/>
          <w:rtl w:val="0"/>
        </w:rPr>
        <w:t>floater</w:t>
      </w:r>
      <w:r>
        <w:rPr>
          <w:sz w:val="16"/>
          <w:szCs w:val="16"/>
          <w:rtl w:val="0"/>
        </w:rPr>
        <w:t xml:space="preserve">” </w:t>
      </w:r>
      <w:r>
        <w:rPr>
          <w:sz w:val="16"/>
          <w:szCs w:val="16"/>
          <w:rtl w:val="0"/>
          <w:lang w:val="en-US"/>
        </w:rPr>
        <w:t xml:space="preserve">on the international stage, was outvoted in the German cabinet in a debate over the international position of the deutsche mark, and resigned in 1972. After 1972, the new U.S. Treasury Secretary, George Shultz, also believed that floating represented the best outcome, but he was at least at the outset unwilling to articulate this position in an international context which was looking for a </w:t>
      </w:r>
      <w:r>
        <w:rPr>
          <w:sz w:val="16"/>
          <w:szCs w:val="16"/>
          <w:rtl w:val="1"/>
          <w:lang w:val="ar-SA" w:bidi="ar-SA"/>
        </w:rPr>
        <w:t>“</w:t>
      </w:r>
      <w:r>
        <w:rPr>
          <w:sz w:val="16"/>
          <w:szCs w:val="16"/>
          <w:rtl w:val="0"/>
          <w:lang w:val="fr-FR"/>
        </w:rPr>
        <w:t>solution</w:t>
      </w:r>
      <w:r>
        <w:rPr>
          <w:sz w:val="16"/>
          <w:szCs w:val="16"/>
          <w:rtl w:val="0"/>
        </w:rPr>
        <w:t xml:space="preserve">” </w:t>
      </w:r>
      <w:r>
        <w:rPr>
          <w:sz w:val="16"/>
          <w:szCs w:val="16"/>
          <w:rtl w:val="0"/>
          <w:lang w:val="en-US"/>
        </w:rPr>
        <w:t xml:space="preserve">to the currency problem. In June 1972, the Chief Economist of the U.S. Office of Management and Budget, the Chicago economist Arthur Laffer, when discussing this issue with IMF officials merely argued not </w:t>
      </w:r>
      <w:r>
        <w:rPr>
          <w:sz w:val="16"/>
          <w:szCs w:val="16"/>
          <w:rtl w:val="1"/>
          <w:lang w:val="ar-SA" w:bidi="ar-SA"/>
        </w:rPr>
        <w:t>“</w:t>
      </w:r>
      <w:r>
        <w:rPr>
          <w:sz w:val="16"/>
          <w:szCs w:val="16"/>
          <w:rtl w:val="0"/>
          <w:lang w:val="en-US"/>
        </w:rPr>
        <w:t>that a floating rate system would be a preferred alternative but rather that it might not be such a bad alternative.</w:t>
      </w:r>
      <w:r>
        <w:rPr>
          <w:sz w:val="16"/>
          <w:szCs w:val="16"/>
          <w:rtl w:val="0"/>
        </w:rPr>
        <w:t>”</w:t>
      </w:r>
      <w:r>
        <w:rPr>
          <w:sz w:val="16"/>
          <w:szCs w:val="16"/>
          <w:rtl w:val="0"/>
          <w:lang w:val="ru-RU"/>
        </w:rPr>
        <w:t xml:space="preserve">9' </w:t>
      </w:r>
    </w:p>
    <w:p>
      <w:pPr>
        <w:pStyle w:val="Footnote"/>
        <w:rPr>
          <w:sz w:val="16"/>
          <w:szCs w:val="16"/>
        </w:rPr>
      </w:pPr>
    </w:p>
    <w:p>
      <w:pPr>
        <w:pStyle w:val="Footnote"/>
        <w:rPr>
          <w:sz w:val="16"/>
          <w:szCs w:val="16"/>
        </w:rPr>
      </w:pPr>
      <w:r>
        <w:rPr>
          <w:sz w:val="16"/>
          <w:szCs w:val="16"/>
          <w:rtl w:val="0"/>
          <w:lang w:val="nl-NL"/>
        </w:rPr>
        <w:t xml:space="preserve">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w:t>
      </w:r>
    </w:p>
    <w:p>
      <w:pPr>
        <w:pStyle w:val="Footnote"/>
        <w:rPr>
          <w:sz w:val="16"/>
          <w:szCs w:val="16"/>
        </w:rPr>
      </w:pPr>
    </w:p>
    <w:p>
      <w:pPr>
        <w:pStyle w:val="Footnote"/>
        <w:rPr>
          <w:sz w:val="16"/>
          <w:szCs w:val="16"/>
        </w:rPr>
      </w:pPr>
      <w:r>
        <w:rPr>
          <w:sz w:val="16"/>
          <w:szCs w:val="16"/>
          <w:rtl w:val="1"/>
        </w:rPr>
        <w:t>‘</w:t>
      </w:r>
      <w:r>
        <w:rPr>
          <w:sz w:val="16"/>
          <w:szCs w:val="16"/>
          <w:rtl w:val="0"/>
          <w:lang w:val="en-US"/>
        </w:rPr>
        <w:t>The push for a reformed system by these officials even after the emergence of floating rates in March 1973 reflected long-standing anxieties about floating rates. At the time, most public officials, as well as bankers and businessmen, looked upon the emergence of floating rates as an unfortunate development with potentially harmful consequences for international trade and investment and for monetary and financial relations between countries. As Mr. Volcker subsequently said, "many feared that resort to floating without clearly defined rules of behavior would undermine international economic integration and interfere with trade and investment. Some went further. They felt that what they saw as a total breakdown of the monetary order was responsible for much of the instability in the world economy and carried the seeds of political and economic chaos."2 Even in the most favorable light at the time, floating rates represented a vast departure from the fixed rates of the Bretton Woods system that had performed so well since World War II and were historically untested except in the hyperinflation period of the 1920s and the deep depression of the 1930s.</w:t>
      </w:r>
      <w:r>
        <w:rPr>
          <w:sz w:val="16"/>
          <w:szCs w:val="16"/>
          <w:rtl w:val="1"/>
        </w:rPr>
        <w:t xml:space="preserve">’ </w:t>
      </w:r>
      <w:r>
        <w:rPr>
          <w:sz w:val="16"/>
          <w:szCs w:val="16"/>
          <w:rtl w:val="0"/>
        </w:rPr>
        <w:t>p. 190.</w:t>
      </w:r>
    </w:p>
    <w:p>
      <w:pPr>
        <w:pStyle w:val="Footnote"/>
        <w:rPr>
          <w:sz w:val="16"/>
          <w:szCs w:val="16"/>
        </w:rPr>
      </w:pPr>
    </w:p>
    <w:p>
      <w:pPr>
        <w:pStyle w:val="Footnote"/>
        <w:rPr>
          <w:sz w:val="16"/>
          <w:szCs w:val="16"/>
        </w:rPr>
      </w:pPr>
      <w:r>
        <w:rPr>
          <w:sz w:val="16"/>
          <w:szCs w:val="16"/>
          <w:rtl w:val="0"/>
          <w:lang w:val="en-US"/>
        </w:rPr>
        <w:t>Also:</w:t>
      </w:r>
    </w:p>
    <w:p>
      <w:pPr>
        <w:pStyle w:val="Footnote"/>
      </w:pPr>
      <w:r>
        <w:rPr>
          <w:sz w:val="16"/>
          <w:szCs w:val="16"/>
          <w:rtl w:val="0"/>
          <w:lang w:val="en-US"/>
        </w:rPr>
        <w:t>'</w:t>
      </w:r>
      <w:r>
        <w:rPr>
          <w:sz w:val="16"/>
          <w:szCs w:val="16"/>
          <w:rtl w:val="0"/>
          <w:lang w:val="en-US"/>
        </w:rPr>
        <w:t>Like the French deputies, the deputies from other countries also had difficulty with the idea of legalizing the use of floating exchange rates even temporarily. When this topic was raised, the deputy from Belgium, the deputies from France, and the deputies from Japan, Koichi Inamura and Hitoshi Yukawa, objected to any use of floating rates.</w:t>
      </w:r>
      <w:r>
        <w:rPr>
          <w:sz w:val="16"/>
          <w:szCs w:val="16"/>
          <w:rtl w:val="1"/>
        </w:rPr>
        <w:t xml:space="preserve">’ </w:t>
      </w:r>
      <w:r>
        <w:rPr>
          <w:sz w:val="16"/>
          <w:szCs w:val="16"/>
          <w:rtl w:val="0"/>
        </w:rPr>
        <w:t>p. 172.</w:t>
      </w:r>
    </w:p>
  </w:footnote>
  <w:footnote w:id="54">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In 1972, US elites had even supported an SDR-based system:</w:t>
      </w:r>
    </w:p>
    <w:p>
      <w:pPr>
        <w:pStyle w:val="Footnote"/>
        <w:rPr>
          <w:sz w:val="16"/>
          <w:szCs w:val="16"/>
        </w:rPr>
      </w:pPr>
    </w:p>
    <w:p>
      <w:pPr>
        <w:pStyle w:val="Footnote"/>
        <w:rPr>
          <w:sz w:val="16"/>
          <w:szCs w:val="16"/>
        </w:rPr>
      </w:pPr>
      <w:r>
        <w:rPr>
          <w:sz w:val="16"/>
          <w:szCs w:val="16"/>
          <w:rtl w:val="0"/>
          <w:lang w:val="nl-NL"/>
        </w:rPr>
        <w:t xml:space="preserve">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w:t>
      </w:r>
    </w:p>
    <w:p>
      <w:pPr>
        <w:pStyle w:val="Footnote"/>
        <w:rPr>
          <w:sz w:val="16"/>
          <w:szCs w:val="16"/>
        </w:rPr>
      </w:pPr>
    </w:p>
    <w:p>
      <w:pPr>
        <w:pStyle w:val="Footnote"/>
        <w:rPr>
          <w:sz w:val="16"/>
          <w:szCs w:val="16"/>
        </w:rPr>
      </w:pPr>
      <w:r>
        <w:rPr>
          <w:sz w:val="16"/>
          <w:szCs w:val="16"/>
          <w:rtl w:val="1"/>
        </w:rPr>
        <w:t>‘</w:t>
      </w:r>
      <w:r>
        <w:rPr>
          <w:sz w:val="16"/>
          <w:szCs w:val="16"/>
          <w:rtl w:val="0"/>
          <w:lang w:val="en-US"/>
        </w:rPr>
        <w:t>At the 1972 Annual Meeting, Mr. Shultz made it clear that the United States would accept an exchange rate regime based on central or par values if provision was made for fairly wide margins around these values and for countries to float their currencies and if appropriate criteria were used to bring about changes in exchange rates, including changes for countries with balance of payments surpluses. The United States would also agree to making the dollar again convertible into primary reserve assets, although within defined limits. Part of the existing holdings of dollars by the central banks of other countries might also be exchanged for a special issue of SDRs at the option of the holder. The United States, moreover, would accept the SDR as the numeraire of a reformed system and would agree that the SDR could be made free of encumbrances, such as reconstitution obligations, designation procedures, and holding limits, which detracted from its use. In all these respects, the United States seemed to have accepted the proposals put forward by Mr. Barber a year earlier.</w:t>
      </w:r>
      <w:r>
        <w:rPr>
          <w:sz w:val="16"/>
          <w:szCs w:val="16"/>
          <w:rtl w:val="1"/>
        </w:rPr>
        <w:t xml:space="preserve">’ </w:t>
      </w:r>
      <w:r>
        <w:rPr>
          <w:sz w:val="16"/>
          <w:szCs w:val="16"/>
          <w:rtl w:val="0"/>
        </w:rPr>
        <w:t>p. 167.</w:t>
      </w:r>
    </w:p>
    <w:p>
      <w:pPr>
        <w:pStyle w:val="Footnote"/>
        <w:rPr>
          <w:sz w:val="16"/>
          <w:szCs w:val="16"/>
        </w:rPr>
      </w:pPr>
    </w:p>
    <w:p>
      <w:pPr>
        <w:pStyle w:val="Footnote"/>
        <w:rPr>
          <w:sz w:val="16"/>
          <w:szCs w:val="16"/>
        </w:rPr>
      </w:pPr>
      <w:r>
        <w:rPr>
          <w:sz w:val="16"/>
          <w:szCs w:val="16"/>
          <w:rtl w:val="0"/>
          <w:lang w:val="en-US"/>
        </w:rPr>
        <w:t>AND:</w:t>
      </w:r>
    </w:p>
    <w:p>
      <w:pPr>
        <w:pStyle w:val="Footnote"/>
        <w:rPr>
          <w:sz w:val="16"/>
          <w:szCs w:val="16"/>
        </w:rPr>
      </w:pPr>
    </w:p>
    <w:p>
      <w:pPr>
        <w:pStyle w:val="Footnote"/>
        <w:rPr>
          <w:sz w:val="16"/>
          <w:szCs w:val="16"/>
        </w:rPr>
      </w:pPr>
      <w:r>
        <w:rPr>
          <w:sz w:val="16"/>
          <w:szCs w:val="16"/>
          <w:rtl w:val="1"/>
        </w:rPr>
        <w:t>‘</w:t>
      </w:r>
      <w:r>
        <w:rPr>
          <w:sz w:val="16"/>
          <w:szCs w:val="16"/>
          <w:rtl w:val="0"/>
          <w:lang w:val="en-US"/>
        </w:rPr>
        <w:t>The deputies were able to agree relatively readily at their meeting in January 1973 that the SDR should become the principal reserve asset of the reformed system. This agreement was quite an achievement in that the first SDRs had been allocated only three years before. Acceptance of the SDR as the principal reserve asset of the reformed system, however, resulted in large part because of the absence of any suitable alternative. Only G. W.G. Browne, the deputy from South Africa, and Mr. Pierre-Brossolette were willing to make any case for gold. And all deputies, even those from the United States, were willing to agree, or at least concede, that no national currency, such as the dollar, could be the prime reserve asset.</w:t>
      </w:r>
      <w:r>
        <w:rPr>
          <w:sz w:val="16"/>
          <w:szCs w:val="16"/>
          <w:rtl w:val="1"/>
        </w:rPr>
        <w:t xml:space="preserve">’ </w:t>
      </w:r>
      <w:r>
        <w:rPr>
          <w:sz w:val="16"/>
          <w:szCs w:val="16"/>
          <w:rtl w:val="0"/>
        </w:rPr>
        <w:t>p. 178.</w:t>
      </w:r>
    </w:p>
    <w:p>
      <w:pPr>
        <w:pStyle w:val="Footnote"/>
        <w:rPr>
          <w:sz w:val="16"/>
          <w:szCs w:val="16"/>
        </w:rPr>
      </w:pPr>
      <w:r>
        <w:rPr>
          <w:sz w:val="16"/>
          <w:szCs w:val="16"/>
          <w:rtl w:val="0"/>
          <w:lang w:val="en-US"/>
        </w:rPr>
        <w:t>...</w:t>
      </w:r>
    </w:p>
    <w:p>
      <w:pPr>
        <w:pStyle w:val="Footnote"/>
      </w:pPr>
      <w:r>
        <w:rPr>
          <w:sz w:val="16"/>
          <w:szCs w:val="16"/>
          <w:rtl w:val="1"/>
        </w:rPr>
        <w:t>‘</w:t>
      </w:r>
      <w:r>
        <w:rPr>
          <w:sz w:val="16"/>
          <w:szCs w:val="16"/>
          <w:rtl w:val="0"/>
          <w:lang w:val="en-US"/>
        </w:rPr>
        <w:t>The deputies were also able to agree quite readily that reserve creation and the volume of international liquidity ought to be subject to international control. Otherwise the supply of global reserves would continue to be affected by the injection of reserve currencies into the system when reserve centers had deficits or by the withdrawal of reserve currencies from the system when they had surpluses. But this alternative was unacceptable: all the deputies agreed that global reserves should not be influenced to any significant extent by the balance of payments positions of reserve center countries. Deputies from Western European members used the word "control" of reserve creation to stress that the creation of dollar liabilities as a source of reserves should be done away with in the reformed system. The deputies from the United Kingdom, Christopher W. McMahon and Derek J. Mitchell, suggested the word "management" of reserve creation, leaving the way open for some use of dollars as reserves. All deputies agreed, too, that international control or management of reserve creation should be achieved primarily through decisions to allocate or cancel SDRs.</w:t>
      </w:r>
      <w:r>
        <w:rPr>
          <w:sz w:val="16"/>
          <w:szCs w:val="16"/>
          <w:rtl w:val="1"/>
        </w:rPr>
        <w:t xml:space="preserve">’ </w:t>
      </w:r>
      <w:r>
        <w:rPr>
          <w:sz w:val="16"/>
          <w:szCs w:val="16"/>
          <w:rtl w:val="0"/>
        </w:rPr>
        <w:t>p. 178.</w:t>
      </w:r>
    </w:p>
  </w:footnote>
  <w:footnote w:id="55">
    <w:p>
      <w:pPr>
        <w:pStyle w:val="Footnote"/>
      </w:pPr>
      <w:r>
        <w:rPr>
          <w:sz w:val="16"/>
          <w:szCs w:val="16"/>
          <w:vertAlign w:val="superscript"/>
        </w:rPr>
        <w:footnoteRef/>
      </w:r>
      <w:r>
        <w:rPr>
          <w:sz w:val="16"/>
          <w:szCs w:val="16"/>
          <w:rtl w:val="0"/>
          <w:lang w:val="en-US"/>
        </w:rPr>
        <w:t xml:space="preserve"> He argued in 1944 that a US-dollar reserve system would lead to massive imbalances of global trade. This is precisely what led to Nixon de-linking the dollar from gold.</w:t>
      </w:r>
    </w:p>
  </w:footnote>
  <w:footnote w:id="56">
    <w:p>
      <w:pPr>
        <w:pStyle w:val="Footnote"/>
      </w:pPr>
      <w:r>
        <w:rPr>
          <w:sz w:val="16"/>
          <w:szCs w:val="16"/>
          <w:vertAlign w:val="superscript"/>
        </w:rPr>
        <w:footnoteRef/>
      </w:r>
      <w:r>
        <w:rPr>
          <w:sz w:val="16"/>
          <w:szCs w:val="16"/>
          <w:rtl w:val="0"/>
        </w:rPr>
        <w:t xml:space="preserve"> </w:t>
      </w:r>
      <w:r>
        <w:rPr>
          <w:sz w:val="16"/>
          <w:szCs w:val="16"/>
          <w:rtl w:val="0"/>
          <w:lang w:val="en-US"/>
        </w:rPr>
        <w:t>United Nations General Assembly, "Declaration on the Establishment of a NIEO," (1974), Para. 2. [[</w:t>
      </w:r>
      <w:r>
        <w:rPr>
          <w:rStyle w:val="Hyperlink.0"/>
          <w:sz w:val="16"/>
          <w:szCs w:val="16"/>
        </w:rPr>
        <w:fldChar w:fldCharType="begin" w:fldLock="0"/>
      </w:r>
      <w:r>
        <w:rPr>
          <w:rStyle w:val="Hyperlink.0"/>
          <w:sz w:val="16"/>
          <w:szCs w:val="16"/>
        </w:rPr>
        <w:instrText xml:space="preserve"> HYPERLINK "https://digitallibrary.un.org/record/218450?ln=en"</w:instrText>
      </w:r>
      <w:r>
        <w:rPr>
          <w:rStyle w:val="Hyperlink.0"/>
          <w:sz w:val="16"/>
          <w:szCs w:val="16"/>
        </w:rPr>
        <w:fldChar w:fldCharType="separate" w:fldLock="0"/>
      </w:r>
      <w:r>
        <w:rPr>
          <w:rStyle w:val="Hyperlink.0"/>
          <w:sz w:val="16"/>
          <w:szCs w:val="16"/>
          <w:rtl w:val="0"/>
          <w:lang w:val="en-US"/>
        </w:rPr>
        <w:t>https://digitallibrary.un.org/record/218450?ln=en</w:t>
      </w:r>
      <w:r>
        <w:rPr>
          <w:sz w:val="16"/>
          <w:szCs w:val="16"/>
        </w:rPr>
        <w:fldChar w:fldCharType="end" w:fldLock="0"/>
      </w:r>
      <w:r>
        <w:rPr>
          <w:sz w:val="16"/>
          <w:szCs w:val="16"/>
          <w:rtl w:val="0"/>
          <w:lang w:val="en-US"/>
        </w:rPr>
        <w:t>]:</w:t>
      </w:r>
    </w:p>
  </w:footnote>
  <w:footnote w:id="57">
    <w:p>
      <w:pPr>
        <w:pStyle w:val="Footnote"/>
        <w:rPr>
          <w:sz w:val="16"/>
          <w:szCs w:val="16"/>
        </w:rPr>
      </w:pPr>
      <w:r>
        <w:rPr>
          <w:sz w:val="16"/>
          <w:szCs w:val="16"/>
          <w:vertAlign w:val="superscript"/>
        </w:rPr>
        <w:footnoteRef/>
      </w:r>
      <w:r>
        <w:rPr>
          <w:sz w:val="16"/>
          <w:szCs w:val="16"/>
          <w:rtl w:val="0"/>
          <w:lang w:val="en-US"/>
        </w:rPr>
        <w:t xml:space="preserve"> United Nations General Assembly, "Declaration on the Establishment of a NIEO," (1974), Para. 2. [[</w:t>
      </w:r>
      <w:r>
        <w:rPr>
          <w:rStyle w:val="Hyperlink.0"/>
          <w:sz w:val="16"/>
          <w:szCs w:val="16"/>
        </w:rPr>
        <w:fldChar w:fldCharType="begin" w:fldLock="0"/>
      </w:r>
      <w:r>
        <w:rPr>
          <w:rStyle w:val="Hyperlink.0"/>
          <w:sz w:val="16"/>
          <w:szCs w:val="16"/>
        </w:rPr>
        <w:instrText xml:space="preserve"> HYPERLINK "https://digitallibrary.un.org/record/218450?ln=en"</w:instrText>
      </w:r>
      <w:r>
        <w:rPr>
          <w:rStyle w:val="Hyperlink.0"/>
          <w:sz w:val="16"/>
          <w:szCs w:val="16"/>
        </w:rPr>
        <w:fldChar w:fldCharType="separate" w:fldLock="0"/>
      </w:r>
      <w:r>
        <w:rPr>
          <w:rStyle w:val="Hyperlink.0"/>
          <w:sz w:val="16"/>
          <w:szCs w:val="16"/>
          <w:rtl w:val="0"/>
          <w:lang w:val="en-US"/>
        </w:rPr>
        <w:t>https://digitallibrary.un.org/record/218450?ln=en</w:t>
      </w:r>
      <w:r>
        <w:rPr>
          <w:sz w:val="16"/>
          <w:szCs w:val="16"/>
        </w:rPr>
        <w:fldChar w:fldCharType="end" w:fldLock="0"/>
      </w:r>
      <w:r>
        <w:rPr>
          <w:sz w:val="16"/>
          <w:szCs w:val="16"/>
          <w:rtl w:val="0"/>
          <w:lang w:val="en-US"/>
        </w:rPr>
        <w:t xml:space="preserve">]; The same sentiment can be found in Bedjaoui, who expresses this so eloquently in </w:t>
      </w:r>
      <w:r>
        <w:rPr>
          <w:i w:val="1"/>
          <w:iCs w:val="1"/>
          <w:sz w:val="16"/>
          <w:szCs w:val="16"/>
          <w:rtl w:val="0"/>
          <w:lang w:val="en-US"/>
        </w:rPr>
        <w:t xml:space="preserve">Towards a New International Economic Order </w:t>
      </w:r>
      <w:r>
        <w:rPr>
          <w:sz w:val="16"/>
          <w:szCs w:val="16"/>
          <w:rtl w:val="0"/>
          <w:lang w:val="en-US"/>
        </w:rPr>
        <w:t xml:space="preserve">(1979): </w:t>
      </w:r>
    </w:p>
    <w:p>
      <w:pPr>
        <w:pStyle w:val="Footnote"/>
        <w:rPr>
          <w:sz w:val="16"/>
          <w:szCs w:val="16"/>
        </w:rPr>
      </w:pPr>
    </w:p>
    <w:p>
      <w:pPr>
        <w:pStyle w:val="Footnote"/>
      </w:pPr>
      <w:r>
        <w:rPr>
          <w:sz w:val="16"/>
          <w:szCs w:val="16"/>
          <w:rtl w:val="0"/>
          <w:lang w:val="en-US"/>
        </w:rPr>
        <w:t xml:space="preserve">'The underdeveloped countries, too long excluded from international relations by an inegalitarian and inequitable system, do not hanker after its converse, which would favour them and make the privileged of the past and the present the outcasts of the future. That would be neither just nor possible, neither desirable nor realistic. The right to development is something which brings life to countries hitherto excluded from that development. But the underdeveloped countries are aware that peace and progress cannot be served by obstructing or destroying the development of the advanced countries. All the fundamental structural changes that the activities of the Third World countries are gradually working towards, aim at the </w:t>
      </w:r>
      <w:r>
        <w:rPr>
          <w:sz w:val="16"/>
          <w:szCs w:val="16"/>
          <w:rtl w:val="1"/>
        </w:rPr>
        <w:t>‘</w:t>
      </w:r>
      <w:r>
        <w:rPr>
          <w:sz w:val="16"/>
          <w:szCs w:val="16"/>
          <w:rtl w:val="0"/>
          <w:lang w:val="en-US"/>
        </w:rPr>
        <w:t>integrated development</w:t>
      </w:r>
      <w:r>
        <w:rPr>
          <w:sz w:val="16"/>
          <w:szCs w:val="16"/>
          <w:rtl w:val="1"/>
        </w:rPr>
        <w:t xml:space="preserve">’ </w:t>
      </w:r>
      <w:r>
        <w:rPr>
          <w:sz w:val="16"/>
          <w:szCs w:val="16"/>
          <w:rtl w:val="0"/>
          <w:lang w:val="en-US"/>
        </w:rPr>
        <w:t>of the whole world. Resources must be used as efficiently as possible to foster the development of all human societies; and it is there that the reserves of growth lie.</w:t>
      </w:r>
      <w:r>
        <w:rPr>
          <w:sz w:val="16"/>
          <w:szCs w:val="16"/>
          <w:rtl w:val="1"/>
        </w:rPr>
        <w:t xml:space="preserve">’ </w:t>
      </w:r>
      <w:r>
        <w:rPr>
          <w:sz w:val="16"/>
          <w:szCs w:val="16"/>
          <w:rtl w:val="0"/>
        </w:rPr>
        <w:t>p. 72.</w:t>
      </w:r>
    </w:p>
  </w:footnote>
  <w:footnote w:id="58">
    <w:p>
      <w:pPr>
        <w:pStyle w:val="Footnote"/>
      </w:pPr>
      <w:r>
        <w:rPr>
          <w:sz w:val="16"/>
          <w:szCs w:val="16"/>
          <w:vertAlign w:val="superscript"/>
        </w:rPr>
        <w:footnoteRef/>
      </w:r>
      <w:r>
        <w:rPr>
          <w:sz w:val="16"/>
          <w:szCs w:val="16"/>
          <w:rtl w:val="0"/>
          <w:lang w:val="nl-NL"/>
        </w:rPr>
        <w:t xml:space="preserve"> 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 pp. 270, 289.</w:t>
      </w:r>
    </w:p>
  </w:footnote>
  <w:footnote w:id="59">
    <w:p>
      <w:pPr>
        <w:pStyle w:val="Footnote"/>
        <w:rPr>
          <w:sz w:val="16"/>
          <w:szCs w:val="16"/>
        </w:rPr>
      </w:pPr>
      <w:r>
        <w:rPr>
          <w:sz w:val="16"/>
          <w:szCs w:val="16"/>
          <w:vertAlign w:val="superscript"/>
        </w:rPr>
        <w:footnoteRef/>
      </w:r>
      <w:r>
        <w:rPr>
          <w:sz w:val="16"/>
          <w:szCs w:val="16"/>
          <w:rtl w:val="0"/>
          <w:lang w:val="nl-NL"/>
        </w:rPr>
        <w:t xml:space="preserve"> 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 pp. 11-12.</w:t>
      </w:r>
    </w:p>
    <w:p>
      <w:pPr>
        <w:pStyle w:val="Footnote"/>
        <w:rPr>
          <w:sz w:val="16"/>
          <w:szCs w:val="16"/>
        </w:rPr>
      </w:pPr>
    </w:p>
    <w:p>
      <w:pPr>
        <w:pStyle w:val="Footnote"/>
      </w:pPr>
      <w:r>
        <w:rPr>
          <w:sz w:val="16"/>
          <w:szCs w:val="16"/>
          <w:rtl w:val="0"/>
          <w:lang w:val="en-US"/>
        </w:rPr>
        <w:t>'Their first objective was to develop confidence in the new pattern of exchange rates until these rates had time to reduce the large imbalances in international payments that had existed at least since 1966. These imbalances consisted primarily of a deficit by the United States and substantial surpluses by most other industrial countries. Their second objective was to negotiate a long-term reform of the international monetary system to replace the Bretton Woods system set up in 1944. The objectives of developing confidence in the new exchange rates and of planning a reformed system were interconnected. Confidence in the exchange rates would make it more likely that these rates would correct the chronic payments imbalances. Overcoming these imbalances would in turn facilitate negotiations for reforming the system. Positive steps toward a reformed system would also make the exchange markets more confident of the new rates.' pp. 11-12.</w:t>
      </w:r>
    </w:p>
  </w:footnote>
  <w:footnote w:id="60">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Ibid., p. 191; </w:t>
      </w:r>
      <w:r>
        <w:rPr>
          <w:sz w:val="16"/>
          <w:szCs w:val="16"/>
          <w:rtl w:val="0"/>
          <w:lang w:val="en-US"/>
        </w:rPr>
        <w:t>Barry</w:t>
      </w:r>
      <w:r>
        <w:rPr>
          <w:sz w:val="16"/>
          <w:szCs w:val="16"/>
          <w:rtl w:val="0"/>
          <w:lang w:val="en-US"/>
        </w:rPr>
        <w:t xml:space="preserve"> </w:t>
      </w:r>
      <w:r>
        <w:rPr>
          <w:sz w:val="16"/>
          <w:szCs w:val="16"/>
          <w:rtl w:val="0"/>
          <w:lang w:val="de-DE"/>
        </w:rPr>
        <w:t xml:space="preserve">Eichengreen. </w:t>
      </w:r>
      <w:r>
        <w:rPr>
          <w:i w:val="1"/>
          <w:iCs w:val="1"/>
          <w:sz w:val="16"/>
          <w:szCs w:val="16"/>
          <w:rtl w:val="0"/>
          <w:lang w:val="en-US"/>
        </w:rPr>
        <w:t xml:space="preserve">Globalizing </w:t>
      </w:r>
      <w:r>
        <w:rPr>
          <w:i w:val="1"/>
          <w:iCs w:val="1"/>
          <w:sz w:val="16"/>
          <w:szCs w:val="16"/>
          <w:rtl w:val="0"/>
          <w:lang w:val="en-US"/>
        </w:rPr>
        <w:t>C</w:t>
      </w:r>
      <w:r>
        <w:rPr>
          <w:i w:val="1"/>
          <w:iCs w:val="1"/>
          <w:sz w:val="16"/>
          <w:szCs w:val="16"/>
          <w:rtl w:val="0"/>
        </w:rPr>
        <w:t xml:space="preserve">apital: a </w:t>
      </w:r>
      <w:r>
        <w:rPr>
          <w:i w:val="1"/>
          <w:iCs w:val="1"/>
          <w:sz w:val="16"/>
          <w:szCs w:val="16"/>
          <w:rtl w:val="0"/>
          <w:lang w:val="en-US"/>
        </w:rPr>
        <w:t>H</w:t>
      </w:r>
      <w:r>
        <w:rPr>
          <w:i w:val="1"/>
          <w:iCs w:val="1"/>
          <w:sz w:val="16"/>
          <w:szCs w:val="16"/>
          <w:rtl w:val="0"/>
          <w:lang w:val="en-US"/>
        </w:rPr>
        <w:t xml:space="preserve">istory of the </w:t>
      </w:r>
      <w:r>
        <w:rPr>
          <w:i w:val="1"/>
          <w:iCs w:val="1"/>
          <w:sz w:val="16"/>
          <w:szCs w:val="16"/>
          <w:rtl w:val="0"/>
          <w:lang w:val="en-US"/>
        </w:rPr>
        <w:t>I</w:t>
      </w:r>
      <w:r>
        <w:rPr>
          <w:i w:val="1"/>
          <w:iCs w:val="1"/>
          <w:sz w:val="16"/>
          <w:szCs w:val="16"/>
          <w:rtl w:val="0"/>
          <w:lang w:val="fr-FR"/>
        </w:rPr>
        <w:t xml:space="preserve">nternational </w:t>
      </w:r>
      <w:r>
        <w:rPr>
          <w:i w:val="1"/>
          <w:iCs w:val="1"/>
          <w:sz w:val="16"/>
          <w:szCs w:val="16"/>
          <w:rtl w:val="0"/>
          <w:lang w:val="en-US"/>
        </w:rPr>
        <w:t>M</w:t>
      </w:r>
      <w:r>
        <w:rPr>
          <w:i w:val="1"/>
          <w:iCs w:val="1"/>
          <w:sz w:val="16"/>
          <w:szCs w:val="16"/>
          <w:rtl w:val="0"/>
          <w:lang w:val="en-US"/>
        </w:rPr>
        <w:t xml:space="preserve">onetary </w:t>
      </w:r>
      <w:r>
        <w:rPr>
          <w:i w:val="1"/>
          <w:iCs w:val="1"/>
          <w:sz w:val="16"/>
          <w:szCs w:val="16"/>
          <w:rtl w:val="0"/>
          <w:lang w:val="en-US"/>
        </w:rPr>
        <w:t>S</w:t>
      </w:r>
      <w:r>
        <w:rPr>
          <w:i w:val="1"/>
          <w:iCs w:val="1"/>
          <w:sz w:val="16"/>
          <w:szCs w:val="16"/>
          <w:rtl w:val="0"/>
        </w:rPr>
        <w:t>ystem</w:t>
      </w:r>
      <w:r>
        <w:rPr>
          <w:sz w:val="16"/>
          <w:szCs w:val="16"/>
          <w:rtl w:val="0"/>
          <w:lang w:val="en-US"/>
        </w:rPr>
        <w:t>. Princeton University Press, 2019</w:t>
      </w:r>
      <w:r>
        <w:rPr>
          <w:sz w:val="16"/>
          <w:szCs w:val="16"/>
          <w:rtl w:val="0"/>
          <w:lang w:val="en-US"/>
        </w:rPr>
        <w:t>:</w:t>
      </w:r>
    </w:p>
    <w:p>
      <w:pPr>
        <w:pStyle w:val="Footnote"/>
        <w:rPr>
          <w:sz w:val="16"/>
          <w:szCs w:val="16"/>
        </w:rPr>
      </w:pPr>
    </w:p>
    <w:p>
      <w:pPr>
        <w:pStyle w:val="Footnote"/>
      </w:pPr>
      <w:r>
        <w:rPr>
          <w:sz w:val="16"/>
          <w:szCs w:val="16"/>
          <w:rtl w:val="0"/>
          <w:lang w:val="en-US"/>
        </w:rPr>
        <w:t>'Another attack on sterling, prompted by the inflationary policies of British prime minister Edward Heath, forced Britain to float the currency out of its Smithsonian band in 1972. This set the stage for the final act. Flight from the dollar in early 1973 led Switzerland and others to float their currencies. A second devaluation of the dollar, by 10 percent against the major European currencies and a larger amount against the yen, was negotiated, but without assuring the markets that the underlying imbalance had been removed. Flight from the dollar resumed, and this time Germany and its partners in the EEC jointly floated their currencies upward. The Bretton Woods international monetary system was no more.' pp. 131-132.</w:t>
      </w:r>
    </w:p>
  </w:footnote>
  <w:footnote w:id="61">
    <w:p>
      <w:pPr>
        <w:pStyle w:val="Footnote"/>
        <w:rPr>
          <w:sz w:val="16"/>
          <w:szCs w:val="16"/>
        </w:rPr>
      </w:pPr>
      <w:r>
        <w:rPr>
          <w:sz w:val="16"/>
          <w:szCs w:val="16"/>
          <w:vertAlign w:val="superscript"/>
        </w:rPr>
        <w:footnoteRef/>
      </w:r>
      <w:r>
        <w:rPr>
          <w:sz w:val="16"/>
          <w:szCs w:val="16"/>
          <w:rtl w:val="1"/>
        </w:rPr>
        <w:t xml:space="preserve"> ‘</w:t>
      </w:r>
      <w:r>
        <w:rPr>
          <w:sz w:val="16"/>
          <w:szCs w:val="16"/>
          <w:rtl w:val="0"/>
          <w:lang w:val="en-US"/>
        </w:rPr>
        <w:t>In a perceptive statement, Mr. Whitelaw took the view that the best outcome was that the international monetary system would reform itself. As time progressed, the deputies might be able, in Mr. Whitelaw's words, "to divine what was practical and what was not, rather than to reason it out around a conference table." He underscored his point by noting that Australian authorities saw adjustment of the disequilibria in world payments at the heart of the reform exercise and that in practice such an adjustment was currently taking place as a result of the changes in exchange rates. Accordingly, the major change needed in the international monetary system would soon occur even without reform negotiations.</w:t>
      </w:r>
      <w:r>
        <w:rPr>
          <w:sz w:val="16"/>
          <w:szCs w:val="16"/>
          <w:rtl w:val="1"/>
        </w:rPr>
        <w:t xml:space="preserve">’ </w:t>
      </w:r>
      <w:r>
        <w:rPr>
          <w:sz w:val="16"/>
          <w:szCs w:val="16"/>
          <w:rtl w:val="0"/>
          <w:lang w:val="pt-PT"/>
        </w:rPr>
        <w:t>p. 238.</w:t>
      </w:r>
    </w:p>
    <w:p>
      <w:pPr>
        <w:pStyle w:val="Footnote"/>
        <w:rPr>
          <w:sz w:val="16"/>
          <w:szCs w:val="16"/>
        </w:rPr>
      </w:pPr>
      <w:r>
        <w:rPr>
          <w:sz w:val="16"/>
          <w:szCs w:val="16"/>
          <w:rtl w:val="0"/>
          <w:lang w:val="en-US"/>
        </w:rPr>
        <w:t>...</w:t>
      </w:r>
    </w:p>
    <w:p>
      <w:pPr>
        <w:pStyle w:val="Footnote"/>
        <w:rPr>
          <w:sz w:val="16"/>
          <w:szCs w:val="16"/>
        </w:rPr>
      </w:pPr>
      <w:r>
        <w:rPr>
          <w:sz w:val="16"/>
          <w:szCs w:val="16"/>
          <w:rtl w:val="1"/>
        </w:rPr>
        <w:t>‘</w:t>
      </w:r>
      <w:r>
        <w:rPr>
          <w:sz w:val="16"/>
          <w:szCs w:val="16"/>
          <w:rtl w:val="0"/>
          <w:lang w:val="en-US"/>
        </w:rPr>
        <w:t>In these circumstances the Committee of Twenty in effect decided to shift to a step-by-step, or evolutionary, approach to changing the international monetary system. In other words, instead of the reformed international monetary system coming into being all at once, or even having the features of the reformed system agreed all at once, a new international monetary system would be permitted to evolve out of existing arrangements. What the members of the Committee said in their communique following their Rome meeting was that "priority should be given to certain important aspects of reform . . . with a view to their early implementation. Other aspects of reform could be agreed with the understanding that their operational provisions would be developed and implemented at a later date."4 What they were saying was that reform was not being given up; rather a reformed system was to evolve on a piecemeal basis. For its remaining months, the Committee of Twenty would turn to the topics needing early implementation.</w:t>
      </w:r>
      <w:r>
        <w:rPr>
          <w:sz w:val="16"/>
          <w:szCs w:val="16"/>
          <w:rtl w:val="1"/>
        </w:rPr>
        <w:t xml:space="preserve">’ </w:t>
      </w:r>
      <w:r>
        <w:rPr>
          <w:sz w:val="16"/>
          <w:szCs w:val="16"/>
          <w:rtl w:val="0"/>
        </w:rPr>
        <w:t>p. 242-243.</w:t>
      </w:r>
    </w:p>
    <w:p>
      <w:pPr>
        <w:pStyle w:val="Footnote"/>
      </w:pPr>
      <w:r>
        <w:rPr>
          <w:sz w:val="16"/>
          <w:szCs w:val="16"/>
          <w:rtl w:val="0"/>
          <w:lang w:val="en-US"/>
        </w:rPr>
        <w:t>... p. 289.</w:t>
      </w:r>
    </w:p>
  </w:footnote>
  <w:footnote w:id="62">
    <w:p>
      <w:pPr>
        <w:pStyle w:val="Footnote"/>
        <w:rPr>
          <w:sz w:val="16"/>
          <w:szCs w:val="16"/>
        </w:rPr>
      </w:pPr>
      <w:r>
        <w:rPr>
          <w:sz w:val="16"/>
          <w:szCs w:val="16"/>
          <w:vertAlign w:val="superscript"/>
        </w:rPr>
        <w:footnoteRef/>
      </w:r>
      <w:r>
        <w:rPr>
          <w:sz w:val="16"/>
          <w:szCs w:val="16"/>
          <w:rtl w:val="0"/>
          <w:lang w:val="nl-NL"/>
        </w:rPr>
        <w:t xml:space="preserve"> 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w:t>
      </w:r>
    </w:p>
    <w:p>
      <w:pPr>
        <w:pStyle w:val="Footnote"/>
        <w:rPr>
          <w:sz w:val="16"/>
          <w:szCs w:val="16"/>
        </w:rPr>
      </w:pPr>
      <w:r>
        <w:rPr>
          <w:sz w:val="16"/>
          <w:szCs w:val="16"/>
          <w:rtl w:val="1"/>
        </w:rPr>
        <w:t>‘</w:t>
      </w:r>
      <w:r>
        <w:rPr>
          <w:sz w:val="16"/>
          <w:szCs w:val="16"/>
          <w:rtl w:val="0"/>
          <w:lang w:val="en-US"/>
        </w:rPr>
        <w:t>In these circumstances the Committee of Twenty in effect decided to shift to a step-by-step, or evolutionary, approach to changing the international monetary system. In other words, instead of the reformed international monetary system coming into being all at once, or even having the features of the reformed system agreed all at once, a new international monetary system would be permitted to evolve out of existing arrangements. What the members of the Committee said in their communique following their Rome meeting was that "priority should be given to certain important aspects of reform . . . with a view to their early implementation. Other aspects of reform could be agreed with the understanding that their operational provisions would be developed and implemented at a later date."4 What they were saying was that reform was not being given up; rather a reformed system was to evolve on a piecemeal basis. For its remaining months, the Committee of Twenty would turn to the topics needing early implementation. By concentrating on these topics monetary authorities hoped that existing international monetary arrangements might evolve without excessive disorder. While the members of the Committee of Twenty and their deputies were to discuss these topics, the Executive Board of the Fund was to take decisions, assisted in the usual way by the Managing Director and the staff. The Fund's regular policymaking bodies were thus brought back into the fold on the discussions and decisions concerning the international monetary system.</w:t>
      </w:r>
      <w:r>
        <w:rPr>
          <w:sz w:val="16"/>
          <w:szCs w:val="16"/>
          <w:rtl w:val="1"/>
        </w:rPr>
        <w:t xml:space="preserve">’ </w:t>
      </w:r>
      <w:r>
        <w:rPr>
          <w:sz w:val="16"/>
          <w:szCs w:val="16"/>
          <w:rtl w:val="0"/>
        </w:rPr>
        <w:t>p. 242-243.</w:t>
      </w:r>
    </w:p>
    <w:p>
      <w:pPr>
        <w:pStyle w:val="Footnote"/>
        <w:rPr>
          <w:sz w:val="16"/>
          <w:szCs w:val="16"/>
        </w:rPr>
      </w:pPr>
    </w:p>
    <w:p>
      <w:pPr>
        <w:pStyle w:val="Footnote"/>
      </w:pPr>
      <w:r>
        <w:rPr>
          <w:sz w:val="16"/>
          <w:szCs w:val="16"/>
          <w:rtl w:val="1"/>
        </w:rPr>
        <w:t>‘</w:t>
      </w:r>
      <w:r>
        <w:rPr>
          <w:sz w:val="16"/>
          <w:szCs w:val="16"/>
          <w:rtl w:val="0"/>
          <w:lang w:val="en-US"/>
        </w:rPr>
        <w:t>The report of the Committee to the Board of Governors first explained why the Committee switched its priority from planning an overall reformed international monetary system to working out immediate measures under which existing international monetary arrangements would evolve into a system. Essentially, "the uncertainties affecting the world economic outlook, related to inflation, the energy situation, and other unsettled conditions" had increased since the Nairobi meeting. The world's balance of payments structure was changing radically, and it was not yet clear to what extent the positions of individual countries would be altered or how adjustment would be achieved. It might be some time before there would be a return to a system based on stable but adjustable par values or to general convertibility. Nor would the full arrangements for management of the adjustment process and of global liquidity necessarily be feasible in the period immediately ahead. At the same time, the Committee regarded it "as of the highest importance that immediate steps should be taken to begin an evolutionary process of reform." There was, for example, a particular need to maintain close international consultation and surveillance of countries' balance of payments policies in the Fund and to develop orderly means of financing imbalances, including means of meeting the financial needs of many developing countries.</w:t>
      </w:r>
      <w:r>
        <w:rPr>
          <w:sz w:val="16"/>
          <w:szCs w:val="16"/>
          <w:rtl w:val="1"/>
        </w:rPr>
        <w:t xml:space="preserve">’ </w:t>
      </w:r>
      <w:r>
        <w:rPr>
          <w:sz w:val="16"/>
          <w:szCs w:val="16"/>
          <w:rtl w:val="0"/>
        </w:rPr>
        <w:t>p. 255-256.</w:t>
      </w:r>
    </w:p>
  </w:footnote>
  <w:footnote w:id="63">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Ibid. </w:t>
      </w:r>
      <w:r>
        <w:rPr>
          <w:sz w:val="16"/>
          <w:szCs w:val="16"/>
          <w:rtl w:val="0"/>
        </w:rPr>
        <w:t>pp. 240-241.</w:t>
      </w:r>
    </w:p>
    <w:p>
      <w:pPr>
        <w:pStyle w:val="Footnote"/>
        <w:rPr>
          <w:sz w:val="16"/>
          <w:szCs w:val="16"/>
        </w:rPr>
      </w:pPr>
    </w:p>
    <w:p>
      <w:pPr>
        <w:pStyle w:val="Footnote"/>
        <w:rPr>
          <w:sz w:val="16"/>
          <w:szCs w:val="16"/>
        </w:rPr>
      </w:pPr>
      <w:r>
        <w:rPr>
          <w:sz w:val="16"/>
          <w:szCs w:val="16"/>
          <w:rtl w:val="0"/>
          <w:lang w:val="en-US"/>
        </w:rPr>
        <w:t xml:space="preserve">Here, Algeria was expressing a concern of all developing states, because the effects of a freely floating system, and reliance on US dollar as international reserve, were especially bad for them. The freely floating system had effectively come into play as the default posittion, something that US negotiators used to their advantage, by claiming that they much preferred doing nothing and allowing a system of floating rates. When even France and Germany decided to float, it was now up to the leaders whose states would be most severely effected by the breakdown in negotiations. See: </w:t>
      </w:r>
      <w:r>
        <w:rPr>
          <w:sz w:val="16"/>
          <w:szCs w:val="16"/>
          <w:rtl w:val="0"/>
          <w:lang w:val="en-US"/>
        </w:rPr>
        <w:t>Stephany</w:t>
      </w:r>
      <w:r>
        <w:rPr>
          <w:sz w:val="16"/>
          <w:szCs w:val="16"/>
          <w:rtl w:val="0"/>
          <w:lang w:val="en-US"/>
        </w:rPr>
        <w:t xml:space="preserve"> </w:t>
      </w:r>
      <w:r>
        <w:rPr>
          <w:sz w:val="16"/>
          <w:szCs w:val="16"/>
          <w:rtl w:val="0"/>
          <w:lang w:val="en-US"/>
        </w:rPr>
        <w:t>Griffith-Jones, and Jose A. Ocampo. "Compensatory financing for shocks: what changes are needed?." (2008).</w:t>
      </w:r>
    </w:p>
    <w:p>
      <w:pPr>
        <w:pStyle w:val="Footnote"/>
        <w:rPr>
          <w:sz w:val="16"/>
          <w:szCs w:val="16"/>
        </w:rPr>
      </w:pPr>
    </w:p>
    <w:p>
      <w:pPr>
        <w:pStyle w:val="Footnote"/>
      </w:pPr>
      <w:r>
        <w:rPr>
          <w:sz w:val="16"/>
          <w:szCs w:val="16"/>
          <w:rtl w:val="0"/>
          <w:lang w:val="en-US"/>
        </w:rPr>
        <w:t xml:space="preserve">'These shocks are very costly both for low- and middle-income countries. Low-income countries have more limited room to build cushions of reserves and fiscal resources as a buffer against shocks. Such "self-insurance" in the form of higher reserves may have a particularly high opportunity cost for low-income countries, but also have high costs for middle-income countries.1 These costs are both the opportunity costs of not using such reserves for higher investment or consumption as well as direct financial ones. The latter include both the social losses incurred by countries associated to the difference between interest rates earned on reserves and the average cost of external liabilities, as well as, for central banks, the difference between the former and the costs of open market operations (to the extent that the monetary effect of reserve accumulation is sterilized using this policy instrument). The decline of the U.S. dollar, in which these reserves are mainly held, has further added to these financial costs of holding reserves (see Rodrik, 2006 and Cortez, Izurieta and Vos, 2008). As a result, effective official compensatory flows can play a crucial role in avoiding unnecessary costs to developing countries and poor people, both by reducing the need to hold such high levels of reserves and </w:t>
      </w:r>
      <w:r>
        <w:rPr>
          <w:sz w:val="16"/>
          <w:szCs w:val="16"/>
          <w:rtl w:val="0"/>
        </w:rPr>
        <w:t xml:space="preserve">– </w:t>
      </w:r>
      <w:r>
        <w:rPr>
          <w:sz w:val="16"/>
          <w:szCs w:val="16"/>
          <w:rtl w:val="0"/>
          <w:lang w:val="en-US"/>
        </w:rPr>
        <w:t xml:space="preserve">more importantly </w:t>
      </w:r>
      <w:r>
        <w:rPr>
          <w:sz w:val="16"/>
          <w:szCs w:val="16"/>
          <w:rtl w:val="0"/>
        </w:rPr>
        <w:t xml:space="preserve">– </w:t>
      </w:r>
      <w:r>
        <w:rPr>
          <w:sz w:val="16"/>
          <w:szCs w:val="16"/>
          <w:rtl w:val="0"/>
          <w:lang w:val="en-US"/>
        </w:rPr>
        <w:t xml:space="preserve">by helping avoid unnecessary adjustment. As regards the former, the existence of adequate and reliable official compensatory facilities would reduce </w:t>
      </w:r>
      <w:r>
        <w:rPr>
          <w:sz w:val="16"/>
          <w:szCs w:val="16"/>
          <w:rtl w:val="0"/>
        </w:rPr>
        <w:t xml:space="preserve">– </w:t>
      </w:r>
      <w:r>
        <w:rPr>
          <w:sz w:val="16"/>
          <w:szCs w:val="16"/>
          <w:rtl w:val="0"/>
          <w:lang w:val="en-US"/>
        </w:rPr>
        <w:t xml:space="preserve">but clearly not eliminate </w:t>
      </w:r>
      <w:r>
        <w:rPr>
          <w:sz w:val="16"/>
          <w:szCs w:val="16"/>
          <w:rtl w:val="0"/>
        </w:rPr>
        <w:t xml:space="preserve">– </w:t>
      </w:r>
      <w:r>
        <w:rPr>
          <w:sz w:val="16"/>
          <w:szCs w:val="16"/>
          <w:rtl w:val="0"/>
          <w:lang w:val="en-US"/>
        </w:rPr>
        <w:t>the need for a minimum prudent level of countries</w:t>
      </w:r>
      <w:r>
        <w:rPr>
          <w:sz w:val="16"/>
          <w:szCs w:val="16"/>
          <w:rtl w:val="1"/>
        </w:rPr>
        <w:t xml:space="preserve">’ </w:t>
      </w:r>
      <w:r>
        <w:rPr>
          <w:sz w:val="16"/>
          <w:szCs w:val="16"/>
          <w:rtl w:val="0"/>
          <w:lang w:val="en-US"/>
        </w:rPr>
        <w:t>foreign exchange reserves.' p. 1.</w:t>
      </w:r>
    </w:p>
  </w:footnote>
  <w:footnote w:id="64">
    <w:p>
      <w:pPr>
        <w:pStyle w:val="Footnote"/>
      </w:pPr>
      <w:r>
        <w:rPr>
          <w:sz w:val="16"/>
          <w:szCs w:val="16"/>
          <w:vertAlign w:val="superscript"/>
        </w:rPr>
        <w:footnoteRef/>
      </w:r>
      <w:r>
        <w:rPr>
          <w:sz w:val="16"/>
          <w:szCs w:val="16"/>
          <w:rtl w:val="0"/>
        </w:rPr>
        <w:t xml:space="preserve"> </w:t>
      </w:r>
      <w:r>
        <w:rPr>
          <w:sz w:val="16"/>
          <w:szCs w:val="16"/>
          <w:rtl w:val="0"/>
          <w:lang w:val="en-US"/>
        </w:rPr>
        <w:t>'</w:t>
      </w:r>
      <w:r>
        <w:rPr>
          <w:sz w:val="16"/>
          <w:szCs w:val="16"/>
          <w:rtl w:val="0"/>
          <w:lang w:val="en-US"/>
        </w:rPr>
        <w:t>The Fund staff estimated in January 1974 that the combined current account surplus of the nine major oil exporting countries would increase in 1974 to perhaps $65 billion, more than 13 times the surplus of 1973, which, as just noted, itself had been more than double the 1972 level. This anticipated increase would have its counterpart in a deterioration of similar magnitude for all other countries combined. The staff estimated that two thirds of this deterioration would be incurred by the industrial countries, shifting them from their current account surplus of $10 billion in 1973 to a deficit of $22 billion in 1974, and that one third of the deterioration in balance of payments positions would be by what the Fund was now calling the "non-oil primary producing countries." This group of countries could incur current account deficits in 1974 aggregating perhaps $27 billion, $20 billion larger than they had been experiencing. Unusually severe balance of payments problems were foreseen for the less developed non-oil primary producing countries, which were expected to have enlarged current account deficits possibly totaling more than $20 billion in 1974.</w:t>
      </w:r>
      <w:r>
        <w:rPr>
          <w:sz w:val="16"/>
          <w:szCs w:val="16"/>
          <w:rtl w:val="1"/>
        </w:rPr>
        <w:t xml:space="preserve">’ </w:t>
      </w:r>
      <w:r>
        <w:rPr>
          <w:sz w:val="16"/>
          <w:szCs w:val="16"/>
          <w:rtl w:val="0"/>
        </w:rPr>
        <w:t>p. 309.</w:t>
      </w:r>
    </w:p>
  </w:footnote>
  <w:footnote w:id="65">
    <w:p>
      <w:pPr>
        <w:pStyle w:val="Footnote"/>
        <w:rPr>
          <w:sz w:val="16"/>
          <w:szCs w:val="16"/>
        </w:rPr>
      </w:pPr>
      <w:r>
        <w:rPr>
          <w:sz w:val="16"/>
          <w:szCs w:val="16"/>
          <w:vertAlign w:val="superscript"/>
        </w:rPr>
        <w:footnoteRef/>
      </w:r>
      <w:r>
        <w:rPr>
          <w:sz w:val="16"/>
          <w:szCs w:val="16"/>
          <w:rtl w:val="0"/>
          <w:lang w:val="nl-NL"/>
        </w:rPr>
        <w:t xml:space="preserve"> 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 xml:space="preserve">, pp. 309-310; </w:t>
      </w:r>
      <w:r>
        <w:rPr>
          <w:sz w:val="16"/>
          <w:szCs w:val="16"/>
          <w:rtl w:val="0"/>
        </w:rPr>
        <w:t>C. Fred</w:t>
      </w:r>
      <w:r>
        <w:rPr>
          <w:sz w:val="16"/>
          <w:szCs w:val="16"/>
          <w:rtl w:val="0"/>
          <w:lang w:val="en-US"/>
        </w:rPr>
        <w:t xml:space="preserve"> Bergsten</w:t>
      </w:r>
      <w:r>
        <w:rPr>
          <w:sz w:val="16"/>
          <w:szCs w:val="16"/>
          <w:rtl w:val="0"/>
          <w:lang w:val="en-US"/>
        </w:rPr>
        <w:t xml:space="preserve">. "New urgency for international monetary reform." </w:t>
      </w:r>
      <w:r>
        <w:rPr>
          <w:i w:val="1"/>
          <w:iCs w:val="1"/>
          <w:sz w:val="16"/>
          <w:szCs w:val="16"/>
          <w:rtl w:val="0"/>
          <w:lang w:val="en-US"/>
        </w:rPr>
        <w:t>Foreign Policy</w:t>
      </w:r>
      <w:r>
        <w:rPr>
          <w:sz w:val="16"/>
          <w:szCs w:val="16"/>
          <w:rtl w:val="0"/>
        </w:rPr>
        <w:t xml:space="preserve"> 19 (1975): </w:t>
      </w:r>
      <w:r>
        <w:rPr>
          <w:sz w:val="16"/>
          <w:szCs w:val="16"/>
          <w:rtl w:val="0"/>
          <w:lang w:val="en-US"/>
        </w:rPr>
        <w:t>pp. 82-83:</w:t>
      </w:r>
    </w:p>
    <w:p>
      <w:pPr>
        <w:pStyle w:val="Footnote"/>
        <w:rPr>
          <w:sz w:val="16"/>
          <w:szCs w:val="16"/>
        </w:rPr>
      </w:pPr>
    </w:p>
    <w:p>
      <w:pPr>
        <w:pStyle w:val="Footnote"/>
        <w:rPr>
          <w:sz w:val="16"/>
          <w:szCs w:val="16"/>
        </w:rPr>
      </w:pPr>
      <w:r>
        <w:rPr>
          <w:sz w:val="16"/>
          <w:szCs w:val="16"/>
          <w:rtl w:val="0"/>
          <w:lang w:val="en-US"/>
        </w:rPr>
        <w:t>'But the original holders of the overhang, the industrialized countries whose balance-of-payments surpluses mirrored the U.S. balance-of-payments deficits which created it, based their decisions on the dollar wholly on economic considerations. As allies of the United States, they never feared political action against their holdings.</w:t>
      </w:r>
    </w:p>
    <w:p>
      <w:pPr>
        <w:pStyle w:val="Footnote"/>
        <w:rPr>
          <w:sz w:val="16"/>
          <w:szCs w:val="16"/>
        </w:rPr>
      </w:pPr>
    </w:p>
    <w:p>
      <w:pPr>
        <w:pStyle w:val="Footnote"/>
        <w:rPr>
          <w:sz w:val="16"/>
          <w:szCs w:val="16"/>
        </w:rPr>
      </w:pPr>
      <w:r>
        <w:rPr>
          <w:sz w:val="16"/>
          <w:szCs w:val="16"/>
          <w:rtl w:val="0"/>
          <w:lang w:val="en-US"/>
        </w:rPr>
        <w:t>Because of the increase in oil prices, however, the overhang is now shifting to the oil-exporting countries. The liquid assets of OPEC countries rose by about $50 billion in 1974, and will rise by a roughly similar amount this year. Some of these surpluses have been mirrored by losses of dollar reserves by oil-consuming countries. In some cases, oil consumers have avoided reserve</w:t>
      </w:r>
    </w:p>
    <w:p>
      <w:pPr>
        <w:pStyle w:val="Footnote"/>
        <w:rPr>
          <w:sz w:val="16"/>
          <w:szCs w:val="16"/>
        </w:rPr>
      </w:pPr>
      <w:r>
        <w:rPr>
          <w:sz w:val="16"/>
          <w:szCs w:val="16"/>
          <w:rtl w:val="0"/>
          <w:lang w:val="en-US"/>
        </w:rPr>
        <w:t>losses by borrowing dollars back from oil producers.4 Either way, the overhang shifts from traditional holders to OPEC countries.</w:t>
      </w:r>
    </w:p>
    <w:p>
      <w:pPr>
        <w:pStyle w:val="Footnote"/>
        <w:rPr>
          <w:sz w:val="16"/>
          <w:szCs w:val="16"/>
        </w:rPr>
      </w:pPr>
    </w:p>
    <w:p>
      <w:pPr>
        <w:pStyle w:val="Footnote"/>
      </w:pPr>
      <w:r>
        <w:rPr>
          <w:sz w:val="16"/>
          <w:szCs w:val="16"/>
          <w:rtl w:val="0"/>
          <w:lang w:val="en-US"/>
        </w:rPr>
        <w:t>This means that foreign dollar balances are moving from the political allies of the United States to its potential political adversaries. As a result, the portfolio adjustment out of dollars is now being accelerated by political factors.' pp. 82-83.</w:t>
      </w:r>
    </w:p>
  </w:footnote>
  <w:footnote w:id="66">
    <w:p>
      <w:pPr>
        <w:pStyle w:val="Footnote"/>
        <w:rPr>
          <w:sz w:val="16"/>
          <w:szCs w:val="16"/>
        </w:rPr>
      </w:pPr>
      <w:r>
        <w:rPr>
          <w:sz w:val="16"/>
          <w:szCs w:val="16"/>
          <w:vertAlign w:val="superscript"/>
        </w:rPr>
        <w:footnoteRef/>
      </w:r>
      <w:r>
        <w:rPr>
          <w:sz w:val="16"/>
          <w:szCs w:val="16"/>
          <w:rtl w:val="0"/>
          <w:lang w:val="nl-NL"/>
        </w:rPr>
        <w:t xml:space="preserve"> 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w:t>
      </w:r>
    </w:p>
    <w:p>
      <w:pPr>
        <w:pStyle w:val="Footnote"/>
        <w:rPr>
          <w:sz w:val="16"/>
          <w:szCs w:val="16"/>
        </w:rPr>
      </w:pPr>
    </w:p>
    <w:p>
      <w:pPr>
        <w:pStyle w:val="Footnote"/>
      </w:pPr>
      <w:r>
        <w:rPr>
          <w:sz w:val="16"/>
          <w:szCs w:val="16"/>
          <w:rtl w:val="1"/>
        </w:rPr>
        <w:t>‘</w:t>
      </w:r>
      <w:r>
        <w:rPr>
          <w:sz w:val="16"/>
          <w:szCs w:val="16"/>
          <w:rtl w:val="0"/>
          <w:lang w:val="en-US"/>
        </w:rPr>
        <w:t>When the Committee of Twenty next met, at the Palazzo dei Congressi in Rome, on January 14-15 at the deputy level and on January 17-18 at the ministerial level, a substantial increase in the price of crude oil had occurred and huge imbalances were expected in the payments positions of all countries. None of the large industrial countries was ready to commit itself to a par value or a fixed exchange rate in the face of uncertainties in its future balance of payments position. In fact, most officials had come to the conclusion that a large measure of floating was unavoidable and even desirable. As a minimum, they all agreed that if the system of par values had not broken down earlier it would have surely succumbed to the payments problems engendered by the new oil crisis. Even French officials, who had been adamantly in favor of fixed rates and against floating rates in all but the most extreme emergencies, conceded that the current regime including floating exchange rates might well have to continue. Indeed, on January 19, a few days after the Committee of Twenty's meeting in Rome, France itself floated the franc temporarily. French officials notified the Fund that during the next six months and on a provisional basis the interventions of the Exchange Stabilization Fund would no longer aim at limiting the exchange rates between the franc and certain other currencies within predetermined margins. In effect, the franc was withdrawn from the EC snake arrangements to float freely "for six months."</w:t>
      </w:r>
      <w:r>
        <w:rPr>
          <w:sz w:val="16"/>
          <w:szCs w:val="16"/>
          <w:rtl w:val="1"/>
        </w:rPr>
        <w:t xml:space="preserve">’ </w:t>
      </w:r>
      <w:r>
        <w:rPr>
          <w:sz w:val="16"/>
          <w:szCs w:val="16"/>
          <w:rtl w:val="0"/>
        </w:rPr>
        <w:t>p. 242.</w:t>
      </w:r>
    </w:p>
  </w:footnote>
  <w:footnote w:id="67">
    <w:p>
      <w:pPr>
        <w:pStyle w:val="Footnote"/>
        <w:rPr>
          <w:sz w:val="16"/>
          <w:szCs w:val="16"/>
        </w:rPr>
      </w:pPr>
      <w:r>
        <w:rPr>
          <w:sz w:val="16"/>
          <w:szCs w:val="16"/>
          <w:vertAlign w:val="superscript"/>
        </w:rPr>
        <w:footnoteRef/>
      </w:r>
      <w:r>
        <w:rPr>
          <w:sz w:val="16"/>
          <w:szCs w:val="16"/>
          <w:rtl w:val="0"/>
          <w:lang w:val="en-US"/>
        </w:rPr>
        <w:t xml:space="preserve"> </w:t>
      </w:r>
      <w:r>
        <w:rPr>
          <w:sz w:val="16"/>
          <w:szCs w:val="16"/>
          <w:rtl w:val="0"/>
          <w:lang w:val="it-IT"/>
        </w:rPr>
        <w:t xml:space="preserve">Karl P. </w:t>
      </w:r>
      <w:r>
        <w:rPr>
          <w:sz w:val="16"/>
          <w:szCs w:val="16"/>
          <w:rtl w:val="0"/>
          <w:lang w:val="en-US"/>
        </w:rPr>
        <w:t xml:space="preserve">Sauvant. </w:t>
      </w:r>
      <w:r>
        <w:rPr>
          <w:sz w:val="16"/>
          <w:szCs w:val="16"/>
          <w:rtl w:val="0"/>
          <w:lang w:val="en-US"/>
        </w:rPr>
        <w:t xml:space="preserve">"The early days of the Group of 77." </w:t>
      </w:r>
      <w:r>
        <w:rPr>
          <w:i w:val="1"/>
          <w:iCs w:val="1"/>
          <w:sz w:val="16"/>
          <w:szCs w:val="16"/>
          <w:rtl w:val="0"/>
          <w:lang w:val="en-US"/>
        </w:rPr>
        <w:t>UN Chronicle: The Magazine of the United Nations</w:t>
      </w:r>
      <w:r>
        <w:rPr>
          <w:sz w:val="16"/>
          <w:szCs w:val="16"/>
          <w:rtl w:val="0"/>
        </w:rPr>
        <w:t xml:space="preserve"> 51, no. 1 (2014): 27-33.</w:t>
      </w:r>
    </w:p>
    <w:p>
      <w:pPr>
        <w:pStyle w:val="Footnote"/>
        <w:rPr>
          <w:sz w:val="16"/>
          <w:szCs w:val="16"/>
        </w:rPr>
      </w:pPr>
    </w:p>
    <w:p>
      <w:pPr>
        <w:pStyle w:val="Footnote"/>
        <w:rPr>
          <w:sz w:val="16"/>
          <w:szCs w:val="16"/>
        </w:rPr>
      </w:pPr>
      <w:r>
        <w:rPr>
          <w:sz w:val="16"/>
          <w:szCs w:val="16"/>
          <w:rtl w:val="0"/>
          <w:lang w:val="en-US"/>
        </w:rPr>
        <w:t>'The non-aligned movement offered the framework for the recognition to grow and, within a few years, development questions became "high politics": they were elevated to the level of heads of state or government and were made a priority item on their agenda. Between 1970 and 1973, the non-aligned movement evolved into a pressure group for the re-organization of the international economic system. [in his footnote he writes "The observation should not be taken to slight the political purpose and function of the non-aligned movement; it is intended only to point out that the movement had also acquired an</w:t>
      </w:r>
      <w:r>
        <w:rPr>
          <w:sz w:val="16"/>
          <w:szCs w:val="16"/>
          <w:rtl w:val="0"/>
        </w:rPr>
        <w:t> </w:t>
      </w:r>
      <w:r>
        <w:rPr>
          <w:sz w:val="16"/>
          <w:szCs w:val="16"/>
          <w:rtl w:val="0"/>
          <w:lang w:val="en-US"/>
        </w:rPr>
        <w:t>equally</w:t>
      </w:r>
      <w:r>
        <w:rPr>
          <w:sz w:val="16"/>
          <w:szCs w:val="16"/>
          <w:rtl w:val="0"/>
        </w:rPr>
        <w:t> </w:t>
      </w:r>
      <w:r>
        <w:rPr>
          <w:sz w:val="16"/>
          <w:szCs w:val="16"/>
          <w:rtl w:val="0"/>
          <w:lang w:val="en-US"/>
        </w:rPr>
        <w:t>important economic function and that this change proved to be of crucial importance for making the development issue a priority item on the international agenda.] Since the Non-Aligned Countries</w:t>
      </w:r>
      <w:r>
        <w:rPr>
          <w:sz w:val="16"/>
          <w:szCs w:val="16"/>
          <w:rtl w:val="0"/>
        </w:rPr>
        <w:t> </w:t>
      </w:r>
      <w:r>
        <w:rPr>
          <w:sz w:val="16"/>
          <w:szCs w:val="16"/>
          <w:rtl w:val="0"/>
          <w:lang w:val="en-US"/>
        </w:rPr>
        <w:t>considered</w:t>
      </w:r>
      <w:r>
        <w:rPr>
          <w:sz w:val="16"/>
          <w:szCs w:val="16"/>
          <w:rtl w:val="0"/>
        </w:rPr>
        <w:t> </w:t>
      </w:r>
      <w:r>
        <w:rPr>
          <w:sz w:val="16"/>
          <w:szCs w:val="16"/>
          <w:rtl w:val="0"/>
          <w:lang w:val="en-US"/>
        </w:rPr>
        <w:t>themselves to be playing a catalytic role within the Group of 77, the politicization of the development issue had an important effect on the manner in which this issue was perceived, presented and pursued within North-South negotiations. Thus, the political clout and pressure of the Non-Aligned Countries, coupled with OPEC's forceful actions, led to the Sixth Special Session of the United Nations General Assembly which adopted, on 1 May 1974, the "Declaration and Programme of Action on the Establishment of a New International Economic Order". [final communique 1978 havana meeting non-aligned countries] Hence, almost exactly one decade after the first session of UNCTAD, and after years of debates about improvements in the international economic system, the call for a new beginning was again taken up - this time, however, with a view to a structural re-organization of the world economy. The establishment of the New International Economic Order (NIEO) has since been the main objective of the Third World.'</w:t>
      </w:r>
      <w:r>
        <w:rPr>
          <w:sz w:val="16"/>
          <w:szCs w:val="16"/>
          <w:rtl w:val="0"/>
          <w:lang w:val="en-US"/>
        </w:rPr>
        <w:t xml:space="preserve"> p. 5.</w:t>
      </w:r>
    </w:p>
    <w:p>
      <w:pPr>
        <w:pStyle w:val="Footnote"/>
        <w:rPr>
          <w:sz w:val="16"/>
          <w:szCs w:val="16"/>
        </w:rPr>
      </w:pPr>
    </w:p>
    <w:p>
      <w:pPr>
        <w:pStyle w:val="Footnote"/>
      </w:pPr>
      <w:r>
        <w:rPr>
          <w:sz w:val="16"/>
          <w:szCs w:val="16"/>
          <w:rtl w:val="0"/>
          <w:lang w:val="en-US"/>
        </w:rPr>
        <w:t xml:space="preserve">De Vries, Margaret Garritsen. "The International Monetary Fund, 1972-1978: Cooperation on Trial." (1985),  pp. 243-244. </w:t>
      </w:r>
      <w:r>
        <w:rPr>
          <w:sz w:val="16"/>
          <w:szCs w:val="16"/>
          <w:rtl w:val="0"/>
          <w:lang w:val="en-US"/>
        </w:rPr>
        <w:t>p. 235.</w:t>
      </w:r>
    </w:p>
  </w:footnote>
  <w:footnote w:id="68">
    <w:p>
      <w:pPr>
        <w:pStyle w:val="Footnote"/>
      </w:pPr>
      <w:r>
        <w:rPr>
          <w:sz w:val="16"/>
          <w:szCs w:val="16"/>
          <w:vertAlign w:val="superscript"/>
        </w:rPr>
        <w:footnoteRef/>
      </w:r>
      <w:r>
        <w:rPr>
          <w:sz w:val="16"/>
          <w:szCs w:val="16"/>
          <w:rtl w:val="0"/>
          <w:lang w:val="en-US"/>
        </w:rPr>
        <w:t xml:space="preserve"> De Vries, Margaret Garritsen. "The International Monetary Fund, 1972-1978: Cooperation on Trial."</w:t>
      </w:r>
      <w:r>
        <w:rPr>
          <w:sz w:val="16"/>
          <w:szCs w:val="16"/>
          <w:rtl w:val="0"/>
          <w:lang w:val="en-US"/>
        </w:rPr>
        <w:t xml:space="preserve"> </w:t>
      </w:r>
      <w:r>
        <w:rPr>
          <w:sz w:val="16"/>
          <w:szCs w:val="16"/>
          <w:rtl w:val="0"/>
        </w:rPr>
        <w:t>(1985)</w:t>
      </w:r>
      <w:r>
        <w:rPr>
          <w:sz w:val="16"/>
          <w:szCs w:val="16"/>
          <w:rtl w:val="0"/>
          <w:lang w:val="en-US"/>
        </w:rPr>
        <w:t>,  pp. 243-244.</w:t>
      </w:r>
    </w:p>
  </w:footnote>
  <w:footnote w:id="69">
    <w:p>
      <w:pPr>
        <w:pStyle w:val="Footnote"/>
      </w:pPr>
      <w:r>
        <w:rPr>
          <w:sz w:val="16"/>
          <w:szCs w:val="16"/>
          <w:vertAlign w:val="superscript"/>
        </w:rPr>
        <w:footnoteRef/>
      </w:r>
      <w:r>
        <w:rPr>
          <w:sz w:val="16"/>
          <w:szCs w:val="16"/>
          <w:rtl w:val="0"/>
        </w:rPr>
        <w:t xml:space="preserve"> </w:t>
      </w:r>
    </w:p>
  </w:footnote>
  <w:footnote w:id="70">
    <w:p>
      <w:pPr>
        <w:pStyle w:val="Footnote"/>
      </w:pPr>
      <w:r>
        <w:rPr>
          <w:sz w:val="16"/>
          <w:szCs w:val="16"/>
          <w:vertAlign w:val="superscript"/>
        </w:rPr>
        <w:footnoteRef/>
      </w:r>
      <w:r>
        <w:rPr>
          <w:sz w:val="16"/>
          <w:szCs w:val="16"/>
          <w:rtl w:val="0"/>
        </w:rPr>
        <w:t xml:space="preserve"> </w:t>
      </w:r>
    </w:p>
  </w:footnote>
  <w:footnote w:id="71">
    <w:p>
      <w:pPr>
        <w:pStyle w:val="Footnote"/>
      </w:pPr>
      <w:r>
        <w:rPr>
          <w:sz w:val="16"/>
          <w:szCs w:val="16"/>
          <w:vertAlign w:val="superscript"/>
        </w:rPr>
        <w:footnoteRef/>
      </w:r>
      <w:r>
        <w:rPr>
          <w:sz w:val="16"/>
          <w:szCs w:val="16"/>
          <w:rtl w:val="0"/>
          <w:lang w:val="en-US"/>
        </w:rPr>
        <w:t xml:space="preserve"> Amin, Samir. "After the New International Economic Order: the </w:t>
      </w:r>
      <w:r>
        <w:rPr>
          <w:sz w:val="16"/>
          <w:szCs w:val="16"/>
          <w:rtl w:val="0"/>
          <w:lang w:val="en-US"/>
        </w:rPr>
        <w:t>F</w:t>
      </w:r>
      <w:r>
        <w:rPr>
          <w:sz w:val="16"/>
          <w:szCs w:val="16"/>
          <w:rtl w:val="0"/>
          <w:lang w:val="en-US"/>
        </w:rPr>
        <w:t xml:space="preserve">uture of </w:t>
      </w:r>
      <w:r>
        <w:rPr>
          <w:sz w:val="16"/>
          <w:szCs w:val="16"/>
          <w:rtl w:val="0"/>
          <w:lang w:val="en-US"/>
        </w:rPr>
        <w:t>I</w:t>
      </w:r>
      <w:r>
        <w:rPr>
          <w:sz w:val="16"/>
          <w:szCs w:val="16"/>
          <w:rtl w:val="0"/>
          <w:lang w:val="fr-FR"/>
        </w:rPr>
        <w:t xml:space="preserve">nternational </w:t>
      </w:r>
      <w:r>
        <w:rPr>
          <w:sz w:val="16"/>
          <w:szCs w:val="16"/>
          <w:rtl w:val="0"/>
          <w:lang w:val="en-US"/>
        </w:rPr>
        <w:t>E</w:t>
      </w:r>
      <w:r>
        <w:rPr>
          <w:sz w:val="16"/>
          <w:szCs w:val="16"/>
          <w:rtl w:val="0"/>
        </w:rPr>
        <w:t xml:space="preserve">conomic </w:t>
      </w:r>
      <w:r>
        <w:rPr>
          <w:sz w:val="16"/>
          <w:szCs w:val="16"/>
          <w:rtl w:val="0"/>
          <w:lang w:val="en-US"/>
        </w:rPr>
        <w:t>R</w:t>
      </w:r>
      <w:r>
        <w:rPr>
          <w:sz w:val="16"/>
          <w:szCs w:val="16"/>
          <w:rtl w:val="0"/>
          <w:lang w:val="fr-FR"/>
        </w:rPr>
        <w:t xml:space="preserve">elations." </w:t>
      </w:r>
      <w:r>
        <w:rPr>
          <w:i w:val="1"/>
          <w:iCs w:val="1"/>
          <w:sz w:val="16"/>
          <w:szCs w:val="16"/>
          <w:rtl w:val="0"/>
          <w:lang w:val="en-US"/>
        </w:rPr>
        <w:t>Journal of Contemporary Asia</w:t>
      </w:r>
      <w:r>
        <w:rPr>
          <w:sz w:val="16"/>
          <w:szCs w:val="16"/>
          <w:rtl w:val="0"/>
        </w:rPr>
        <w:t xml:space="preserve"> 12, no. 4 (1982): </w:t>
      </w:r>
      <w:r>
        <w:rPr>
          <w:sz w:val="16"/>
          <w:szCs w:val="16"/>
          <w:rtl w:val="0"/>
          <w:lang w:val="en-US"/>
        </w:rPr>
        <w:t xml:space="preserve">p. 435; </w:t>
      </w:r>
      <w:r>
        <w:rPr>
          <w:sz w:val="16"/>
          <w:szCs w:val="16"/>
          <w:rtl w:val="0"/>
          <w:lang w:val="en-US"/>
        </w:rPr>
        <w:t>Hart, Jeffrey A. The new international economic order: Conflict and cooperation in North-South economic relations, 1974</w:t>
      </w:r>
      <w:r>
        <w:rPr>
          <w:sz w:val="16"/>
          <w:szCs w:val="16"/>
          <w:rtl w:val="0"/>
        </w:rPr>
        <w:t>–</w:t>
      </w:r>
      <w:r>
        <w:rPr>
          <w:sz w:val="16"/>
          <w:szCs w:val="16"/>
          <w:rtl w:val="0"/>
        </w:rPr>
        <w:t>77. Springer, 1983</w:t>
      </w:r>
      <w:r>
        <w:rPr>
          <w:sz w:val="16"/>
          <w:szCs w:val="16"/>
          <w:rtl w:val="0"/>
          <w:lang w:val="en-US"/>
        </w:rPr>
        <w:t xml:space="preserve">. p. 21; </w:t>
      </w:r>
      <w:r>
        <w:rPr>
          <w:sz w:val="16"/>
          <w:szCs w:val="16"/>
          <w:rtl w:val="0"/>
          <w:lang w:val="en-US"/>
        </w:rPr>
        <w:t>Caroline Thomas, New States, Sovereignty, and Intervention (Gower, 1985), pp. 128-29</w:t>
      </w:r>
      <w:r>
        <w:rPr>
          <w:sz w:val="16"/>
          <w:szCs w:val="16"/>
          <w:rtl w:val="0"/>
          <w:lang w:val="en-US"/>
        </w:rPr>
        <w:t xml:space="preserve">; </w:t>
      </w:r>
      <w:r>
        <w:rPr>
          <w:sz w:val="16"/>
          <w:szCs w:val="16"/>
          <w:rtl w:val="0"/>
          <w:lang w:val="it-IT"/>
        </w:rPr>
        <w:t xml:space="preserve">Garavini, Giuliano. </w:t>
      </w:r>
      <w:r>
        <w:rPr>
          <w:i w:val="1"/>
          <w:iCs w:val="1"/>
          <w:sz w:val="16"/>
          <w:szCs w:val="16"/>
          <w:rtl w:val="0"/>
          <w:lang w:val="en-US"/>
        </w:rPr>
        <w:t xml:space="preserve">After </w:t>
      </w:r>
      <w:r>
        <w:rPr>
          <w:i w:val="1"/>
          <w:iCs w:val="1"/>
          <w:sz w:val="16"/>
          <w:szCs w:val="16"/>
          <w:rtl w:val="0"/>
          <w:lang w:val="en-US"/>
        </w:rPr>
        <w:t>E</w:t>
      </w:r>
      <w:r>
        <w:rPr>
          <w:i w:val="1"/>
          <w:iCs w:val="1"/>
          <w:sz w:val="16"/>
          <w:szCs w:val="16"/>
          <w:rtl w:val="0"/>
          <w:lang w:val="en-US"/>
        </w:rPr>
        <w:t xml:space="preserve">mpires: European </w:t>
      </w:r>
      <w:r>
        <w:rPr>
          <w:i w:val="1"/>
          <w:iCs w:val="1"/>
          <w:sz w:val="16"/>
          <w:szCs w:val="16"/>
          <w:rtl w:val="0"/>
          <w:lang w:val="en-US"/>
        </w:rPr>
        <w:t>I</w:t>
      </w:r>
      <w:r>
        <w:rPr>
          <w:i w:val="1"/>
          <w:iCs w:val="1"/>
          <w:sz w:val="16"/>
          <w:szCs w:val="16"/>
          <w:rtl w:val="0"/>
          <w:lang w:val="en-US"/>
        </w:rPr>
        <w:t xml:space="preserve">ntegration, </w:t>
      </w:r>
      <w:r>
        <w:rPr>
          <w:i w:val="1"/>
          <w:iCs w:val="1"/>
          <w:sz w:val="16"/>
          <w:szCs w:val="16"/>
          <w:rtl w:val="0"/>
          <w:lang w:val="en-US"/>
        </w:rPr>
        <w:t>D</w:t>
      </w:r>
      <w:r>
        <w:rPr>
          <w:i w:val="1"/>
          <w:iCs w:val="1"/>
          <w:sz w:val="16"/>
          <w:szCs w:val="16"/>
          <w:rtl w:val="0"/>
          <w:lang w:val="en-US"/>
        </w:rPr>
        <w:t xml:space="preserve">ecolonization, and the </w:t>
      </w:r>
      <w:r>
        <w:rPr>
          <w:i w:val="1"/>
          <w:iCs w:val="1"/>
          <w:sz w:val="16"/>
          <w:szCs w:val="16"/>
          <w:rtl w:val="0"/>
          <w:lang w:val="en-US"/>
        </w:rPr>
        <w:t>C</w:t>
      </w:r>
      <w:r>
        <w:rPr>
          <w:i w:val="1"/>
          <w:iCs w:val="1"/>
          <w:sz w:val="16"/>
          <w:szCs w:val="16"/>
          <w:rtl w:val="0"/>
          <w:lang w:val="en-US"/>
        </w:rPr>
        <w:t xml:space="preserve">hallenge </w:t>
      </w:r>
      <w:r>
        <w:rPr>
          <w:i w:val="1"/>
          <w:iCs w:val="1"/>
          <w:sz w:val="16"/>
          <w:szCs w:val="16"/>
          <w:rtl w:val="0"/>
          <w:lang w:val="en-US"/>
        </w:rPr>
        <w:t>F</w:t>
      </w:r>
      <w:r>
        <w:rPr>
          <w:i w:val="1"/>
          <w:iCs w:val="1"/>
          <w:sz w:val="16"/>
          <w:szCs w:val="16"/>
          <w:rtl w:val="0"/>
          <w:lang w:val="en-US"/>
        </w:rPr>
        <w:t xml:space="preserve">rom the </w:t>
      </w:r>
      <w:r>
        <w:rPr>
          <w:i w:val="1"/>
          <w:iCs w:val="1"/>
          <w:sz w:val="16"/>
          <w:szCs w:val="16"/>
          <w:rtl w:val="0"/>
          <w:lang w:val="en-US"/>
        </w:rPr>
        <w:t>G</w:t>
      </w:r>
      <w:r>
        <w:rPr>
          <w:i w:val="1"/>
          <w:iCs w:val="1"/>
          <w:sz w:val="16"/>
          <w:szCs w:val="16"/>
          <w:rtl w:val="0"/>
          <w:lang w:val="en-US"/>
        </w:rPr>
        <w:t>lobal South 1957-1986</w:t>
      </w:r>
      <w:r>
        <w:rPr>
          <w:sz w:val="16"/>
          <w:szCs w:val="16"/>
          <w:rtl w:val="0"/>
          <w:lang w:val="en-US"/>
        </w:rPr>
        <w:t>. Oxford University Press, 2012.</w:t>
      </w:r>
      <w:r>
        <w:rPr>
          <w:sz w:val="16"/>
          <w:szCs w:val="16"/>
          <w:rtl w:val="0"/>
          <w:lang w:val="en-US"/>
        </w:rPr>
        <w:t xml:space="preserve"> pp. 168-169; </w:t>
      </w:r>
      <w:r>
        <w:rPr>
          <w:sz w:val="16"/>
          <w:szCs w:val="16"/>
          <w:rtl w:val="0"/>
          <w:lang w:val="pt-PT"/>
        </w:rPr>
        <w:t xml:space="preserve">Nicholas Lees. "The </w:t>
      </w:r>
      <w:r>
        <w:rPr>
          <w:sz w:val="16"/>
          <w:szCs w:val="16"/>
          <w:rtl w:val="0"/>
          <w:lang w:val="en-US"/>
        </w:rPr>
        <w:t>E</w:t>
      </w:r>
      <w:r>
        <w:rPr>
          <w:sz w:val="16"/>
          <w:szCs w:val="16"/>
          <w:rtl w:val="0"/>
          <w:lang w:val="en-US"/>
        </w:rPr>
        <w:t xml:space="preserve">volution of </w:t>
      </w:r>
      <w:r>
        <w:rPr>
          <w:sz w:val="16"/>
          <w:szCs w:val="16"/>
          <w:rtl w:val="0"/>
          <w:lang w:val="en-US"/>
        </w:rPr>
        <w:t>I</w:t>
      </w:r>
      <w:r>
        <w:rPr>
          <w:sz w:val="16"/>
          <w:szCs w:val="16"/>
          <w:rtl w:val="0"/>
          <w:lang w:val="fr-FR"/>
        </w:rPr>
        <w:t xml:space="preserve">nternational </w:t>
      </w:r>
      <w:r>
        <w:rPr>
          <w:sz w:val="16"/>
          <w:szCs w:val="16"/>
          <w:rtl w:val="0"/>
          <w:lang w:val="en-US"/>
        </w:rPr>
        <w:t>I</w:t>
      </w:r>
      <w:r>
        <w:rPr>
          <w:sz w:val="16"/>
          <w:szCs w:val="16"/>
          <w:rtl w:val="0"/>
          <w:lang w:val="en-US"/>
        </w:rPr>
        <w:t>nequality." PhD diss., University of Oxford, 2013.</w:t>
      </w:r>
      <w:r>
        <w:rPr>
          <w:sz w:val="16"/>
          <w:szCs w:val="16"/>
          <w:rtl w:val="0"/>
          <w:lang w:val="en-US"/>
        </w:rPr>
        <w:t xml:space="preserve"> pp. 134, 42-44; </w:t>
      </w:r>
      <w:r>
        <w:rPr>
          <w:sz w:val="16"/>
          <w:szCs w:val="16"/>
          <w:rtl w:val="0"/>
        </w:rPr>
        <w:t xml:space="preserve">S. Moyn, </w:t>
      </w:r>
      <w:r>
        <w:rPr>
          <w:i w:val="1"/>
          <w:iCs w:val="1"/>
          <w:sz w:val="16"/>
          <w:szCs w:val="16"/>
          <w:rtl w:val="0"/>
          <w:lang w:val="en-US"/>
        </w:rPr>
        <w:t>Not Enough: Human Rights in an Unequal World</w:t>
      </w:r>
      <w:r>
        <w:rPr>
          <w:sz w:val="16"/>
          <w:szCs w:val="16"/>
          <w:rtl w:val="0"/>
          <w:lang w:val="en-US"/>
        </w:rPr>
        <w:t xml:space="preserve"> (Belknap Press of Harvard University Press, 2018), p. 117; Eric</w:t>
      </w:r>
      <w:r>
        <w:rPr>
          <w:sz w:val="16"/>
          <w:szCs w:val="16"/>
          <w:rtl w:val="0"/>
          <w:lang w:val="en-US"/>
        </w:rPr>
        <w:t xml:space="preserve"> </w:t>
      </w:r>
      <w:r>
        <w:rPr>
          <w:sz w:val="16"/>
          <w:szCs w:val="16"/>
          <w:rtl w:val="0"/>
          <w:lang w:val="de-DE"/>
        </w:rPr>
        <w:t xml:space="preserve">Helleiner. "Forgotten Foundations of Bretton Woods." In </w:t>
      </w:r>
      <w:r>
        <w:rPr>
          <w:i w:val="1"/>
          <w:iCs w:val="1"/>
          <w:sz w:val="16"/>
          <w:szCs w:val="16"/>
          <w:rtl w:val="0"/>
          <w:lang w:val="en-US"/>
        </w:rPr>
        <w:t>Forgotten Foundations of Bretton Woods</w:t>
      </w:r>
      <w:r>
        <w:rPr>
          <w:sz w:val="16"/>
          <w:szCs w:val="16"/>
          <w:rtl w:val="0"/>
          <w:lang w:val="en-US"/>
        </w:rPr>
        <w:t>. Cornell University Press, 2014.</w:t>
      </w:r>
      <w:r>
        <w:rPr>
          <w:sz w:val="16"/>
          <w:szCs w:val="16"/>
          <w:rtl w:val="0"/>
          <w:lang w:val="en-US"/>
        </w:rPr>
        <w:t xml:space="preserve"> p. 275.</w:t>
      </w:r>
    </w:p>
  </w:footnote>
  <w:footnote w:id="72">
    <w:p>
      <w:pPr>
        <w:pStyle w:val="Footnote"/>
        <w:rPr>
          <w:sz w:val="16"/>
          <w:szCs w:val="16"/>
        </w:rPr>
      </w:pPr>
      <w:r>
        <w:rPr>
          <w:sz w:val="16"/>
          <w:szCs w:val="16"/>
          <w:vertAlign w:val="superscript"/>
        </w:rPr>
        <w:footnoteRef/>
      </w:r>
      <w:r>
        <w:rPr>
          <w:sz w:val="16"/>
          <w:szCs w:val="16"/>
          <w:rtl w:val="0"/>
          <w:lang w:val="it-IT"/>
        </w:rPr>
        <w:t xml:space="preserve"> De Vries, Margaret Garritsen. "The International Monetary Fund, 1972-1978: Cooperation on Trial." (1985),  pp.</w:t>
      </w:r>
      <w:r>
        <w:rPr>
          <w:sz w:val="16"/>
          <w:szCs w:val="16"/>
          <w:rtl w:val="0"/>
          <w:lang w:val="en-US"/>
        </w:rPr>
        <w:t xml:space="preserve"> </w:t>
      </w:r>
      <w:r>
        <w:rPr>
          <w:sz w:val="16"/>
          <w:szCs w:val="16"/>
          <w:rtl w:val="0"/>
        </w:rPr>
        <w:t>305-306</w:t>
      </w:r>
      <w:r>
        <w:rPr>
          <w:sz w:val="16"/>
          <w:szCs w:val="16"/>
          <w:rtl w:val="0"/>
          <w:lang w:val="en-US"/>
        </w:rPr>
        <w:t>, 308, 309-310.</w:t>
      </w:r>
    </w:p>
    <w:p>
      <w:pPr>
        <w:pStyle w:val="Footnote"/>
        <w:rPr>
          <w:sz w:val="16"/>
          <w:szCs w:val="16"/>
        </w:rPr>
      </w:pPr>
    </w:p>
    <w:p>
      <w:pPr>
        <w:pStyle w:val="Footnote"/>
        <w:rPr>
          <w:sz w:val="16"/>
          <w:szCs w:val="16"/>
        </w:rPr>
      </w:pPr>
      <w:r>
        <w:rPr>
          <w:sz w:val="16"/>
          <w:szCs w:val="16"/>
          <w:rtl w:val="1"/>
        </w:rPr>
        <w:t>‘</w:t>
      </w:r>
      <w:r>
        <w:rPr>
          <w:sz w:val="16"/>
          <w:szCs w:val="16"/>
          <w:rtl w:val="0"/>
          <w:lang w:val="en-US"/>
        </w:rPr>
        <w:t>Immediate and pressing were the financial implications of the steep increases in oil prices. Imbalances in international payments on an unprecedented scale were expected at once. Public officials feared dire consequences because they saw no adequate way to finance the anticipated current account deficits of oil importing countries. Nothing short of war had ever before brought about the need for such sudden and immediate global external financing.</w:t>
      </w:r>
    </w:p>
    <w:p>
      <w:pPr>
        <w:pStyle w:val="Footnote"/>
        <w:rPr>
          <w:sz w:val="16"/>
          <w:szCs w:val="16"/>
        </w:rPr>
      </w:pPr>
    </w:p>
    <w:p>
      <w:pPr>
        <w:pStyle w:val="Footnote"/>
        <w:rPr>
          <w:sz w:val="16"/>
          <w:szCs w:val="16"/>
        </w:rPr>
      </w:pPr>
      <w:r>
        <w:rPr>
          <w:sz w:val="16"/>
          <w:szCs w:val="16"/>
          <w:rtl w:val="0"/>
          <w:lang w:val="en-US"/>
        </w:rPr>
        <w:t>These payments imbalances were Mr. Witteveen's concern when he proposed in January 1974 that the Fund introduce an oil facility. Mr. Witteveen's innovative idea was conceived independently of the staff, and he took upon himself the responsibility for convincing officials of the need for an oil facility and for raising the money. Thus, Mr. Witteveen personally devoted an enormous amount of time and effort to the oil facility.</w:t>
      </w:r>
      <w:r>
        <w:rPr>
          <w:sz w:val="16"/>
          <w:szCs w:val="16"/>
          <w:rtl w:val="1"/>
        </w:rPr>
        <w:t xml:space="preserve">’ </w:t>
      </w:r>
      <w:r>
        <w:rPr>
          <w:sz w:val="16"/>
          <w:szCs w:val="16"/>
          <w:rtl w:val="0"/>
        </w:rPr>
        <w:t>pp. 305-306.</w:t>
      </w:r>
    </w:p>
    <w:p>
      <w:pPr>
        <w:pStyle w:val="Footnote"/>
        <w:rPr>
          <w:sz w:val="16"/>
          <w:szCs w:val="16"/>
        </w:rPr>
      </w:pPr>
    </w:p>
    <w:p>
      <w:pPr>
        <w:pStyle w:val="Footnote"/>
      </w:pPr>
      <w:r>
        <w:rPr>
          <w:sz w:val="16"/>
          <w:szCs w:val="16"/>
          <w:rtl w:val="1"/>
        </w:rPr>
        <w:t>‘</w:t>
      </w:r>
      <w:r>
        <w:rPr>
          <w:sz w:val="16"/>
          <w:szCs w:val="16"/>
          <w:rtl w:val="0"/>
          <w:lang w:val="en-US"/>
        </w:rPr>
        <w:t>As Mr. Witteveen explained in a speech early in 1974, these marked shifts in the pattern of world payments radically altered the concept of what constituted a sustainable international balance of payments structure.3 In the past, a satisfactory position for most industrial countries involved a modest surplus on current account sufficient to cover outflows of aid and capital to the developing world. The counterpart of this surplus was a current account deficit in the developing world, reflecting the natural flow of capital to countries in earlier stages of development. Instead, in the new situation, the overwhelming majority of countries, industrial as well as developing, would have big current account deficits while oil exporting countries would have unprecedented surpluses. The low price elasticities of demand in the short run for petroleum products and of the supply of alternative sources of energy meant that oil importing countries would continue to import large quantities of oil despite higher prices. At the same time, given the concentration of enlarged oil incomes in a small number of oil exporting countries, such as Kuwait, Libya, Qatar, Saudi Arabia, and the United Arab Emirates, which had very small populations, it was expected that only a small proportion of the incremental income of oil exporting countries would be reflected in substantially higher imports. Saudi Arabia, especially, one of the largest oil exporters, was expected to be a "low absorber of imports."</w:t>
      </w:r>
      <w:r>
        <w:rPr>
          <w:sz w:val="16"/>
          <w:szCs w:val="16"/>
          <w:rtl w:val="1"/>
        </w:rPr>
        <w:t xml:space="preserve">’ </w:t>
      </w:r>
      <w:r>
        <w:rPr>
          <w:sz w:val="16"/>
          <w:szCs w:val="16"/>
          <w:rtl w:val="0"/>
        </w:rPr>
        <w:t>pp. 309-310.</w:t>
      </w:r>
    </w:p>
  </w:footnote>
  <w:footnote w:id="73">
    <w:p>
      <w:pPr>
        <w:pStyle w:val="Footnote"/>
      </w:pPr>
      <w:r>
        <w:rPr>
          <w:sz w:val="16"/>
          <w:szCs w:val="16"/>
          <w:vertAlign w:val="superscript"/>
        </w:rPr>
        <w:footnoteRef/>
      </w:r>
      <w:r>
        <w:rPr>
          <w:sz w:val="16"/>
          <w:szCs w:val="16"/>
          <w:rtl w:val="0"/>
        </w:rPr>
        <w:t xml:space="preserve">  </w:t>
      </w:r>
      <w:r>
        <w:rPr>
          <w:sz w:val="16"/>
          <w:szCs w:val="16"/>
          <w:rtl w:val="0"/>
          <w:lang w:val="nl-NL"/>
        </w:rPr>
        <w:t>Soedjatmoko</w:t>
      </w:r>
      <w:r>
        <w:rPr>
          <w:sz w:val="16"/>
          <w:szCs w:val="16"/>
          <w:rtl w:val="0"/>
          <w:lang w:val="en-US"/>
        </w:rPr>
        <w:t>, "</w:t>
      </w:r>
      <w:r>
        <w:rPr>
          <w:sz w:val="16"/>
          <w:szCs w:val="16"/>
          <w:rtl w:val="0"/>
          <w:lang w:val="nl-NL"/>
        </w:rPr>
        <w:t>Soedjatmoko</w:t>
      </w:r>
      <w:r>
        <w:rPr>
          <w:sz w:val="16"/>
          <w:szCs w:val="16"/>
          <w:rtl w:val="0"/>
          <w:lang w:val="en-US"/>
        </w:rPr>
        <w:t xml:space="preserve">",  in </w:t>
      </w:r>
      <w:r>
        <w:rPr>
          <w:i w:val="1"/>
          <w:iCs w:val="1"/>
          <w:sz w:val="16"/>
          <w:szCs w:val="16"/>
          <w:rtl w:val="0"/>
          <w:lang w:val="en-US"/>
        </w:rPr>
        <w:t xml:space="preserve">Beyond Dependency: The Developing World Speaks </w:t>
      </w:r>
      <w:r>
        <w:rPr>
          <w:i w:val="1"/>
          <w:iCs w:val="1"/>
          <w:sz w:val="16"/>
          <w:szCs w:val="16"/>
          <w:rtl w:val="0"/>
          <w:lang w:val="en-US"/>
        </w:rPr>
        <w:t>O</w:t>
      </w:r>
      <w:r>
        <w:rPr>
          <w:i w:val="1"/>
          <w:iCs w:val="1"/>
          <w:sz w:val="16"/>
          <w:szCs w:val="16"/>
          <w:rtl w:val="0"/>
        </w:rPr>
        <w:t>ut</w:t>
      </w:r>
      <w:r>
        <w:rPr>
          <w:sz w:val="16"/>
          <w:szCs w:val="16"/>
          <w:rtl w:val="0"/>
          <w:lang w:val="en-US"/>
        </w:rPr>
        <w:t xml:space="preserve">, </w:t>
      </w:r>
      <w:r>
        <w:rPr>
          <w:sz w:val="16"/>
          <w:szCs w:val="16"/>
          <w:rtl w:val="0"/>
        </w:rPr>
        <w:t>Ed</w:t>
      </w:r>
      <w:r>
        <w:rPr>
          <w:sz w:val="16"/>
          <w:szCs w:val="16"/>
          <w:rtl w:val="0"/>
          <w:lang w:val="en-US"/>
        </w:rPr>
        <w:t>.</w:t>
      </w:r>
      <w:r>
        <w:rPr>
          <w:sz w:val="16"/>
          <w:szCs w:val="16"/>
          <w:rtl w:val="0"/>
          <w:lang w:val="en-US"/>
        </w:rPr>
        <w:t xml:space="preserve"> Guy F. Erb and Valeriana Kallab</w:t>
      </w:r>
      <w:r>
        <w:rPr>
          <w:sz w:val="16"/>
          <w:szCs w:val="16"/>
          <w:rtl w:val="0"/>
          <w:lang w:val="en-US"/>
        </w:rPr>
        <w:t xml:space="preserve"> (</w:t>
      </w:r>
      <w:r>
        <w:rPr>
          <w:sz w:val="16"/>
          <w:szCs w:val="16"/>
          <w:rtl w:val="0"/>
          <w:lang w:val="en-US"/>
        </w:rPr>
        <w:t>New York: Praeger Publishers, 1975</w:t>
      </w:r>
      <w:r>
        <w:rPr>
          <w:sz w:val="16"/>
          <w:szCs w:val="16"/>
          <w:rtl w:val="0"/>
          <w:lang w:val="en-US"/>
        </w:rPr>
        <w:t>), p. 24.</w:t>
      </w:r>
    </w:p>
  </w:footnote>
  <w:footnote w:id="74">
    <w:p>
      <w:pPr>
        <w:pStyle w:val="Footnote"/>
      </w:pPr>
      <w:r>
        <w:rPr>
          <w:sz w:val="16"/>
          <w:szCs w:val="16"/>
          <w:vertAlign w:val="superscript"/>
        </w:rPr>
        <w:footnoteRef/>
      </w:r>
      <w:r>
        <w:rPr>
          <w:sz w:val="16"/>
          <w:szCs w:val="16"/>
          <w:rtl w:val="0"/>
        </w:rPr>
        <w:t xml:space="preserve"> Ali A. Muzrui</w:t>
      </w:r>
      <w:r>
        <w:rPr>
          <w:sz w:val="16"/>
          <w:szCs w:val="16"/>
          <w:rtl w:val="0"/>
          <w:lang w:val="en-US"/>
        </w:rPr>
        <w:t xml:space="preserve">, "The New Interdependence", in </w:t>
      </w:r>
      <w:r>
        <w:rPr>
          <w:i w:val="1"/>
          <w:iCs w:val="1"/>
          <w:sz w:val="16"/>
          <w:szCs w:val="16"/>
          <w:rtl w:val="0"/>
          <w:lang w:val="en-US"/>
        </w:rPr>
        <w:t xml:space="preserve">Beyond Dependency: The Developing World Speaks </w:t>
      </w:r>
      <w:r>
        <w:rPr>
          <w:i w:val="1"/>
          <w:iCs w:val="1"/>
          <w:sz w:val="16"/>
          <w:szCs w:val="16"/>
          <w:rtl w:val="0"/>
          <w:lang w:val="en-US"/>
        </w:rPr>
        <w:t>O</w:t>
      </w:r>
      <w:r>
        <w:rPr>
          <w:i w:val="1"/>
          <w:iCs w:val="1"/>
          <w:sz w:val="16"/>
          <w:szCs w:val="16"/>
          <w:rtl w:val="0"/>
        </w:rPr>
        <w:t>ut</w:t>
      </w:r>
      <w:r>
        <w:rPr>
          <w:sz w:val="16"/>
          <w:szCs w:val="16"/>
          <w:rtl w:val="0"/>
          <w:lang w:val="en-US"/>
        </w:rPr>
        <w:t xml:space="preserve">, </w:t>
      </w:r>
      <w:r>
        <w:rPr>
          <w:sz w:val="16"/>
          <w:szCs w:val="16"/>
          <w:rtl w:val="0"/>
        </w:rPr>
        <w:t>Ed</w:t>
      </w:r>
      <w:r>
        <w:rPr>
          <w:sz w:val="16"/>
          <w:szCs w:val="16"/>
          <w:rtl w:val="0"/>
          <w:lang w:val="en-US"/>
        </w:rPr>
        <w:t>.</w:t>
      </w:r>
      <w:r>
        <w:rPr>
          <w:sz w:val="16"/>
          <w:szCs w:val="16"/>
          <w:rtl w:val="0"/>
          <w:lang w:val="en-US"/>
        </w:rPr>
        <w:t xml:space="preserve"> Guy F. Erb and Valeriana Kallab</w:t>
      </w:r>
      <w:r>
        <w:rPr>
          <w:sz w:val="16"/>
          <w:szCs w:val="16"/>
          <w:rtl w:val="0"/>
          <w:lang w:val="en-US"/>
        </w:rPr>
        <w:t xml:space="preserve"> (</w:t>
      </w:r>
      <w:r>
        <w:rPr>
          <w:sz w:val="16"/>
          <w:szCs w:val="16"/>
          <w:rtl w:val="0"/>
          <w:lang w:val="en-US"/>
        </w:rPr>
        <w:t>New York: Praeger Publishers, 1975</w:t>
      </w:r>
      <w:r>
        <w:rPr>
          <w:sz w:val="16"/>
          <w:szCs w:val="16"/>
          <w:rtl w:val="0"/>
          <w:lang w:val="en-US"/>
        </w:rPr>
        <w:t>), pp. 44-45.</w:t>
      </w:r>
    </w:p>
  </w:footnote>
  <w:footnote w:id="75">
    <w:p>
      <w:pPr>
        <w:pStyle w:val="Footnote"/>
      </w:pPr>
      <w:r>
        <w:rPr>
          <w:sz w:val="16"/>
          <w:szCs w:val="16"/>
          <w:vertAlign w:val="superscript"/>
        </w:rPr>
        <w:footnoteRef/>
      </w:r>
      <w:r>
        <w:rPr>
          <w:sz w:val="16"/>
          <w:szCs w:val="16"/>
          <w:rtl w:val="0"/>
        </w:rPr>
        <w:t xml:space="preserve"> </w:t>
      </w:r>
      <w:r>
        <w:rPr>
          <w:sz w:val="16"/>
          <w:szCs w:val="16"/>
          <w:rtl w:val="0"/>
          <w:lang w:val="en-US"/>
        </w:rPr>
        <w:t>Ibid.</w:t>
      </w:r>
    </w:p>
  </w:footnote>
  <w:footnote w:id="76">
    <w:p>
      <w:pPr>
        <w:pStyle w:val="Footnote"/>
        <w:rPr>
          <w:sz w:val="16"/>
          <w:szCs w:val="16"/>
        </w:rPr>
      </w:pPr>
      <w:r>
        <w:rPr>
          <w:sz w:val="16"/>
          <w:szCs w:val="16"/>
          <w:vertAlign w:val="superscript"/>
        </w:rPr>
        <w:footnoteRef/>
      </w:r>
      <w:r>
        <w:rPr>
          <w:sz w:val="16"/>
          <w:szCs w:val="16"/>
          <w:rtl w:val="0"/>
          <w:lang w:val="nl-NL"/>
        </w:rPr>
        <w:t xml:space="preserve"> OPEC, </w:t>
      </w:r>
      <w:r>
        <w:rPr>
          <w:i w:val="1"/>
          <w:iCs w:val="1"/>
          <w:sz w:val="16"/>
          <w:szCs w:val="16"/>
          <w:rtl w:val="0"/>
          <w:lang w:val="en-US"/>
        </w:rPr>
        <w:t>Solemn Declaration: Conference of the Sovereigns and Heads of State of the OPEC Member Countries</w:t>
      </w:r>
      <w:r>
        <w:rPr>
          <w:sz w:val="16"/>
          <w:szCs w:val="16"/>
          <w:rtl w:val="0"/>
          <w:lang w:val="nl-NL"/>
        </w:rPr>
        <w:t xml:space="preserve"> (Algiers, 4</w:t>
      </w:r>
      <w:r>
        <w:rPr>
          <w:sz w:val="16"/>
          <w:szCs w:val="16"/>
          <w:rtl w:val="0"/>
        </w:rPr>
        <w:t>–</w:t>
      </w:r>
      <w:r>
        <w:rPr>
          <w:sz w:val="16"/>
          <w:szCs w:val="16"/>
          <w:rtl w:val="0"/>
          <w:lang w:val="en-US"/>
        </w:rPr>
        <w:t>6 March 1975),</w:t>
      </w:r>
      <w:r>
        <w:rPr>
          <w:sz w:val="16"/>
          <w:szCs w:val="16"/>
          <w:rtl w:val="0"/>
          <w:lang w:val="en-US"/>
        </w:rPr>
        <w:t xml:space="preserve"> pp. 1-11. [</w:t>
      </w:r>
      <w:r>
        <w:rPr>
          <w:sz w:val="16"/>
          <w:szCs w:val="16"/>
          <w:rtl w:val="0"/>
          <w:lang w:val="en-US"/>
        </w:rPr>
        <w:t>https://www.opec.org/opec_web/static_files_project/media/downloads/publications/Solemn_Declaration_I-III.pdf</w:t>
      </w:r>
      <w:r>
        <w:rPr>
          <w:sz w:val="16"/>
          <w:szCs w:val="16"/>
          <w:rtl w:val="0"/>
          <w:lang w:val="en-US"/>
        </w:rPr>
        <w:t>]</w:t>
      </w:r>
    </w:p>
    <w:p>
      <w:pPr>
        <w:pStyle w:val="Footnote"/>
        <w:rPr>
          <w:sz w:val="16"/>
          <w:szCs w:val="16"/>
        </w:rPr>
      </w:pPr>
    </w:p>
    <w:p>
      <w:pPr>
        <w:pStyle w:val="Footnote"/>
      </w:pPr>
      <w:r>
        <w:rPr>
          <w:sz w:val="16"/>
          <w:szCs w:val="16"/>
          <w:rtl w:val="0"/>
          <w:lang w:val="en-US"/>
        </w:rPr>
        <w:t>'</w:t>
      </w:r>
      <w:r>
        <w:rPr>
          <w:sz w:val="16"/>
          <w:szCs w:val="16"/>
          <w:rtl w:val="0"/>
          <w:lang w:val="en-US"/>
        </w:rPr>
        <w:t>8. The Sovereigns and Heads of State declare that their countries are willing</w:t>
      </w:r>
      <w:r>
        <w:rPr>
          <w:sz w:val="16"/>
          <w:szCs w:val="16"/>
          <w:rtl w:val="0"/>
          <w:lang w:val="en-US"/>
        </w:rPr>
        <w:t xml:space="preserve"> </w:t>
      </w:r>
      <w:r>
        <w:rPr>
          <w:sz w:val="16"/>
          <w:szCs w:val="16"/>
          <w:rtl w:val="0"/>
          <w:lang w:val="en-US"/>
        </w:rPr>
        <w:t>to continue to make positive contributions towards the solution of the</w:t>
      </w:r>
      <w:r>
        <w:rPr>
          <w:sz w:val="16"/>
          <w:szCs w:val="16"/>
          <w:rtl w:val="0"/>
          <w:lang w:val="en-US"/>
        </w:rPr>
        <w:t xml:space="preserve"> </w:t>
      </w:r>
      <w:r>
        <w:rPr>
          <w:sz w:val="16"/>
          <w:szCs w:val="16"/>
          <w:rtl w:val="0"/>
          <w:lang w:val="en-US"/>
        </w:rPr>
        <w:t>major problems affecting the world economy, and to promote genuine cooperation which is the key to the establishment</w:t>
      </w:r>
      <w:r>
        <w:rPr>
          <w:sz w:val="16"/>
          <w:szCs w:val="16"/>
          <w:rtl w:val="0"/>
          <w:lang w:val="en-US"/>
        </w:rPr>
        <w:t xml:space="preserve"> </w:t>
      </w:r>
      <w:r>
        <w:rPr>
          <w:sz w:val="16"/>
          <w:szCs w:val="16"/>
          <w:rtl w:val="0"/>
          <w:lang w:val="en-US"/>
        </w:rPr>
        <w:t>of a new international economic order.</w:t>
      </w:r>
      <w:r>
        <w:rPr>
          <w:sz w:val="16"/>
          <w:szCs w:val="16"/>
          <w:rtl w:val="0"/>
          <w:lang w:val="en-US"/>
        </w:rPr>
        <w:t xml:space="preserve"> </w:t>
      </w:r>
      <w:r>
        <w:rPr>
          <w:sz w:val="16"/>
          <w:szCs w:val="16"/>
          <w:rtl w:val="0"/>
          <w:lang w:val="en-US"/>
        </w:rPr>
        <w:t>In order to set in motion such international co-operation, they propose the</w:t>
      </w:r>
      <w:r>
        <w:rPr>
          <w:sz w:val="16"/>
          <w:szCs w:val="16"/>
          <w:rtl w:val="0"/>
          <w:lang w:val="en-US"/>
        </w:rPr>
        <w:t xml:space="preserve"> </w:t>
      </w:r>
      <w:r>
        <w:rPr>
          <w:sz w:val="16"/>
          <w:szCs w:val="16"/>
          <w:rtl w:val="0"/>
          <w:lang w:val="en-US"/>
        </w:rPr>
        <w:t>adoption of a series of measures directed to other developing countries as</w:t>
      </w:r>
      <w:r>
        <w:rPr>
          <w:sz w:val="16"/>
          <w:szCs w:val="16"/>
          <w:rtl w:val="0"/>
          <w:lang w:val="en-US"/>
        </w:rPr>
        <w:t xml:space="preserve"> </w:t>
      </w:r>
      <w:r>
        <w:rPr>
          <w:sz w:val="16"/>
          <w:szCs w:val="16"/>
          <w:rtl w:val="0"/>
          <w:lang w:val="en-US"/>
        </w:rPr>
        <w:t>well as the industrialised nations.</w:t>
      </w:r>
      <w:r>
        <w:rPr>
          <w:sz w:val="16"/>
          <w:szCs w:val="16"/>
          <w:rtl w:val="0"/>
          <w:lang w:val="en-US"/>
        </w:rPr>
        <w:t>' p. 5.</w:t>
      </w:r>
    </w:p>
  </w:footnote>
  <w:footnote w:id="77">
    <w:p>
      <w:pPr>
        <w:pStyle w:val="Footnote"/>
        <w:rPr>
          <w:sz w:val="20"/>
          <w:szCs w:val="20"/>
        </w:rPr>
      </w:pPr>
      <w:r>
        <w:rPr>
          <w:sz w:val="16"/>
          <w:szCs w:val="16"/>
          <w:vertAlign w:val="superscript"/>
        </w:rPr>
        <w:footnoteRef/>
      </w:r>
      <w:r>
        <w:rPr>
          <w:sz w:val="16"/>
          <w:szCs w:val="16"/>
          <w:rtl w:val="0"/>
          <w:lang w:val="nl-NL"/>
        </w:rPr>
        <w:t xml:space="preserve"> OPEC, </w:t>
      </w:r>
      <w:r>
        <w:rPr>
          <w:i w:val="1"/>
          <w:iCs w:val="1"/>
          <w:sz w:val="16"/>
          <w:szCs w:val="16"/>
          <w:rtl w:val="0"/>
          <w:lang w:val="en-US"/>
        </w:rPr>
        <w:t>Solemn Declaration: Conference of the Sovereigns and Heads of State of the OPEC Member Countries</w:t>
      </w:r>
      <w:r>
        <w:rPr>
          <w:sz w:val="16"/>
          <w:szCs w:val="16"/>
          <w:rtl w:val="0"/>
          <w:lang w:val="nl-NL"/>
        </w:rPr>
        <w:t xml:space="preserve"> (Algiers, 4</w:t>
      </w:r>
      <w:r>
        <w:rPr>
          <w:sz w:val="16"/>
          <w:szCs w:val="16"/>
          <w:rtl w:val="0"/>
        </w:rPr>
        <w:t>–</w:t>
      </w:r>
      <w:r>
        <w:rPr>
          <w:sz w:val="16"/>
          <w:szCs w:val="16"/>
          <w:rtl w:val="0"/>
          <w:lang w:val="en-US"/>
        </w:rPr>
        <w:t xml:space="preserve">6 March 1975), </w:t>
      </w:r>
      <w:r>
        <w:rPr>
          <w:sz w:val="20"/>
          <w:szCs w:val="20"/>
          <w:rtl w:val="0"/>
        </w:rPr>
        <w:t xml:space="preserve">pp. </w:t>
      </w:r>
    </w:p>
    <w:p>
      <w:pPr>
        <w:pStyle w:val="Footnote"/>
        <w:rPr>
          <w:sz w:val="20"/>
          <w:szCs w:val="20"/>
        </w:rPr>
      </w:pPr>
    </w:p>
    <w:p>
      <w:pPr>
        <w:pStyle w:val="Footnote"/>
      </w:pPr>
      <w:r>
        <w:rPr>
          <w:sz w:val="16"/>
          <w:szCs w:val="16"/>
          <w:rtl w:val="0"/>
          <w:lang w:val="en-US"/>
        </w:rPr>
        <w:t>'A</w:t>
      </w:r>
      <w:r>
        <w:rPr>
          <w:sz w:val="16"/>
          <w:szCs w:val="16"/>
          <w:rtl w:val="0"/>
          <w:lang w:val="en-US"/>
        </w:rPr>
        <w:t>s a proportion of Gross National Product, during 1974, their</w:t>
      </w:r>
      <w:r>
        <w:rPr>
          <w:sz w:val="16"/>
          <w:szCs w:val="16"/>
          <w:rtl w:val="0"/>
        </w:rPr>
        <w:t> </w:t>
      </w:r>
      <w:r>
        <w:rPr>
          <w:sz w:val="16"/>
          <w:szCs w:val="16"/>
          <w:rtl w:val="0"/>
          <w:lang w:val="en-US"/>
        </w:rPr>
        <w:t>financial support to other developing countries was several times greater than the average annual aid given by industrialised nations to developing countries during the last development decade. In addition, OPEC Member Countries have extended financial facilities to developed countries to help them meet their balance of payments deficits</w:t>
      </w:r>
      <w:r>
        <w:rPr>
          <w:sz w:val="16"/>
          <w:szCs w:val="16"/>
          <w:rtl w:val="0"/>
          <w:lang w:val="en-US"/>
        </w:rPr>
        <w:t>.' pp. 3-4.</w:t>
      </w:r>
    </w:p>
  </w:footnote>
  <w:footnote w:id="78">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It came with a draft proposal with key concessions. This formed part of the basis of negotiations in the Ad Hoc Committee. See:</w:t>
      </w:r>
    </w:p>
    <w:p>
      <w:pPr>
        <w:pStyle w:val="Footnote"/>
        <w:rPr>
          <w:sz w:val="16"/>
          <w:szCs w:val="16"/>
        </w:rPr>
      </w:pPr>
    </w:p>
    <w:p>
      <w:pPr>
        <w:pStyle w:val="Footnote"/>
      </w:pPr>
      <w:r>
        <w:rPr>
          <w:sz w:val="16"/>
          <w:szCs w:val="16"/>
          <w:rtl w:val="0"/>
          <w:lang w:val="en-US"/>
        </w:rPr>
        <w:t xml:space="preserve">United Nations Archives, </w:t>
      </w:r>
      <w:r>
        <w:rPr>
          <w:sz w:val="16"/>
          <w:szCs w:val="16"/>
          <w:rtl w:val="0"/>
          <w:lang w:val="en-US"/>
        </w:rPr>
        <w:t>"Informal working paper submitted by the United States of America for negotiating purposes"</w:t>
      </w:r>
      <w:r>
        <w:rPr>
          <w:sz w:val="16"/>
          <w:szCs w:val="16"/>
          <w:rtl w:val="0"/>
          <w:lang w:val="en-US"/>
        </w:rPr>
        <w:t xml:space="preserve">, located in folder: </w:t>
      </w:r>
      <w:r>
        <w:rPr>
          <w:i w:val="1"/>
          <w:iCs w:val="1"/>
          <w:sz w:val="16"/>
          <w:szCs w:val="16"/>
          <w:rtl w:val="0"/>
          <w:lang w:val="en-US"/>
        </w:rPr>
        <w:t xml:space="preserve">Seventh Special Session 21 Feb - 8 Sept 1975, </w:t>
      </w:r>
      <w:r>
        <w:rPr>
          <w:sz w:val="16"/>
          <w:szCs w:val="16"/>
          <w:rtl w:val="0"/>
          <w:lang w:val="en-US"/>
        </w:rPr>
        <w:t>Series S-0983, Box 1, File 5, Acc. 91/5. [</w:t>
      </w:r>
      <w:r>
        <w:rPr>
          <w:rStyle w:val="Hyperlink.0"/>
          <w:sz w:val="16"/>
          <w:szCs w:val="16"/>
        </w:rPr>
        <w:fldChar w:fldCharType="begin" w:fldLock="0"/>
      </w:r>
      <w:r>
        <w:rPr>
          <w:rStyle w:val="Hyperlink.0"/>
          <w:sz w:val="16"/>
          <w:szCs w:val="16"/>
        </w:rPr>
        <w:instrText xml:space="preserve"> HYPERLINK "https://search.archives.un.org/s-0983-0001-05"</w:instrText>
      </w:r>
      <w:r>
        <w:rPr>
          <w:rStyle w:val="Hyperlink.0"/>
          <w:sz w:val="16"/>
          <w:szCs w:val="16"/>
        </w:rPr>
        <w:fldChar w:fldCharType="separate" w:fldLock="0"/>
      </w:r>
      <w:r>
        <w:rPr>
          <w:rStyle w:val="Hyperlink.0"/>
          <w:sz w:val="16"/>
          <w:szCs w:val="16"/>
          <w:rtl w:val="0"/>
          <w:lang w:val="pt-PT"/>
        </w:rPr>
        <w:t>https://search.archives.un.org/s-0983-0001-05</w:t>
      </w:r>
      <w:r>
        <w:rPr>
          <w:sz w:val="16"/>
          <w:szCs w:val="16"/>
        </w:rPr>
        <w:fldChar w:fldCharType="end" w:fldLock="0"/>
      </w:r>
      <w:r>
        <w:rPr>
          <w:sz w:val="16"/>
          <w:szCs w:val="16"/>
          <w:rtl w:val="0"/>
          <w:lang w:val="en-US"/>
        </w:rPr>
        <w:t>]</w:t>
      </w:r>
    </w:p>
  </w:footnote>
  <w:footnote w:id="79">
    <w:p>
      <w:pPr>
        <w:pStyle w:val="Footnote"/>
      </w:pPr>
      <w:r>
        <w:rPr>
          <w:sz w:val="16"/>
          <w:szCs w:val="16"/>
          <w:vertAlign w:val="superscript"/>
        </w:rPr>
        <w:footnoteRef/>
      </w:r>
      <w:r>
        <w:rPr>
          <w:sz w:val="16"/>
          <w:szCs w:val="16"/>
          <w:rtl w:val="0"/>
        </w:rPr>
        <w:t xml:space="preserve"> Branislav</w:t>
      </w:r>
      <w:r>
        <w:rPr>
          <w:sz w:val="16"/>
          <w:szCs w:val="16"/>
          <w:rtl w:val="0"/>
          <w:lang w:val="en-US"/>
        </w:rPr>
        <w:t xml:space="preserve"> </w:t>
      </w:r>
      <w:r>
        <w:rPr>
          <w:sz w:val="16"/>
          <w:szCs w:val="16"/>
          <w:rtl w:val="0"/>
          <w:lang w:val="en-US"/>
        </w:rPr>
        <w:t>Gosovic, and John Gerard Ruggie</w:t>
      </w:r>
      <w:r>
        <w:rPr>
          <w:sz w:val="16"/>
          <w:szCs w:val="16"/>
          <w:rtl w:val="0"/>
          <w:lang w:val="en-US"/>
        </w:rPr>
        <w:t xml:space="preserve">, </w:t>
      </w:r>
      <w:r>
        <w:rPr>
          <w:sz w:val="16"/>
          <w:szCs w:val="16"/>
          <w:rtl w:val="0"/>
          <w:lang w:val="en-US"/>
        </w:rPr>
        <w:t>"On the creation of a new international economic order: issue linkage and the Seventh Special Session of the UN General Assembly</w:t>
      </w:r>
      <w:r>
        <w:rPr>
          <w:sz w:val="16"/>
          <w:szCs w:val="16"/>
          <w:rtl w:val="0"/>
          <w:lang w:val="en-US"/>
        </w:rPr>
        <w:t>,</w:t>
      </w:r>
      <w:r>
        <w:rPr>
          <w:sz w:val="16"/>
          <w:szCs w:val="16"/>
          <w:rtl w:val="0"/>
          <w:lang w:val="ru-RU"/>
        </w:rPr>
        <w:t xml:space="preserve">" </w:t>
      </w:r>
      <w:r>
        <w:rPr>
          <w:i w:val="1"/>
          <w:iCs w:val="1"/>
          <w:sz w:val="16"/>
          <w:szCs w:val="16"/>
          <w:rtl w:val="0"/>
          <w:lang w:val="en-US"/>
        </w:rPr>
        <w:t>International Organization</w:t>
      </w:r>
      <w:r>
        <w:rPr>
          <w:sz w:val="16"/>
          <w:szCs w:val="16"/>
          <w:rtl w:val="0"/>
        </w:rPr>
        <w:t xml:space="preserve"> 30, no. 2 (1976): </w:t>
      </w:r>
      <w:r>
        <w:rPr>
          <w:sz w:val="16"/>
          <w:szCs w:val="16"/>
          <w:rtl w:val="0"/>
          <w:lang w:val="en-US"/>
        </w:rPr>
        <w:t xml:space="preserve">pp. </w:t>
      </w:r>
      <w:r>
        <w:rPr>
          <w:sz w:val="16"/>
          <w:szCs w:val="16"/>
          <w:rtl w:val="0"/>
        </w:rPr>
        <w:t>342-</w:t>
      </w:r>
      <w:r>
        <w:rPr>
          <w:sz w:val="16"/>
          <w:szCs w:val="16"/>
          <w:rtl w:val="0"/>
          <w:lang w:val="en-US"/>
        </w:rPr>
        <w:t>3</w:t>
      </w:r>
      <w:r>
        <w:rPr>
          <w:sz w:val="16"/>
          <w:szCs w:val="16"/>
          <w:rtl w:val="0"/>
        </w:rPr>
        <w:t>44</w:t>
      </w:r>
      <w:r>
        <w:rPr>
          <w:sz w:val="16"/>
          <w:szCs w:val="16"/>
          <w:rtl w:val="0"/>
          <w:lang w:val="en-US"/>
        </w:rPr>
        <w:t xml:space="preserve">, </w:t>
      </w:r>
      <w:r>
        <w:rPr>
          <w:sz w:val="16"/>
          <w:szCs w:val="16"/>
          <w:rtl w:val="0"/>
          <w:lang w:val="en-US"/>
        </w:rPr>
        <w:t>https://doi:10.1017/S0020818300018300</w:t>
      </w:r>
      <w:r>
        <w:rPr>
          <w:sz w:val="16"/>
          <w:szCs w:val="16"/>
          <w:rtl w:val="0"/>
          <w:lang w:val="en-US"/>
        </w:rPr>
        <w:t>.</w:t>
      </w:r>
    </w:p>
  </w:footnote>
  <w:footnote w:id="80">
    <w:p>
      <w:pPr>
        <w:pStyle w:val="Footnote"/>
      </w:pPr>
      <w:r>
        <w:rPr>
          <w:sz w:val="16"/>
          <w:szCs w:val="16"/>
          <w:vertAlign w:val="superscript"/>
        </w:rPr>
        <w:footnoteRef/>
      </w:r>
      <w:r>
        <w:rPr>
          <w:sz w:val="16"/>
          <w:szCs w:val="16"/>
          <w:rtl w:val="0"/>
          <w:lang w:val="en-US"/>
        </w:rPr>
        <w:t xml:space="preserve"> David Wight, </w:t>
      </w:r>
      <w:r>
        <w:rPr>
          <w:i w:val="1"/>
          <w:iCs w:val="1"/>
          <w:sz w:val="16"/>
          <w:szCs w:val="16"/>
          <w:rtl w:val="0"/>
          <w:lang w:val="en-US"/>
        </w:rPr>
        <w:t>The Petrodollar Era and Relations Between the United States and the Middle East and North Africa, 1969-1980</w:t>
      </w:r>
      <w:r>
        <w:rPr>
          <w:sz w:val="16"/>
          <w:szCs w:val="16"/>
          <w:rtl w:val="0"/>
          <w:lang w:val="en-US"/>
        </w:rPr>
        <w:t>, 2014, Emily S. Rosenberg, Mark LeVine, and Salim Yaqub, ProQuest Dissertations Publishing</w:t>
      </w:r>
      <w:r>
        <w:rPr>
          <w:sz w:val="16"/>
          <w:szCs w:val="16"/>
          <w:rtl w:val="0"/>
          <w:lang w:val="en-US"/>
        </w:rPr>
        <w:t xml:space="preserve">, </w:t>
      </w:r>
      <w:r>
        <w:rPr>
          <w:sz w:val="16"/>
          <w:szCs w:val="16"/>
          <w:rtl w:val="0"/>
          <w:lang w:val="en-US"/>
        </w:rPr>
        <w:t>https://escholarship.org/content/qt9m52q2hk/qt9m52q2hk.pdf</w:t>
      </w:r>
      <w:r>
        <w:rPr>
          <w:sz w:val="16"/>
          <w:szCs w:val="16"/>
          <w:rtl w:val="0"/>
          <w:lang w:val="en-US"/>
        </w:rPr>
        <w:t>.</w:t>
      </w:r>
    </w:p>
  </w:footnote>
  <w:footnote w:id="81">
    <w:p>
      <w:pPr>
        <w:pStyle w:val="Footnote"/>
      </w:pPr>
      <w:r>
        <w:rPr>
          <w:sz w:val="16"/>
          <w:szCs w:val="16"/>
          <w:vertAlign w:val="superscript"/>
        </w:rPr>
        <w:footnoteRef/>
      </w:r>
      <w:r>
        <w:rPr>
          <w:sz w:val="16"/>
          <w:szCs w:val="16"/>
          <w:rtl w:val="0"/>
        </w:rPr>
        <w:t xml:space="preserve"> </w:t>
      </w:r>
      <w:r>
        <w:rPr>
          <w:sz w:val="16"/>
          <w:szCs w:val="16"/>
          <w:rtl w:val="0"/>
        </w:rPr>
        <w:t xml:space="preserve">Lissakers, </w:t>
      </w:r>
      <w:r>
        <w:rPr>
          <w:i w:val="1"/>
          <w:iCs w:val="1"/>
          <w:sz w:val="16"/>
          <w:szCs w:val="16"/>
          <w:rtl w:val="0"/>
          <w:lang w:val="en-US"/>
        </w:rPr>
        <w:t>Banks, Borrowers, and the Establishment</w:t>
      </w:r>
      <w:r>
        <w:rPr>
          <w:sz w:val="16"/>
          <w:szCs w:val="16"/>
          <w:rtl w:val="0"/>
        </w:rPr>
        <w:t xml:space="preserve">, pp. 204-09; Mazower, </w:t>
      </w:r>
      <w:r>
        <w:rPr>
          <w:i w:val="1"/>
          <w:iCs w:val="1"/>
          <w:sz w:val="16"/>
          <w:szCs w:val="16"/>
          <w:rtl w:val="0"/>
          <w:lang w:val="en-US"/>
        </w:rPr>
        <w:t>Governing the World</w:t>
      </w:r>
      <w:r>
        <w:rPr>
          <w:sz w:val="16"/>
          <w:szCs w:val="16"/>
          <w:rtl w:val="0"/>
        </w:rPr>
        <w:t>, p. 317.</w:t>
      </w:r>
    </w:p>
  </w:footnote>
  <w:footnote w:id="82">
    <w:p>
      <w:pPr>
        <w:pStyle w:val="Footnote"/>
      </w:pPr>
      <w:r>
        <w:rPr>
          <w:sz w:val="16"/>
          <w:szCs w:val="16"/>
          <w:vertAlign w:val="superscript"/>
        </w:rPr>
        <w:footnoteRef/>
      </w:r>
      <w:r>
        <w:rPr>
          <w:sz w:val="16"/>
          <w:szCs w:val="16"/>
          <w:rtl w:val="0"/>
        </w:rPr>
        <w:t xml:space="preserve"> </w:t>
      </w:r>
      <w:r>
        <w:rPr>
          <w:sz w:val="16"/>
          <w:szCs w:val="16"/>
          <w:rtl w:val="0"/>
          <w:lang w:val="en-US"/>
        </w:rPr>
        <w:t>Paul Volcker, quoted in Varoufakis, p. 49.</w:t>
      </w:r>
    </w:p>
  </w:footnote>
  <w:footnote w:id="83">
    <w:p>
      <w:pPr>
        <w:pStyle w:val="Footnote"/>
      </w:pPr>
      <w:r>
        <w:rPr>
          <w:sz w:val="16"/>
          <w:szCs w:val="16"/>
          <w:vertAlign w:val="superscript"/>
        </w:rPr>
        <w:footnoteRef/>
      </w:r>
      <w:r>
        <w:rPr>
          <w:sz w:val="16"/>
          <w:szCs w:val="16"/>
          <w:rtl w:val="0"/>
        </w:rPr>
        <w:t xml:space="preserve"> UNA, </w:t>
      </w:r>
      <w:r>
        <w:rPr>
          <w:sz w:val="16"/>
          <w:szCs w:val="16"/>
          <w:rtl w:val="0"/>
          <w:lang w:val="en-US"/>
        </w:rPr>
        <w:t>'</w:t>
      </w:r>
      <w:r>
        <w:rPr>
          <w:sz w:val="16"/>
          <w:szCs w:val="16"/>
          <w:rtl w:val="0"/>
          <w:lang w:val="en-US"/>
        </w:rPr>
        <w:t>4. Financial Affairs Commission (3d meeting: 3.30 p.m),</w:t>
      </w:r>
      <w:r>
        <w:rPr>
          <w:sz w:val="16"/>
          <w:szCs w:val="16"/>
          <w:rtl w:val="0"/>
          <w:lang w:val="en-US"/>
        </w:rPr>
        <w:t>'</w:t>
      </w:r>
      <w:r>
        <w:rPr>
          <w:sz w:val="16"/>
          <w:szCs w:val="16"/>
          <w:rtl w:val="0"/>
        </w:rPr>
        <w:t xml:space="preserve"> </w:t>
      </w:r>
      <w:r>
        <w:rPr>
          <w:sz w:val="16"/>
          <w:szCs w:val="16"/>
          <w:rtl w:val="0"/>
          <w:lang w:val="en-US"/>
        </w:rPr>
        <w:t xml:space="preserve">14 February 1976, Series 0913, Box 17, File 4, Conference on International Economic Cooperation, Paris </w:t>
      </w:r>
      <w:r>
        <w:rPr>
          <w:sz w:val="16"/>
          <w:szCs w:val="16"/>
          <w:rtl w:val="0"/>
        </w:rPr>
        <w:t xml:space="preserve">–– </w:t>
      </w:r>
      <w:r>
        <w:rPr>
          <w:sz w:val="16"/>
          <w:szCs w:val="16"/>
          <w:rtl w:val="0"/>
          <w:lang w:val="en-US"/>
        </w:rPr>
        <w:t>July 1976-1978.</w:t>
      </w:r>
    </w:p>
  </w:footnote>
  <w:footnote w:id="84">
    <w:p>
      <w:pPr>
        <w:pStyle w:val="Footnote"/>
      </w:pPr>
      <w:r>
        <w:rPr>
          <w:sz w:val="16"/>
          <w:szCs w:val="16"/>
          <w:vertAlign w:val="superscript"/>
        </w:rPr>
        <w:footnoteRef/>
      </w:r>
      <w:r>
        <w:rPr>
          <w:sz w:val="16"/>
          <w:szCs w:val="16"/>
          <w:rtl w:val="0"/>
        </w:rPr>
        <w:t xml:space="preserve"> </w:t>
      </w:r>
      <w:r>
        <w:rPr>
          <w:sz w:val="16"/>
          <w:szCs w:val="16"/>
          <w:rtl w:val="0"/>
          <w:lang w:val="en-US"/>
        </w:rPr>
        <w:t>Samir Amin, "After the NIEO", p. 436.</w:t>
      </w:r>
      <w:r>
        <w:rPr>
          <w:i w:val="1"/>
          <w:iCs w:val="1"/>
          <w:sz w:val="16"/>
          <w:szCs w:val="16"/>
          <w:rtl w:val="0"/>
          <w:lang w:val="en-US"/>
        </w:rPr>
        <w:t xml:space="preserve"> </w:t>
      </w:r>
      <w:r>
        <w:rPr>
          <w:sz w:val="16"/>
          <w:szCs w:val="16"/>
          <w:rtl w:val="0"/>
          <w:lang w:val="en-US"/>
        </w:rPr>
        <w:t>Paul P.</w:t>
      </w:r>
      <w:r>
        <w:rPr>
          <w:sz w:val="16"/>
          <w:szCs w:val="16"/>
          <w:rtl w:val="0"/>
          <w:lang w:val="en-US"/>
        </w:rPr>
        <w:t xml:space="preserve"> </w:t>
      </w:r>
      <w:r>
        <w:rPr>
          <w:sz w:val="16"/>
          <w:szCs w:val="16"/>
          <w:rtl w:val="0"/>
          <w:lang w:val="en-US"/>
        </w:rPr>
        <w:t>Streeten</w:t>
      </w:r>
      <w:r>
        <w:rPr>
          <w:sz w:val="16"/>
          <w:szCs w:val="16"/>
          <w:rtl w:val="0"/>
          <w:lang w:val="en-US"/>
        </w:rPr>
        <w:t>,</w:t>
      </w:r>
      <w:r>
        <w:rPr>
          <w:sz w:val="16"/>
          <w:szCs w:val="16"/>
          <w:rtl w:val="0"/>
        </w:rPr>
        <w:t xml:space="preserve"> </w:t>
      </w:r>
      <w:r>
        <w:rPr>
          <w:i w:val="1"/>
          <w:iCs w:val="1"/>
          <w:sz w:val="16"/>
          <w:szCs w:val="16"/>
          <w:rtl w:val="0"/>
          <w:lang w:val="en-US"/>
        </w:rPr>
        <w:t xml:space="preserve">Basic </w:t>
      </w:r>
      <w:r>
        <w:rPr>
          <w:i w:val="1"/>
          <w:iCs w:val="1"/>
          <w:sz w:val="16"/>
          <w:szCs w:val="16"/>
          <w:rtl w:val="0"/>
          <w:lang w:val="en-US"/>
        </w:rPr>
        <w:t>N</w:t>
      </w:r>
      <w:r>
        <w:rPr>
          <w:i w:val="1"/>
          <w:iCs w:val="1"/>
          <w:sz w:val="16"/>
          <w:szCs w:val="16"/>
          <w:rtl w:val="0"/>
          <w:lang w:val="en-US"/>
        </w:rPr>
        <w:t xml:space="preserve">eeds: Premises and </w:t>
      </w:r>
      <w:r>
        <w:rPr>
          <w:i w:val="1"/>
          <w:iCs w:val="1"/>
          <w:sz w:val="16"/>
          <w:szCs w:val="16"/>
          <w:rtl w:val="0"/>
          <w:lang w:val="en-US"/>
        </w:rPr>
        <w:t>P</w:t>
      </w:r>
      <w:r>
        <w:rPr>
          <w:i w:val="1"/>
          <w:iCs w:val="1"/>
          <w:sz w:val="16"/>
          <w:szCs w:val="16"/>
          <w:rtl w:val="0"/>
        </w:rPr>
        <w:t>romises</w:t>
      </w:r>
      <w:r>
        <w:rPr>
          <w:i w:val="1"/>
          <w:iCs w:val="1"/>
          <w:sz w:val="16"/>
          <w:szCs w:val="16"/>
          <w:rtl w:val="0"/>
          <w:lang w:val="en-US"/>
        </w:rPr>
        <w:t xml:space="preserve"> </w:t>
      </w:r>
      <w:r>
        <w:rPr>
          <w:sz w:val="16"/>
          <w:szCs w:val="16"/>
          <w:rtl w:val="0"/>
          <w:lang w:val="en-US"/>
        </w:rPr>
        <w:t>(</w:t>
      </w:r>
      <w:r>
        <w:rPr>
          <w:sz w:val="16"/>
          <w:szCs w:val="16"/>
          <w:rtl w:val="0"/>
          <w:lang w:val="en-US"/>
        </w:rPr>
        <w:t>World Bank, 1979</w:t>
      </w:r>
      <w:r>
        <w:rPr>
          <w:sz w:val="16"/>
          <w:szCs w:val="16"/>
          <w:rtl w:val="0"/>
          <w:lang w:val="en-US"/>
        </w:rPr>
        <w:t xml:space="preserve">), reprinted from </w:t>
      </w:r>
      <w:r>
        <w:rPr>
          <w:i w:val="1"/>
          <w:iCs w:val="1"/>
          <w:sz w:val="16"/>
          <w:szCs w:val="16"/>
          <w:rtl w:val="0"/>
          <w:lang w:val="en-US"/>
        </w:rPr>
        <w:t>Journal of Policy Modeling</w:t>
      </w:r>
      <w:r>
        <w:rPr>
          <w:sz w:val="16"/>
          <w:szCs w:val="16"/>
          <w:rtl w:val="0"/>
        </w:rPr>
        <w:t xml:space="preserve"> 1, no. 1 (1979): 136-146.</w:t>
      </w:r>
      <w:r>
        <w:rPr>
          <w:sz w:val="16"/>
          <w:szCs w:val="16"/>
          <w:rtl w:val="0"/>
          <w:lang w:val="en-US"/>
        </w:rPr>
        <w:t>[</w:t>
      </w:r>
      <w:r>
        <w:rPr>
          <w:rStyle w:val="Hyperlink.0"/>
          <w:sz w:val="16"/>
          <w:szCs w:val="16"/>
        </w:rPr>
        <w:fldChar w:fldCharType="begin" w:fldLock="0"/>
      </w:r>
      <w:r>
        <w:rPr>
          <w:rStyle w:val="Hyperlink.0"/>
          <w:sz w:val="16"/>
          <w:szCs w:val="16"/>
        </w:rPr>
        <w:instrText xml:space="preserve"> HYPERLINK "https://documents1.worldbank.org/curated/en/912301468190752919/pdf/REP62000Basic00remises0and0promises.pdf%5D"</w:instrText>
      </w:r>
      <w:r>
        <w:rPr>
          <w:rStyle w:val="Hyperlink.0"/>
          <w:sz w:val="16"/>
          <w:szCs w:val="16"/>
        </w:rPr>
        <w:fldChar w:fldCharType="separate" w:fldLock="0"/>
      </w:r>
      <w:r>
        <w:rPr>
          <w:rStyle w:val="Hyperlink.0"/>
          <w:sz w:val="16"/>
          <w:szCs w:val="16"/>
          <w:rtl w:val="0"/>
          <w:lang w:val="en-US"/>
        </w:rPr>
        <w:t>https://documents1.worldbank.org/curated/en/912301468190752919/pdf/REP62000Basic00remises0and0promises.pdf</w:t>
      </w:r>
      <w:r>
        <w:rPr>
          <w:rStyle w:val="Hyperlink.0"/>
          <w:sz w:val="16"/>
          <w:szCs w:val="16"/>
          <w:rtl w:val="0"/>
          <w:lang w:val="en-US"/>
        </w:rPr>
        <w:t>]</w:t>
      </w:r>
      <w:r>
        <w:rPr>
          <w:sz w:val="16"/>
          <w:szCs w:val="16"/>
        </w:rPr>
        <w:fldChar w:fldCharType="end" w:fldLock="0"/>
      </w:r>
    </w:p>
  </w:footnote>
  <w:footnote w:id="85">
    <w:p>
      <w:pPr>
        <w:pStyle w:val="Footnote"/>
        <w:rPr>
          <w:sz w:val="16"/>
          <w:szCs w:val="16"/>
        </w:rPr>
      </w:pPr>
      <w:r>
        <w:rPr>
          <w:sz w:val="16"/>
          <w:szCs w:val="16"/>
          <w:vertAlign w:val="superscript"/>
        </w:rPr>
        <w:footnoteRef/>
      </w:r>
      <w:r>
        <w:rPr>
          <w:sz w:val="16"/>
          <w:szCs w:val="16"/>
          <w:rtl w:val="0"/>
          <w:lang w:val="en-US"/>
        </w:rPr>
        <w:t xml:space="preserve"> </w:t>
      </w:r>
      <w:r>
        <w:rPr>
          <w:sz w:val="16"/>
          <w:szCs w:val="16"/>
          <w:rtl w:val="0"/>
          <w:lang w:val="en-US"/>
        </w:rPr>
        <w:t xml:space="preserve">By analysing </w:t>
      </w:r>
      <w:r>
        <w:rPr>
          <w:sz w:val="16"/>
          <w:szCs w:val="16"/>
          <w:rtl w:val="1"/>
        </w:rPr>
        <w:t>‘</w:t>
      </w:r>
      <w:r>
        <w:rPr>
          <w:sz w:val="16"/>
          <w:szCs w:val="16"/>
          <w:rtl w:val="0"/>
          <w:lang w:val="en-US"/>
        </w:rPr>
        <w:t>the rate of decline in under five mortality</w:t>
      </w:r>
      <w:r>
        <w:rPr>
          <w:sz w:val="16"/>
          <w:szCs w:val="16"/>
          <w:rtl w:val="1"/>
        </w:rPr>
        <w:t xml:space="preserve">’ </w:t>
      </w:r>
      <w:r>
        <w:rPr>
          <w:sz w:val="16"/>
          <w:szCs w:val="16"/>
          <w:rtl w:val="0"/>
          <w:lang w:val="en-US"/>
        </w:rPr>
        <w:t xml:space="preserve">in countries not affected by civil war, and in countries in which a decline had not already been in effect, UNICEF was able to show that, as of 1989, </w:t>
      </w:r>
      <w:r>
        <w:rPr>
          <w:sz w:val="16"/>
          <w:szCs w:val="16"/>
          <w:rtl w:val="1"/>
        </w:rPr>
        <w:t>‘</w:t>
      </w:r>
      <w:r>
        <w:rPr>
          <w:sz w:val="16"/>
          <w:szCs w:val="16"/>
          <w:rtl w:val="0"/>
          <w:lang w:val="en-US"/>
        </w:rPr>
        <w:t>at least half a million young children have died in the last twelve months as a result of the slowing down or the reversal of progress in the developing world.</w:t>
      </w:r>
      <w:r>
        <w:rPr>
          <w:sz w:val="16"/>
          <w:szCs w:val="16"/>
          <w:rtl w:val="0"/>
        </w:rPr>
        <w:t xml:space="preserve">’  </w:t>
      </w:r>
      <w:r>
        <w:rPr>
          <w:sz w:val="16"/>
          <w:szCs w:val="16"/>
          <w:rtl w:val="0"/>
          <w:lang w:val="en-US"/>
        </w:rPr>
        <w:t xml:space="preserve">This UNICEF attributed to </w:t>
      </w:r>
      <w:r>
        <w:rPr>
          <w:sz w:val="16"/>
          <w:szCs w:val="16"/>
          <w:rtl w:val="1"/>
        </w:rPr>
        <w:t>‘</w:t>
      </w:r>
      <w:r>
        <w:rPr>
          <w:sz w:val="16"/>
          <w:szCs w:val="16"/>
          <w:rtl w:val="0"/>
          <w:lang w:val="en-US"/>
        </w:rPr>
        <w:t>rising interest rates, falling commodity prices, inadequate investment of borrowed funds, and the domestic and international management of the resulting debt crisis.</w:t>
      </w:r>
      <w:r>
        <w:rPr>
          <w:sz w:val="16"/>
          <w:szCs w:val="16"/>
          <w:rtl w:val="1"/>
        </w:rPr>
        <w:t xml:space="preserve">’ </w:t>
      </w:r>
      <w:r>
        <w:rPr>
          <w:sz w:val="16"/>
          <w:szCs w:val="16"/>
          <w:rtl w:val="0"/>
          <w:lang w:val="en-US"/>
        </w:rPr>
        <w:t xml:space="preserve">This had caused </w:t>
      </w:r>
      <w:r>
        <w:rPr>
          <w:sz w:val="16"/>
          <w:szCs w:val="16"/>
          <w:rtl w:val="1"/>
        </w:rPr>
        <w:t>‘</w:t>
      </w:r>
      <w:r>
        <w:rPr>
          <w:sz w:val="16"/>
          <w:szCs w:val="16"/>
          <w:rtl w:val="0"/>
          <w:lang w:val="en-US"/>
        </w:rPr>
        <w:t>the mounting debt repayments, the drop in export earnings, the increase in food costs, the fall in family incomes, the run-down of health services, [and] the narrowing of educational opportunities.</w:t>
      </w:r>
      <w:r>
        <w:rPr>
          <w:sz w:val="16"/>
          <w:szCs w:val="16"/>
          <w:rtl w:val="1"/>
        </w:rPr>
        <w:t>’</w:t>
      </w:r>
    </w:p>
    <w:p>
      <w:pPr>
        <w:pStyle w:val="Footnote"/>
        <w:rPr>
          <w:sz w:val="16"/>
          <w:szCs w:val="16"/>
        </w:rPr>
      </w:pPr>
    </w:p>
    <w:p>
      <w:pPr>
        <w:pStyle w:val="Footnote"/>
      </w:pPr>
      <w:r>
        <w:rPr>
          <w:sz w:val="16"/>
          <w:szCs w:val="16"/>
          <w:rtl w:val="0"/>
          <w:lang w:val="fr-FR"/>
        </w:rPr>
        <w:t xml:space="preserve">UNICEF, </w:t>
      </w:r>
      <w:r>
        <w:rPr>
          <w:i w:val="1"/>
          <w:iCs w:val="1"/>
          <w:sz w:val="16"/>
          <w:szCs w:val="16"/>
          <w:rtl w:val="0"/>
          <w:lang w:val="en-US"/>
        </w:rPr>
        <w:t>The State of the World</w:t>
      </w:r>
      <w:r>
        <w:rPr>
          <w:i w:val="1"/>
          <w:iCs w:val="1"/>
          <w:sz w:val="16"/>
          <w:szCs w:val="16"/>
          <w:rtl w:val="1"/>
        </w:rPr>
        <w:t>’</w:t>
      </w:r>
      <w:r>
        <w:rPr>
          <w:i w:val="1"/>
          <w:iCs w:val="1"/>
          <w:sz w:val="16"/>
          <w:szCs w:val="16"/>
          <w:rtl w:val="0"/>
          <w:lang w:val="en-US"/>
        </w:rPr>
        <w:t>s Children 1989</w:t>
      </w:r>
      <w:r>
        <w:rPr>
          <w:sz w:val="16"/>
          <w:szCs w:val="16"/>
          <w:rtl w:val="0"/>
          <w:lang w:val="en-US"/>
        </w:rPr>
        <w:t xml:space="preserve"> (Oxford, 1989), pp. 1-2, https://www.unicef.org/about/history/files/sowc_1989.pdf.</w:t>
      </w:r>
    </w:p>
  </w:footnote>
  <w:footnote w:id="86">
    <w:p>
      <w:pPr>
        <w:pStyle w:val="Footnote"/>
      </w:pPr>
      <w:r>
        <w:rPr>
          <w:sz w:val="16"/>
          <w:szCs w:val="16"/>
          <w:vertAlign w:val="superscript"/>
        </w:rPr>
        <w:footnoteRef/>
      </w:r>
      <w:r>
        <w:rPr>
          <w:sz w:val="16"/>
          <w:szCs w:val="16"/>
          <w:rtl w:val="0"/>
        </w:rPr>
        <w:t xml:space="preserve"> Karin Lissakers</w:t>
      </w:r>
      <w:r>
        <w:rPr>
          <w:sz w:val="16"/>
          <w:szCs w:val="16"/>
          <w:rtl w:val="0"/>
          <w:lang w:val="en-US"/>
        </w:rPr>
        <w:t xml:space="preserve">, </w:t>
      </w:r>
      <w:r>
        <w:rPr>
          <w:i w:val="1"/>
          <w:iCs w:val="1"/>
          <w:sz w:val="16"/>
          <w:szCs w:val="16"/>
          <w:rtl w:val="0"/>
          <w:lang w:val="en-US"/>
        </w:rPr>
        <w:t>Banks, Borrowers, and the Establishment: A Revisionist Account of the International Debt Crisis</w:t>
      </w:r>
      <w:r>
        <w:rPr>
          <w:sz w:val="16"/>
          <w:szCs w:val="16"/>
          <w:rtl w:val="0"/>
          <w:lang w:val="en-US"/>
        </w:rPr>
        <w:t xml:space="preserve"> (Basic Books, 1993) </w:t>
      </w:r>
      <w:r>
        <w:rPr>
          <w:sz w:val="16"/>
          <w:szCs w:val="16"/>
          <w:rtl w:val="0"/>
        </w:rPr>
        <w:t>pp. 204-209</w:t>
      </w:r>
      <w:r>
        <w:rPr>
          <w:sz w:val="16"/>
          <w:szCs w:val="16"/>
          <w:rtl w:val="0"/>
          <w:lang w:val="en-US"/>
        </w:rPr>
        <w:t>.</w:t>
      </w:r>
    </w:p>
  </w:footnote>
  <w:footnote w:id="87">
    <w:p>
      <w:pPr>
        <w:pStyle w:val="Footnote"/>
      </w:pPr>
      <w:r>
        <w:rPr>
          <w:sz w:val="16"/>
          <w:szCs w:val="16"/>
          <w:vertAlign w:val="superscript"/>
        </w:rPr>
        <w:footnoteRef/>
      </w:r>
      <w:r>
        <w:rPr>
          <w:sz w:val="16"/>
          <w:szCs w:val="16"/>
          <w:rtl w:val="0"/>
        </w:rPr>
        <w:t xml:space="preserve"> </w:t>
      </w:r>
      <w:r>
        <w:rPr>
          <w:sz w:val="16"/>
          <w:szCs w:val="16"/>
          <w:rtl w:val="0"/>
          <w:lang w:val="en-US"/>
        </w:rPr>
        <w:t>Havana Congress, "</w:t>
      </w:r>
      <w:r>
        <w:rPr>
          <w:sz w:val="16"/>
          <w:szCs w:val="16"/>
          <w:rtl w:val="0"/>
          <w:lang w:val="en-US"/>
        </w:rPr>
        <w:t>The Havana Declaration on the New International Economic Order</w:t>
      </w:r>
      <w:r>
        <w:rPr>
          <w:sz w:val="16"/>
          <w:szCs w:val="16"/>
          <w:rtl w:val="0"/>
          <w:lang w:val="en-US"/>
        </w:rPr>
        <w:t>", 27 January 2022. [</w:t>
      </w:r>
      <w:r>
        <w:rPr>
          <w:rStyle w:val="Hyperlink.0"/>
          <w:sz w:val="16"/>
          <w:szCs w:val="16"/>
        </w:rPr>
        <w:fldChar w:fldCharType="begin" w:fldLock="0"/>
      </w:r>
      <w:r>
        <w:rPr>
          <w:rStyle w:val="Hyperlink.0"/>
          <w:sz w:val="16"/>
          <w:szCs w:val="16"/>
        </w:rPr>
        <w:instrText xml:space="preserve"> HYPERLINK "https://progressive.international/blueprint/d3b4f9e2-3fd7-4d9a-b067-d13b073b1c3f-presenting-the-havana-declaration-on-the-new-international-economic-order/en"</w:instrText>
      </w:r>
      <w:r>
        <w:rPr>
          <w:rStyle w:val="Hyperlink.0"/>
          <w:sz w:val="16"/>
          <w:szCs w:val="16"/>
        </w:rPr>
        <w:fldChar w:fldCharType="separate" w:fldLock="0"/>
      </w:r>
      <w:r>
        <w:rPr>
          <w:rStyle w:val="Hyperlink.0"/>
          <w:sz w:val="16"/>
          <w:szCs w:val="16"/>
          <w:rtl w:val="0"/>
          <w:lang w:val="en-US"/>
        </w:rPr>
        <w:t>https://progressive.international/blueprint/d3b4f9e2-3fd7-4d9a-b067-d13b073b1c3f-presenting-the-havana-declaration-on-the-new-international-economic-order/en</w:t>
      </w:r>
      <w:r>
        <w:rPr>
          <w:sz w:val="16"/>
          <w:szCs w:val="16"/>
        </w:rPr>
        <w:fldChar w:fldCharType="end" w:fldLock="0"/>
      </w:r>
      <w:r>
        <w:rPr>
          <w:sz w:val="16"/>
          <w:szCs w:val="16"/>
          <w:rtl w:val="0"/>
          <w:lang w:val="en-US"/>
        </w:rPr>
        <w:t>]</w:t>
      </w:r>
    </w:p>
  </w:footnote>
  <w:footnote w:id="88">
    <w:p>
      <w:pPr>
        <w:pStyle w:val="Footnote"/>
      </w:pPr>
      <w:r>
        <w:rPr>
          <w:sz w:val="16"/>
          <w:szCs w:val="16"/>
          <w:vertAlign w:val="superscript"/>
        </w:rPr>
        <w:footnoteRef/>
      </w:r>
      <w:r>
        <w:rPr>
          <w:sz w:val="16"/>
          <w:szCs w:val="16"/>
          <w:rtl w:val="0"/>
        </w:rPr>
        <w:t xml:space="preserve"> </w:t>
      </w:r>
      <w:r>
        <w:rPr>
          <w:sz w:val="16"/>
          <w:szCs w:val="16"/>
          <w:rtl w:val="0"/>
          <w:lang w:val="en-US"/>
        </w:rPr>
        <w:t>Ibid.</w:t>
      </w:r>
    </w:p>
  </w:footnote>
  <w:footnote w:id="89">
    <w:p>
      <w:pPr>
        <w:pStyle w:val="Footnote"/>
      </w:pPr>
      <w:r>
        <w:rPr>
          <w:sz w:val="16"/>
          <w:szCs w:val="16"/>
          <w:vertAlign w:val="superscript"/>
        </w:rPr>
        <w:footnoteRef/>
      </w:r>
      <w:r>
        <w:rPr>
          <w:sz w:val="16"/>
          <w:szCs w:val="16"/>
          <w:rtl w:val="0"/>
        </w:rPr>
        <w:t xml:space="preserve"> </w:t>
      </w:r>
      <w:r>
        <w:rPr>
          <w:sz w:val="16"/>
          <w:szCs w:val="16"/>
          <w:rtl w:val="0"/>
          <w:lang w:val="en-US"/>
        </w:rPr>
        <w:t xml:space="preserve">Yanis Varoufakis, "Havana Address: </w:t>
      </w:r>
      <w:r>
        <w:rPr>
          <w:sz w:val="16"/>
          <w:szCs w:val="16"/>
          <w:rtl w:val="0"/>
          <w:lang w:val="en-US"/>
        </w:rPr>
        <w:t xml:space="preserve">The New Non-Aligned Movement and New Economic System </w:t>
      </w:r>
      <w:r>
        <w:rPr>
          <w:sz w:val="16"/>
          <w:szCs w:val="16"/>
          <w:rtl w:val="0"/>
          <w:lang w:val="en-US"/>
        </w:rPr>
        <w:t>W</w:t>
      </w:r>
      <w:r>
        <w:rPr>
          <w:sz w:val="16"/>
          <w:szCs w:val="16"/>
          <w:rtl w:val="0"/>
        </w:rPr>
        <w:t xml:space="preserve">e </w:t>
      </w:r>
      <w:r>
        <w:rPr>
          <w:sz w:val="16"/>
          <w:szCs w:val="16"/>
          <w:rtl w:val="0"/>
          <w:lang w:val="en-US"/>
        </w:rPr>
        <w:t>H</w:t>
      </w:r>
      <w:r>
        <w:rPr>
          <w:sz w:val="16"/>
          <w:szCs w:val="16"/>
          <w:rtl w:val="0"/>
          <w:lang w:val="en-US"/>
        </w:rPr>
        <w:t xml:space="preserve">ave a </w:t>
      </w:r>
      <w:r>
        <w:rPr>
          <w:sz w:val="16"/>
          <w:szCs w:val="16"/>
          <w:rtl w:val="0"/>
          <w:lang w:val="en-US"/>
        </w:rPr>
        <w:t>D</w:t>
      </w:r>
      <w:r>
        <w:rPr>
          <w:sz w:val="16"/>
          <w:szCs w:val="16"/>
          <w:rtl w:val="0"/>
          <w:lang w:val="en-US"/>
        </w:rPr>
        <w:t xml:space="preserve">uty to </w:t>
      </w:r>
      <w:r>
        <w:rPr>
          <w:sz w:val="16"/>
          <w:szCs w:val="16"/>
          <w:rtl w:val="0"/>
          <w:lang w:val="en-US"/>
        </w:rPr>
        <w:t>W</w:t>
      </w:r>
      <w:r>
        <w:rPr>
          <w:sz w:val="16"/>
          <w:szCs w:val="16"/>
          <w:rtl w:val="0"/>
          <w:lang w:val="en-US"/>
        </w:rPr>
        <w:t xml:space="preserve">ork </w:t>
      </w:r>
      <w:r>
        <w:rPr>
          <w:sz w:val="16"/>
          <w:szCs w:val="16"/>
          <w:rtl w:val="0"/>
          <w:lang w:val="en-US"/>
        </w:rPr>
        <w:t>T</w:t>
      </w:r>
      <w:r>
        <w:rPr>
          <w:sz w:val="16"/>
          <w:szCs w:val="16"/>
          <w:rtl w:val="0"/>
          <w:lang w:val="en-US"/>
        </w:rPr>
        <w:t>owards</w:t>
      </w:r>
      <w:r>
        <w:rPr>
          <w:sz w:val="16"/>
          <w:szCs w:val="16"/>
          <w:rtl w:val="0"/>
          <w:lang w:val="en-US"/>
        </w:rPr>
        <w:t>", 26 February 2023. [</w:t>
      </w:r>
      <w:r>
        <w:rPr>
          <w:rStyle w:val="Hyperlink.0"/>
          <w:sz w:val="16"/>
          <w:szCs w:val="16"/>
        </w:rPr>
        <w:fldChar w:fldCharType="begin" w:fldLock="0"/>
      </w:r>
      <w:r>
        <w:rPr>
          <w:rStyle w:val="Hyperlink.0"/>
          <w:sz w:val="16"/>
          <w:szCs w:val="16"/>
        </w:rPr>
        <w:instrText xml:space="preserve"> HYPERLINK "https://www.yanisvaroufakis.eu/2023/02/26/the-new-non-aligned-movement-and-new-economic-system-we-have-a-duty-to-work-towards-havana-address-27th-january-2023/"</w:instrText>
      </w:r>
      <w:r>
        <w:rPr>
          <w:rStyle w:val="Hyperlink.0"/>
          <w:sz w:val="16"/>
          <w:szCs w:val="16"/>
        </w:rPr>
        <w:fldChar w:fldCharType="separate" w:fldLock="0"/>
      </w:r>
      <w:r>
        <w:rPr>
          <w:rStyle w:val="Hyperlink.0"/>
          <w:sz w:val="16"/>
          <w:szCs w:val="16"/>
          <w:rtl w:val="0"/>
          <w:lang w:val="en-US"/>
        </w:rPr>
        <w:t>https://www.yanisvaroufakis.eu/2023/02/26/the-new-non-aligned-movement-and-new-economic-system-we-have-a-duty-to-work-towards-havana-address-27th-january-2023/</w:t>
      </w:r>
      <w:r>
        <w:rPr>
          <w:sz w:val="16"/>
          <w:szCs w:val="16"/>
        </w:rPr>
        <w:fldChar w:fldCharType="end" w:fldLock="0"/>
      </w:r>
      <w:r>
        <w:rPr>
          <w:sz w:val="16"/>
          <w:szCs w:val="16"/>
          <w:rtl w:val="0"/>
          <w:lang w:val="en-US"/>
        </w:rPr>
        <w:t>]</w:t>
      </w:r>
      <w:r>
        <w:rPr>
          <w:sz w:val="16"/>
          <w:szCs w:val="16"/>
          <w:rtl w:val="0"/>
        </w:rPr>
        <w:t xml:space="preserve"> </w:t>
      </w:r>
    </w:p>
  </w:footnote>
  <w:footnote w:id="90">
    <w:p>
      <w:pPr>
        <w:pStyle w:val="Footnote"/>
      </w:pPr>
      <w:r>
        <w:rPr>
          <w:sz w:val="16"/>
          <w:szCs w:val="16"/>
          <w:vertAlign w:val="superscript"/>
        </w:rPr>
        <w:footnoteRef/>
      </w:r>
      <w:r>
        <w:rPr>
          <w:sz w:val="16"/>
          <w:szCs w:val="16"/>
          <w:rtl w:val="0"/>
        </w:rPr>
        <w:t xml:space="preserve"> </w:t>
      </w:r>
      <w:r>
        <w:rPr>
          <w:sz w:val="16"/>
          <w:szCs w:val="16"/>
          <w:rtl w:val="0"/>
          <w:lang w:val="en-US"/>
        </w:rPr>
        <w:t>Ibid.</w:t>
      </w:r>
    </w:p>
  </w:footnote>
  <w:footnote w:id="91">
    <w:p>
      <w:pPr>
        <w:pStyle w:val="Footnote"/>
        <w:rPr>
          <w:sz w:val="16"/>
          <w:szCs w:val="16"/>
        </w:rPr>
      </w:pPr>
      <w:r>
        <w:rPr>
          <w:sz w:val="16"/>
          <w:szCs w:val="16"/>
          <w:vertAlign w:val="superscript"/>
        </w:rPr>
        <w:footnoteRef/>
      </w:r>
      <w:r>
        <w:rPr>
          <w:b w:val="1"/>
          <w:bCs w:val="1"/>
          <w:sz w:val="16"/>
          <w:szCs w:val="16"/>
          <w:rtl w:val="0"/>
          <w:lang w:val="en-US"/>
        </w:rPr>
        <w:t xml:space="preserve"> </w:t>
      </w:r>
      <w:r>
        <w:rPr>
          <w:sz w:val="16"/>
          <w:szCs w:val="16"/>
          <w:rtl w:val="0"/>
          <w:lang w:val="en-US"/>
        </w:rPr>
        <w:t xml:space="preserve">Samir Amin, "After the New International Economic Order: The Future of International Economic Relations," </w:t>
      </w:r>
      <w:r>
        <w:rPr>
          <w:i w:val="1"/>
          <w:iCs w:val="1"/>
          <w:sz w:val="16"/>
          <w:szCs w:val="16"/>
          <w:rtl w:val="0"/>
          <w:lang w:val="en-US"/>
        </w:rPr>
        <w:t xml:space="preserve">Journal of Contemporary Asia </w:t>
      </w:r>
      <w:r>
        <w:rPr>
          <w:sz w:val="16"/>
          <w:szCs w:val="16"/>
          <w:rtl w:val="0"/>
        </w:rPr>
        <w:t xml:space="preserve">12, no. 4 (1982), </w:t>
      </w:r>
      <w:r>
        <w:rPr>
          <w:rStyle w:val="Hyperlink.0"/>
          <w:sz w:val="16"/>
          <w:szCs w:val="16"/>
        </w:rPr>
        <w:fldChar w:fldCharType="begin" w:fldLock="0"/>
      </w:r>
      <w:r>
        <w:rPr>
          <w:rStyle w:val="Hyperlink.0"/>
          <w:sz w:val="16"/>
          <w:szCs w:val="16"/>
        </w:rPr>
        <w:instrText xml:space="preserve"> HYPERLINK "https://doi.org/10.1080/00472338285390361:"</w:instrText>
      </w:r>
      <w:r>
        <w:rPr>
          <w:rStyle w:val="Hyperlink.0"/>
          <w:sz w:val="16"/>
          <w:szCs w:val="16"/>
        </w:rPr>
        <w:fldChar w:fldCharType="separate" w:fldLock="0"/>
      </w:r>
      <w:r>
        <w:rPr>
          <w:rStyle w:val="Hyperlink.0"/>
          <w:sz w:val="16"/>
          <w:szCs w:val="16"/>
          <w:rtl w:val="0"/>
          <w:lang w:val="en-US"/>
        </w:rPr>
        <w:t>https://doi.org/10.1080/0047233828539036</w:t>
      </w:r>
      <w:r>
        <w:rPr>
          <w:rStyle w:val="Hyperlink.0"/>
          <w:sz w:val="16"/>
          <w:szCs w:val="16"/>
          <w:rtl w:val="0"/>
          <w:lang w:val="en-US"/>
        </w:rPr>
        <w:t>1:</w:t>
      </w:r>
      <w:r>
        <w:rPr>
          <w:sz w:val="16"/>
          <w:szCs w:val="16"/>
        </w:rPr>
        <w:fldChar w:fldCharType="end" w:fldLock="0"/>
      </w:r>
    </w:p>
    <w:p>
      <w:pPr>
        <w:pStyle w:val="Footnote"/>
        <w:rPr>
          <w:sz w:val="16"/>
          <w:szCs w:val="16"/>
        </w:rPr>
      </w:pPr>
    </w:p>
    <w:p>
      <w:pPr>
        <w:pStyle w:val="Footnote"/>
      </w:pPr>
      <w:r>
        <w:rPr>
          <w:sz w:val="16"/>
          <w:szCs w:val="16"/>
          <w:rtl w:val="0"/>
          <w:lang w:val="en-US"/>
        </w:rPr>
        <w:t>'</w:t>
      </w:r>
      <w:r>
        <w:rPr>
          <w:sz w:val="16"/>
          <w:szCs w:val="16"/>
          <w:rtl w:val="0"/>
          <w:lang w:val="en-US"/>
        </w:rPr>
        <w:t>On the other hand contradictions emerge within the accepted framework of capitalist development between the strategies of the monopolies and the imperialist states on the one hand and those of the peripheral capitalist states and their bourgeoises on the other.</w:t>
      </w:r>
      <w:r>
        <w:rPr>
          <w:sz w:val="16"/>
          <w:szCs w:val="16"/>
          <w:rtl w:val="0"/>
          <w:lang w:val="en-US"/>
        </w:rPr>
        <w:t xml:space="preserve">' </w:t>
      </w:r>
      <w:r>
        <w:rPr>
          <w:sz w:val="16"/>
          <w:szCs w:val="16"/>
          <w:rtl w:val="0"/>
        </w:rPr>
        <w:t>p. 432</w:t>
      </w:r>
    </w:p>
  </w:footnote>
  <w:footnote w:id="92">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These questions were first asked immediately after observers noted the failure of the original NIEO. The most piercing such critique came from Samir Amin, who asked: </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What are the factors behind the clearly visible failure? Are those factors purely contingent (the economic crisis)? Are they traceable to the "tactical errors" of the Third World (to its divisions and weaknesses, for example)</w:t>
      </w:r>
      <w:r>
        <w:rPr>
          <w:sz w:val="16"/>
          <w:szCs w:val="16"/>
          <w:rtl w:val="0"/>
          <w:lang w:val="en-US"/>
        </w:rPr>
        <w:t xml:space="preserve">?' </w:t>
      </w:r>
    </w:p>
    <w:p>
      <w:pPr>
        <w:pStyle w:val="Footnote"/>
        <w:rPr>
          <w:sz w:val="16"/>
          <w:szCs w:val="16"/>
        </w:rPr>
      </w:pPr>
    </w:p>
    <w:p>
      <w:pPr>
        <w:pStyle w:val="Footnote"/>
      </w:pPr>
      <w:r>
        <w:rPr>
          <w:sz w:val="16"/>
          <w:szCs w:val="16"/>
          <w:rtl w:val="0"/>
          <w:lang w:val="en-US"/>
        </w:rPr>
        <w:t xml:space="preserve">Samir Amin, "After the New International Economic Order: The Future of International Economic Relations," </w:t>
      </w:r>
      <w:r>
        <w:rPr>
          <w:i w:val="1"/>
          <w:iCs w:val="1"/>
          <w:sz w:val="16"/>
          <w:szCs w:val="16"/>
          <w:rtl w:val="0"/>
          <w:lang w:val="en-US"/>
        </w:rPr>
        <w:t xml:space="preserve">Journal of Contemporary Asia </w:t>
      </w:r>
      <w:r>
        <w:rPr>
          <w:sz w:val="16"/>
          <w:szCs w:val="16"/>
          <w:rtl w:val="0"/>
        </w:rPr>
        <w:t>12, no. 4 (1982), https://doi.org/10.1080/0047233828539036</w:t>
      </w:r>
      <w:r>
        <w:rPr>
          <w:sz w:val="16"/>
          <w:szCs w:val="16"/>
          <w:rtl w:val="0"/>
          <w:lang w:val="en-US"/>
        </w:rPr>
        <w:t xml:space="preserve">1: </w:t>
      </w:r>
      <w:r>
        <w:rPr>
          <w:sz w:val="16"/>
          <w:szCs w:val="16"/>
          <w:rtl w:val="0"/>
        </w:rPr>
        <w:t>p. 432</w:t>
      </w:r>
      <w:r>
        <w:rPr>
          <w:sz w:val="16"/>
          <w:szCs w:val="16"/>
          <w:rtl w:val="0"/>
          <w:lang w:val="en-US"/>
        </w:rPr>
        <w:t>.</w:t>
      </w:r>
    </w:p>
  </w:footnote>
  <w:footnote w:id="93">
    <w:p>
      <w:pPr>
        <w:pStyle w:val="Footnote"/>
      </w:pPr>
      <w:r>
        <w:rPr>
          <w:sz w:val="16"/>
          <w:szCs w:val="16"/>
          <w:vertAlign w:val="superscript"/>
        </w:rPr>
        <w:footnoteRef/>
      </w:r>
      <w:r>
        <w:rPr>
          <w:sz w:val="16"/>
          <w:szCs w:val="16"/>
          <w:rtl w:val="0"/>
        </w:rPr>
        <w:t xml:space="preserve"> </w:t>
      </w:r>
      <w:r>
        <w:rPr>
          <w:sz w:val="16"/>
          <w:szCs w:val="16"/>
          <w:rtl w:val="0"/>
          <w:lang w:val="en-US"/>
        </w:rPr>
        <w:t>While this may seem obvious, it is apparently not so. Otherwise, how can one explain the plethora of scholars who have so easily dismissed the project?</w:t>
      </w:r>
    </w:p>
  </w:footnote>
  <w:footnote w:id="94">
    <w:p>
      <w:pPr>
        <w:pStyle w:val="Footnote"/>
      </w:pPr>
      <w:r>
        <w:rPr>
          <w:sz w:val="16"/>
          <w:szCs w:val="16"/>
          <w:vertAlign w:val="superscript"/>
        </w:rPr>
        <w:footnoteRef/>
      </w:r>
      <w:r>
        <w:rPr>
          <w:sz w:val="16"/>
          <w:szCs w:val="16"/>
          <w:rtl w:val="0"/>
          <w:lang w:val="de-DE"/>
        </w:rPr>
        <w:t xml:space="preserve"> John M. Hobson, </w:t>
      </w:r>
      <w:r>
        <w:rPr>
          <w:i w:val="1"/>
          <w:iCs w:val="1"/>
          <w:sz w:val="16"/>
          <w:szCs w:val="16"/>
          <w:rtl w:val="0"/>
          <w:lang w:val="en-US"/>
        </w:rPr>
        <w:t xml:space="preserve">The Eurocentric Conception of World Politics: Western </w:t>
      </w:r>
      <w:r>
        <w:rPr>
          <w:i w:val="1"/>
          <w:iCs w:val="1"/>
          <w:sz w:val="16"/>
          <w:szCs w:val="16"/>
          <w:rtl w:val="0"/>
          <w:lang w:val="en-US"/>
        </w:rPr>
        <w:t>I</w:t>
      </w:r>
      <w:r>
        <w:rPr>
          <w:i w:val="1"/>
          <w:iCs w:val="1"/>
          <w:sz w:val="16"/>
          <w:szCs w:val="16"/>
          <w:rtl w:val="0"/>
          <w:lang w:val="fr-FR"/>
        </w:rPr>
        <w:t xml:space="preserve">nternational </w:t>
      </w:r>
      <w:r>
        <w:rPr>
          <w:i w:val="1"/>
          <w:iCs w:val="1"/>
          <w:sz w:val="16"/>
          <w:szCs w:val="16"/>
          <w:rtl w:val="0"/>
          <w:lang w:val="en-US"/>
        </w:rPr>
        <w:t>T</w:t>
      </w:r>
      <w:r>
        <w:rPr>
          <w:i w:val="1"/>
          <w:iCs w:val="1"/>
          <w:sz w:val="16"/>
          <w:szCs w:val="16"/>
          <w:rtl w:val="0"/>
          <w:lang w:val="en-US"/>
        </w:rPr>
        <w:t>heory, 1760-2010</w:t>
      </w:r>
      <w:r>
        <w:rPr>
          <w:sz w:val="16"/>
          <w:szCs w:val="16"/>
          <w:rtl w:val="0"/>
          <w:lang w:val="en-US"/>
        </w:rPr>
        <w:t xml:space="preserve"> (Cambridge: Cambridge University Press, 2012)</w:t>
      </w:r>
      <w:r>
        <w:rPr>
          <w:sz w:val="16"/>
          <w:szCs w:val="16"/>
          <w:rtl w:val="0"/>
          <w:lang w:val="en-US"/>
        </w:rPr>
        <w:t>, p. 3.</w:t>
      </w:r>
    </w:p>
  </w:footnote>
  <w:footnote w:id="95">
    <w:p>
      <w:pPr>
        <w:pStyle w:val="Footnote"/>
      </w:pPr>
      <w:r>
        <w:rPr>
          <w:sz w:val="16"/>
          <w:szCs w:val="16"/>
          <w:vertAlign w:val="superscript"/>
        </w:rPr>
        <w:footnoteRef/>
      </w:r>
      <w:r>
        <w:rPr>
          <w:sz w:val="16"/>
          <w:szCs w:val="16"/>
          <w:rtl w:val="0"/>
          <w:lang w:val="en-US"/>
        </w:rPr>
        <w:t xml:space="preserve"> Ibid., p. 1.</w:t>
      </w:r>
    </w:p>
  </w:footnote>
  <w:footnote w:id="96">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Ibid. p. 82, and:</w:t>
      </w:r>
    </w:p>
    <w:p>
      <w:pPr>
        <w:pStyle w:val="Footnote"/>
      </w:pPr>
      <w:r>
        <w:rPr>
          <w:sz w:val="16"/>
          <w:szCs w:val="16"/>
          <w:rtl w:val="0"/>
          <w:lang w:val="en-US"/>
        </w:rPr>
        <w:t xml:space="preserve">Concerning the lowest common denominator, all of these variants analytically separate out East from West, purging the latter of all </w:t>
      </w:r>
      <w:r>
        <w:rPr>
          <w:sz w:val="16"/>
          <w:szCs w:val="16"/>
          <w:rtl w:val="1"/>
        </w:rPr>
        <w:t>‘</w:t>
      </w:r>
      <w:r>
        <w:rPr>
          <w:sz w:val="16"/>
          <w:szCs w:val="16"/>
          <w:rtl w:val="0"/>
          <w:lang w:val="it-IT"/>
        </w:rPr>
        <w:t>negative</w:t>
      </w:r>
      <w:r>
        <w:rPr>
          <w:sz w:val="16"/>
          <w:szCs w:val="16"/>
          <w:rtl w:val="1"/>
        </w:rPr>
        <w:t xml:space="preserve">’ </w:t>
      </w:r>
      <w:r>
        <w:rPr>
          <w:sz w:val="16"/>
          <w:szCs w:val="16"/>
          <w:rtl w:val="0"/>
          <w:lang w:val="en-US"/>
        </w:rPr>
        <w:t xml:space="preserve">features and transposing them onto the former.5 In this way, the West is imbued with purely virtuous and/or progressive properties that in turn lead it to pioneer all that is progressive in world politics. Conversely, the East is always deemed to be less progressive than the pioneering West. At times the East was deemed, at worst, to be the repository of barbarous or savage regressivism that posed a threat to civilization and world order or, at best, was destined to be exterminated either by the actions of the superior civilized white race or by the </w:t>
      </w:r>
      <w:r>
        <w:rPr>
          <w:sz w:val="16"/>
          <w:szCs w:val="16"/>
          <w:rtl w:val="1"/>
        </w:rPr>
        <w:t>‘</w:t>
      </w:r>
      <w:r>
        <w:rPr>
          <w:sz w:val="16"/>
          <w:szCs w:val="16"/>
          <w:rtl w:val="0"/>
          <w:lang w:val="en-US"/>
        </w:rPr>
        <w:t>merciful</w:t>
      </w:r>
      <w:r>
        <w:rPr>
          <w:sz w:val="16"/>
          <w:szCs w:val="16"/>
          <w:rtl w:val="1"/>
        </w:rPr>
        <w:t xml:space="preserve">’ </w:t>
      </w:r>
      <w:r>
        <w:rPr>
          <w:sz w:val="16"/>
          <w:szCs w:val="16"/>
          <w:rtl w:val="0"/>
          <w:lang w:val="en-US"/>
        </w:rPr>
        <w:t xml:space="preserve">hands of Nature. And in all cases, these variants invoke an ahistorical conception of world politics and of economic/political development, summarized by the trope of </w:t>
      </w:r>
      <w:r>
        <w:rPr>
          <w:sz w:val="16"/>
          <w:szCs w:val="16"/>
          <w:rtl w:val="1"/>
        </w:rPr>
        <w:t>‘</w:t>
      </w:r>
      <w:r>
        <w:rPr>
          <w:sz w:val="16"/>
          <w:szCs w:val="16"/>
          <w:rtl w:val="0"/>
          <w:lang w:val="en-US"/>
        </w:rPr>
        <w:t>first the West and then elsewhere</w:t>
      </w:r>
      <w:r>
        <w:rPr>
          <w:sz w:val="16"/>
          <w:szCs w:val="16"/>
          <w:rtl w:val="1"/>
        </w:rPr>
        <w:t xml:space="preserve">’ </w:t>
      </w:r>
      <w:r>
        <w:rPr>
          <w:sz w:val="16"/>
          <w:szCs w:val="16"/>
          <w:rtl w:val="0"/>
        </w:rPr>
        <w:t>(Chakrabarty 2000: esp. 4</w:t>
      </w:r>
      <w:r>
        <w:rPr>
          <w:sz w:val="16"/>
          <w:szCs w:val="16"/>
          <w:rtl w:val="0"/>
        </w:rPr>
        <w:t>–</w:t>
      </w:r>
      <w:r>
        <w:rPr>
          <w:sz w:val="16"/>
          <w:szCs w:val="16"/>
          <w:rtl w:val="0"/>
          <w:lang w:val="en-US"/>
        </w:rPr>
        <w:t xml:space="preserve">11); or, if I may be permitted some interpretative licence here, </w:t>
      </w:r>
      <w:r>
        <w:rPr>
          <w:sz w:val="16"/>
          <w:szCs w:val="16"/>
          <w:rtl w:val="1"/>
        </w:rPr>
        <w:t>‘</w:t>
      </w:r>
      <w:r>
        <w:rPr>
          <w:sz w:val="16"/>
          <w:szCs w:val="16"/>
          <w:rtl w:val="0"/>
          <w:lang w:val="en-US"/>
        </w:rPr>
        <w:t>first the West, then the Rest</w:t>
      </w:r>
      <w:r>
        <w:rPr>
          <w:sz w:val="16"/>
          <w:szCs w:val="16"/>
          <w:rtl w:val="1"/>
        </w:rPr>
        <w:t>’</w:t>
      </w:r>
      <w:r>
        <w:rPr>
          <w:sz w:val="16"/>
          <w:szCs w:val="16"/>
          <w:rtl w:val="0"/>
          <w:lang w:val="en-US"/>
        </w:rPr>
        <w:t xml:space="preserve">. The one caveat of note here, though, is the point that a good number of scientific racists believed that the black and red savages would never develop even under the </w:t>
      </w:r>
      <w:r>
        <w:rPr>
          <w:sz w:val="16"/>
          <w:szCs w:val="16"/>
          <w:rtl w:val="1"/>
        </w:rPr>
        <w:t>‘</w:t>
      </w:r>
      <w:r>
        <w:rPr>
          <w:sz w:val="16"/>
          <w:szCs w:val="16"/>
          <w:rtl w:val="0"/>
          <w:lang w:val="fr-FR"/>
        </w:rPr>
        <w:t>exceptional tutelage</w:t>
      </w:r>
      <w:r>
        <w:rPr>
          <w:sz w:val="16"/>
          <w:szCs w:val="16"/>
          <w:rtl w:val="1"/>
        </w:rPr>
        <w:t xml:space="preserve">’ </w:t>
      </w:r>
      <w:r>
        <w:rPr>
          <w:sz w:val="16"/>
          <w:szCs w:val="16"/>
          <w:rtl w:val="0"/>
          <w:lang w:val="en-US"/>
        </w:rPr>
        <w:t xml:space="preserve">of the Western Empire. For such thinkers the trope of </w:t>
      </w:r>
      <w:r>
        <w:rPr>
          <w:sz w:val="16"/>
          <w:szCs w:val="16"/>
          <w:rtl w:val="1"/>
        </w:rPr>
        <w:t>‘</w:t>
      </w:r>
      <w:r>
        <w:rPr>
          <w:sz w:val="16"/>
          <w:szCs w:val="16"/>
          <w:rtl w:val="0"/>
          <w:lang w:val="en-US"/>
        </w:rPr>
        <w:t>first the West, then the Rest</w:t>
      </w:r>
      <w:r>
        <w:rPr>
          <w:sz w:val="16"/>
          <w:szCs w:val="16"/>
          <w:rtl w:val="1"/>
        </w:rPr>
        <w:t xml:space="preserve">’ </w:t>
      </w:r>
      <w:r>
        <w:rPr>
          <w:sz w:val="16"/>
          <w:szCs w:val="16"/>
          <w:rtl w:val="0"/>
          <w:lang w:val="en-US"/>
        </w:rPr>
        <w:t xml:space="preserve">becomes transformed into </w:t>
      </w:r>
      <w:r>
        <w:rPr>
          <w:sz w:val="16"/>
          <w:szCs w:val="16"/>
          <w:rtl w:val="1"/>
        </w:rPr>
        <w:t>‘</w:t>
      </w:r>
      <w:r>
        <w:rPr>
          <w:sz w:val="16"/>
          <w:szCs w:val="16"/>
          <w:rtl w:val="0"/>
          <w:lang w:val="en-US"/>
        </w:rPr>
        <w:t>only once, and only in the West</w:t>
      </w:r>
      <w:r>
        <w:rPr>
          <w:sz w:val="16"/>
          <w:szCs w:val="16"/>
          <w:rtl w:val="1"/>
        </w:rPr>
        <w:t>’</w:t>
      </w:r>
      <w:r>
        <w:rPr>
          <w:sz w:val="16"/>
          <w:szCs w:val="16"/>
          <w:rtl w:val="0"/>
          <w:lang w:val="ru-RU"/>
        </w:rPr>
        <w:t>.' pp. 9-10.</w:t>
      </w:r>
    </w:p>
  </w:footnote>
  <w:footnote w:id="97">
    <w:p>
      <w:pPr>
        <w:pStyle w:val="Footnote"/>
      </w:pPr>
      <w:r>
        <w:rPr>
          <w:sz w:val="16"/>
          <w:szCs w:val="16"/>
          <w:vertAlign w:val="superscript"/>
        </w:rPr>
        <w:footnoteRef/>
      </w:r>
      <w:r>
        <w:rPr>
          <w:sz w:val="16"/>
          <w:szCs w:val="16"/>
          <w:rtl w:val="0"/>
        </w:rPr>
        <w:t xml:space="preserve"> </w:t>
      </w:r>
      <w:r>
        <w:rPr>
          <w:sz w:val="16"/>
          <w:szCs w:val="16"/>
          <w:rtl w:val="0"/>
          <w:lang w:val="en-US"/>
        </w:rPr>
        <w:t xml:space="preserve">Where IR Theorists discussed the decolonisation, they did so while ignoring the agency of those who created these global social forces. See: Hobson, </w:t>
      </w:r>
      <w:r>
        <w:rPr>
          <w:i w:val="1"/>
          <w:iCs w:val="1"/>
          <w:sz w:val="16"/>
          <w:szCs w:val="16"/>
          <w:rtl w:val="0"/>
          <w:lang w:val="en-US"/>
        </w:rPr>
        <w:t>Eurocentric Conception of World Politics</w:t>
      </w:r>
      <w:r>
        <w:rPr>
          <w:sz w:val="16"/>
          <w:szCs w:val="16"/>
          <w:rtl w:val="0"/>
          <w:lang w:val="en-US"/>
        </w:rPr>
        <w:t>, pp. 189-192, 228, 241.</w:t>
      </w:r>
    </w:p>
  </w:footnote>
  <w:footnote w:id="98">
    <w:p>
      <w:pPr>
        <w:pStyle w:val="Footnote"/>
      </w:pPr>
      <w:r>
        <w:rPr>
          <w:sz w:val="16"/>
          <w:szCs w:val="16"/>
          <w:vertAlign w:val="superscript"/>
        </w:rPr>
        <w:footnoteRef/>
      </w:r>
      <w:r>
        <w:rPr>
          <w:sz w:val="16"/>
          <w:szCs w:val="16"/>
          <w:rtl w:val="0"/>
        </w:rPr>
        <w:t xml:space="preserve"> </w:t>
      </w:r>
      <w:r>
        <w:rPr>
          <w:sz w:val="16"/>
          <w:szCs w:val="16"/>
          <w:rtl w:val="0"/>
          <w:lang w:val="en-US"/>
        </w:rPr>
        <w:t xml:space="preserve">Harry G. Johson, in </w:t>
      </w:r>
      <w:r>
        <w:rPr>
          <w:i w:val="1"/>
          <w:iCs w:val="1"/>
          <w:sz w:val="16"/>
          <w:szCs w:val="16"/>
          <w:rtl w:val="0"/>
          <w:lang w:val="en-US"/>
        </w:rPr>
        <w:t xml:space="preserve">The New international </w:t>
      </w:r>
      <w:r>
        <w:rPr>
          <w:i w:val="1"/>
          <w:iCs w:val="1"/>
          <w:sz w:val="16"/>
          <w:szCs w:val="16"/>
          <w:rtl w:val="0"/>
          <w:lang w:val="en-US"/>
        </w:rPr>
        <w:t>E</w:t>
      </w:r>
      <w:r>
        <w:rPr>
          <w:i w:val="1"/>
          <w:iCs w:val="1"/>
          <w:sz w:val="16"/>
          <w:szCs w:val="16"/>
          <w:rtl w:val="0"/>
        </w:rPr>
        <w:t xml:space="preserve">conomic </w:t>
      </w:r>
      <w:r>
        <w:rPr>
          <w:i w:val="1"/>
          <w:iCs w:val="1"/>
          <w:sz w:val="16"/>
          <w:szCs w:val="16"/>
          <w:rtl w:val="0"/>
          <w:lang w:val="en-US"/>
        </w:rPr>
        <w:t>O</w:t>
      </w:r>
      <w:r>
        <w:rPr>
          <w:i w:val="1"/>
          <w:iCs w:val="1"/>
          <w:sz w:val="16"/>
          <w:szCs w:val="16"/>
          <w:rtl w:val="0"/>
          <w:lang w:val="de-DE"/>
        </w:rPr>
        <w:t xml:space="preserve">rder: </w:t>
      </w:r>
      <w:r>
        <w:rPr>
          <w:i w:val="1"/>
          <w:iCs w:val="1"/>
          <w:sz w:val="16"/>
          <w:szCs w:val="16"/>
          <w:rtl w:val="0"/>
          <w:lang w:val="en-US"/>
        </w:rPr>
        <w:t>T</w:t>
      </w:r>
      <w:r>
        <w:rPr>
          <w:i w:val="1"/>
          <w:iCs w:val="1"/>
          <w:sz w:val="16"/>
          <w:szCs w:val="16"/>
          <w:rtl w:val="0"/>
          <w:lang w:val="en-US"/>
        </w:rPr>
        <w:t xml:space="preserve">he North-South </w:t>
      </w:r>
      <w:r>
        <w:rPr>
          <w:i w:val="1"/>
          <w:iCs w:val="1"/>
          <w:sz w:val="16"/>
          <w:szCs w:val="16"/>
          <w:rtl w:val="0"/>
          <w:lang w:val="en-US"/>
        </w:rPr>
        <w:t>D</w:t>
      </w:r>
      <w:r>
        <w:rPr>
          <w:i w:val="1"/>
          <w:iCs w:val="1"/>
          <w:sz w:val="16"/>
          <w:szCs w:val="16"/>
          <w:rtl w:val="0"/>
          <w:lang w:val="pt-PT"/>
        </w:rPr>
        <w:t>ebate</w:t>
      </w:r>
      <w:r>
        <w:rPr>
          <w:i w:val="1"/>
          <w:iCs w:val="1"/>
          <w:sz w:val="16"/>
          <w:szCs w:val="16"/>
          <w:rtl w:val="0"/>
          <w:lang w:val="en-US"/>
        </w:rPr>
        <w:t xml:space="preserve">, </w:t>
      </w:r>
      <w:r>
        <w:rPr>
          <w:sz w:val="16"/>
          <w:szCs w:val="16"/>
          <w:rtl w:val="0"/>
          <w:lang w:val="en-US"/>
        </w:rPr>
        <w:t xml:space="preserve">ed. </w:t>
      </w:r>
      <w:r>
        <w:rPr>
          <w:sz w:val="16"/>
          <w:szCs w:val="16"/>
          <w:rtl w:val="0"/>
          <w:lang w:val="nl-NL"/>
        </w:rPr>
        <w:t>Jagdish N.</w:t>
      </w:r>
      <w:r>
        <w:rPr>
          <w:sz w:val="16"/>
          <w:szCs w:val="16"/>
          <w:rtl w:val="0"/>
          <w:lang w:val="en-US"/>
        </w:rPr>
        <w:t xml:space="preserve"> </w:t>
      </w:r>
      <w:r>
        <w:rPr>
          <w:sz w:val="16"/>
          <w:szCs w:val="16"/>
          <w:rtl w:val="0"/>
          <w:lang w:val="it-IT"/>
        </w:rPr>
        <w:t>Bhagwati (</w:t>
      </w:r>
      <w:r>
        <w:rPr>
          <w:sz w:val="16"/>
          <w:szCs w:val="16"/>
          <w:rtl w:val="0"/>
          <w:lang w:val="en-US"/>
        </w:rPr>
        <w:t xml:space="preserve">MIT Press, </w:t>
      </w:r>
      <w:r>
        <w:rPr>
          <w:sz w:val="16"/>
          <w:szCs w:val="16"/>
          <w:rtl w:val="0"/>
        </w:rPr>
        <w:t>1977)</w:t>
      </w:r>
      <w:r>
        <w:rPr>
          <w:sz w:val="16"/>
          <w:szCs w:val="16"/>
          <w:rtl w:val="0"/>
          <w:lang w:val="en-US"/>
        </w:rPr>
        <w:t>, pp. 244-245.</w:t>
      </w:r>
    </w:p>
  </w:footnote>
  <w:footnote w:id="99">
    <w:p>
      <w:pPr>
        <w:pStyle w:val="Footnote"/>
      </w:pPr>
      <w:r>
        <w:rPr>
          <w:sz w:val="16"/>
          <w:szCs w:val="16"/>
          <w:vertAlign w:val="superscript"/>
        </w:rPr>
        <w:footnoteRef/>
      </w:r>
      <w:r>
        <w:rPr>
          <w:sz w:val="16"/>
          <w:szCs w:val="16"/>
          <w:rtl w:val="0"/>
        </w:rPr>
        <w:t xml:space="preserve"> </w:t>
      </w:r>
      <w:r>
        <w:rPr>
          <w:sz w:val="16"/>
          <w:szCs w:val="16"/>
          <w:rtl w:val="0"/>
          <w:lang w:val="en-US"/>
        </w:rPr>
        <w:t xml:space="preserve">Harry G. Jonson, </w:t>
      </w:r>
      <w:r>
        <w:rPr>
          <w:i w:val="1"/>
          <w:iCs w:val="1"/>
          <w:sz w:val="16"/>
          <w:szCs w:val="16"/>
          <w:rtl w:val="0"/>
          <w:lang w:val="en-US"/>
        </w:rPr>
        <w:t>The New International Economic Order</w:t>
      </w:r>
      <w:r>
        <w:rPr>
          <w:sz w:val="16"/>
          <w:szCs w:val="16"/>
          <w:rtl w:val="0"/>
          <w:lang w:val="en-US"/>
        </w:rPr>
        <w:t>, Selected Papers no. 49, p. 7. [</w:t>
      </w:r>
      <w:r>
        <w:rPr>
          <w:rStyle w:val="Hyperlink.0"/>
          <w:sz w:val="16"/>
          <w:szCs w:val="16"/>
        </w:rPr>
        <w:fldChar w:fldCharType="begin" w:fldLock="0"/>
      </w:r>
      <w:r>
        <w:rPr>
          <w:rStyle w:val="Hyperlink.0"/>
          <w:sz w:val="16"/>
          <w:szCs w:val="16"/>
        </w:rPr>
        <w:instrText xml:space="preserve"> HYPERLINK "https://www.chicagobooth.edu/~/media/0ABF9E91CCDB42C4BBA92737DCE91EEA.pd%5D"</w:instrText>
      </w:r>
      <w:r>
        <w:rPr>
          <w:rStyle w:val="Hyperlink.0"/>
          <w:sz w:val="16"/>
          <w:szCs w:val="16"/>
        </w:rPr>
        <w:fldChar w:fldCharType="separate" w:fldLock="0"/>
      </w:r>
      <w:r>
        <w:rPr>
          <w:rStyle w:val="Hyperlink.0"/>
          <w:sz w:val="16"/>
          <w:szCs w:val="16"/>
          <w:rtl w:val="0"/>
          <w:lang w:val="en-US"/>
        </w:rPr>
        <w:t>https://www.chicagobooth.edu/~/media/0ABF9E91CCDB42C4BBA92737DCE91EEA.pd</w:t>
      </w:r>
      <w:r>
        <w:rPr>
          <w:rStyle w:val="Hyperlink.0"/>
          <w:sz w:val="16"/>
          <w:szCs w:val="16"/>
          <w:rtl w:val="0"/>
          <w:lang w:val="en-US"/>
        </w:rPr>
        <w:t>]</w:t>
      </w:r>
      <w:r>
        <w:rPr>
          <w:sz w:val="16"/>
          <w:szCs w:val="16"/>
        </w:rPr>
        <w:fldChar w:fldCharType="end" w:fldLock="0"/>
      </w:r>
      <w:r>
        <w:rPr>
          <w:sz w:val="16"/>
          <w:szCs w:val="16"/>
          <w:rtl w:val="0"/>
          <w:lang w:val="en-US"/>
        </w:rPr>
        <w:t>.</w:t>
      </w:r>
    </w:p>
  </w:footnote>
  <w:footnote w:id="100">
    <w:p>
      <w:pPr>
        <w:pStyle w:val="Footnote"/>
      </w:pPr>
      <w:r>
        <w:rPr>
          <w:sz w:val="16"/>
          <w:szCs w:val="16"/>
          <w:vertAlign w:val="superscript"/>
        </w:rPr>
        <w:footnoteRef/>
      </w:r>
      <w:r>
        <w:rPr>
          <w:sz w:val="16"/>
          <w:szCs w:val="16"/>
          <w:rtl w:val="0"/>
        </w:rPr>
        <w:t xml:space="preserve"> </w:t>
      </w:r>
      <w:r>
        <w:rPr>
          <w:sz w:val="16"/>
          <w:szCs w:val="16"/>
          <w:rtl w:val="0"/>
          <w:lang w:val="en-US"/>
        </w:rPr>
        <w:t xml:space="preserve">Harry G. Jonson, </w:t>
      </w:r>
      <w:r>
        <w:rPr>
          <w:i w:val="1"/>
          <w:iCs w:val="1"/>
          <w:sz w:val="16"/>
          <w:szCs w:val="16"/>
          <w:rtl w:val="0"/>
          <w:lang w:val="en-US"/>
        </w:rPr>
        <w:t>The New International Economic Order</w:t>
      </w:r>
      <w:r>
        <w:rPr>
          <w:sz w:val="16"/>
          <w:szCs w:val="16"/>
          <w:rtl w:val="0"/>
          <w:lang w:val="en-US"/>
        </w:rPr>
        <w:t>, Selected Papers no. 49, p. 13.</w:t>
      </w:r>
    </w:p>
  </w:footnote>
  <w:footnote w:id="101">
    <w:p>
      <w:pPr>
        <w:pStyle w:val="Footnote"/>
      </w:pPr>
      <w:r>
        <w:rPr>
          <w:sz w:val="16"/>
          <w:szCs w:val="16"/>
          <w:vertAlign w:val="superscript"/>
        </w:rPr>
        <w:footnoteRef/>
      </w:r>
      <w:r>
        <w:rPr>
          <w:sz w:val="16"/>
          <w:szCs w:val="16"/>
          <w:rtl w:val="0"/>
          <w:lang w:val="en-US"/>
        </w:rPr>
        <w:t xml:space="preserve"> C. Fred Bergsten, "The Response to the Third World," Foreign Policy 17 (Winter, 1974-1975), pp. 3-34, https://doi.org/10.2307/1148108.</w:t>
      </w:r>
    </w:p>
  </w:footnote>
  <w:footnote w:id="102">
    <w:p>
      <w:pPr>
        <w:pStyle w:val="Footnote"/>
      </w:pPr>
      <w:r>
        <w:rPr>
          <w:sz w:val="16"/>
          <w:szCs w:val="16"/>
          <w:vertAlign w:val="superscript"/>
        </w:rPr>
        <w:footnoteRef/>
      </w:r>
      <w:r>
        <w:rPr>
          <w:sz w:val="16"/>
          <w:szCs w:val="16"/>
          <w:rtl w:val="0"/>
        </w:rPr>
        <w:t xml:space="preserve"> </w:t>
      </w:r>
      <w:r>
        <w:rPr>
          <w:sz w:val="16"/>
          <w:szCs w:val="16"/>
          <w:rtl w:val="0"/>
          <w:lang w:val="en-US"/>
        </w:rPr>
        <w:t xml:space="preserve">C. Fred Bergsten, "The Threat from the Third World," </w:t>
      </w:r>
      <w:r>
        <w:rPr>
          <w:i w:val="1"/>
          <w:iCs w:val="1"/>
          <w:sz w:val="16"/>
          <w:szCs w:val="16"/>
          <w:rtl w:val="0"/>
          <w:lang w:val="en-US"/>
        </w:rPr>
        <w:t xml:space="preserve">Foreign Policy </w:t>
      </w:r>
      <w:r>
        <w:rPr>
          <w:sz w:val="16"/>
          <w:szCs w:val="16"/>
          <w:rtl w:val="0"/>
          <w:lang w:val="en-US"/>
        </w:rPr>
        <w:t>11 (Summer, 1973), p. 106, 116; Bergsten, "Response to the Third World," pp. 32-33.</w:t>
      </w:r>
    </w:p>
  </w:footnote>
  <w:footnote w:id="103">
    <w:p>
      <w:pPr>
        <w:pStyle w:val="Footnote"/>
      </w:pPr>
      <w:r>
        <w:rPr>
          <w:sz w:val="16"/>
          <w:szCs w:val="16"/>
          <w:vertAlign w:val="superscript"/>
        </w:rPr>
        <w:footnoteRef/>
      </w:r>
      <w:r>
        <w:rPr>
          <w:sz w:val="16"/>
          <w:szCs w:val="16"/>
          <w:rtl w:val="0"/>
        </w:rPr>
        <w:t xml:space="preserve"> </w:t>
      </w:r>
      <w:r>
        <w:rPr>
          <w:sz w:val="16"/>
          <w:szCs w:val="16"/>
          <w:rtl w:val="0"/>
          <w:lang w:val="en-US"/>
        </w:rPr>
        <w:t xml:space="preserve">Stephen Krasner, "Oil Is The Exception," </w:t>
      </w:r>
      <w:r>
        <w:rPr>
          <w:i w:val="1"/>
          <w:iCs w:val="1"/>
          <w:sz w:val="16"/>
          <w:szCs w:val="16"/>
          <w:rtl w:val="0"/>
          <w:lang w:val="en-US"/>
        </w:rPr>
        <w:t xml:space="preserve">Foreign Policy </w:t>
      </w:r>
      <w:r>
        <w:rPr>
          <w:sz w:val="16"/>
          <w:szCs w:val="16"/>
          <w:rtl w:val="0"/>
          <w:lang w:val="en-US"/>
        </w:rPr>
        <w:t xml:space="preserve">14 (Spring, 1974), pp. 68-84, </w:t>
      </w:r>
      <w:r>
        <w:rPr>
          <w:sz w:val="16"/>
          <w:szCs w:val="16"/>
          <w:rtl w:val="0"/>
          <w:lang w:val="en-US"/>
        </w:rPr>
        <w:t>https://doi.org/10.2307/1147947</w:t>
      </w:r>
      <w:r>
        <w:rPr>
          <w:sz w:val="16"/>
          <w:szCs w:val="16"/>
          <w:rtl w:val="0"/>
          <w:lang w:val="en-US"/>
        </w:rPr>
        <w:t>.</w:t>
      </w:r>
    </w:p>
  </w:footnote>
  <w:footnote w:id="104">
    <w:p>
      <w:pPr>
        <w:pStyle w:val="Footnote"/>
        <w:rPr>
          <w:sz w:val="16"/>
          <w:szCs w:val="16"/>
        </w:rPr>
      </w:pPr>
      <w:r>
        <w:rPr>
          <w:sz w:val="16"/>
          <w:szCs w:val="16"/>
          <w:vertAlign w:val="superscript"/>
        </w:rPr>
        <w:footnoteRef/>
      </w:r>
      <w:r>
        <w:rPr>
          <w:sz w:val="16"/>
          <w:szCs w:val="16"/>
          <w:rtl w:val="0"/>
          <w:lang w:val="en-US"/>
        </w:rPr>
        <w:t>'</w:t>
      </w:r>
      <w:r>
        <w:rPr>
          <w:sz w:val="16"/>
          <w:szCs w:val="16"/>
          <w:rtl w:val="0"/>
          <w:lang w:val="en-US"/>
        </w:rPr>
        <w:t>To say simply that Orientalism was a rationalization of colonial rule is to ignore the extent to which colonial rule was justified in advance by Orientalism, rather than after the fact.</w:t>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 xml:space="preserve">Yet Orientalism reinforced, and was reinforced by, the certain knowledge that Europe or the West literally commanded the vastly greater part of the earth's surface. The period of immense advance in the institutions and content of Orientalism coincides exactly with the period of unparalleled European expansion; from 1815 to 1914 European direct colonial dominion expanded from </w:t>
      </w:r>
    </w:p>
    <w:p>
      <w:pPr>
        <w:pStyle w:val="Footnote"/>
        <w:rPr>
          <w:sz w:val="16"/>
          <w:szCs w:val="16"/>
        </w:rPr>
      </w:pPr>
      <w:r>
        <w:rPr>
          <w:sz w:val="16"/>
          <w:szCs w:val="16"/>
          <w:rtl w:val="0"/>
          <w:lang w:val="en-US"/>
        </w:rPr>
        <w:t>about 35 percent of the earth's surface to about 85 percent of it.</w:t>
      </w:r>
      <w:r>
        <w:rPr>
          <w:sz w:val="16"/>
          <w:szCs w:val="16"/>
          <w:rtl w:val="0"/>
          <w:lang w:val="en-US"/>
        </w:rPr>
        <w:t>' p. 41.</w:t>
      </w:r>
    </w:p>
    <w:p>
      <w:pPr>
        <w:pStyle w:val="Footnote"/>
        <w:rPr>
          <w:sz w:val="16"/>
          <w:szCs w:val="16"/>
        </w:rPr>
      </w:pPr>
    </w:p>
    <w:p>
      <w:pPr>
        <w:pStyle w:val="Footnote"/>
      </w:pPr>
      <w:r>
        <w:rPr>
          <w:sz w:val="16"/>
          <w:szCs w:val="16"/>
          <w:rtl w:val="0"/>
          <w:lang w:val="en-US"/>
        </w:rPr>
        <w:t xml:space="preserve">Edward Said, </w:t>
      </w:r>
      <w:r>
        <w:rPr>
          <w:i w:val="1"/>
          <w:iCs w:val="1"/>
          <w:sz w:val="16"/>
          <w:szCs w:val="16"/>
          <w:rtl w:val="0"/>
          <w:lang w:val="en-US"/>
        </w:rPr>
        <w:t>Orientalism</w:t>
      </w:r>
      <w:r>
        <w:rPr>
          <w:sz w:val="16"/>
          <w:szCs w:val="16"/>
          <w:rtl w:val="0"/>
          <w:lang w:val="en-US"/>
        </w:rPr>
        <w:t xml:space="preserve"> (Penguin Books, 1978), p. 39.</w:t>
      </w:r>
    </w:p>
  </w:footnote>
  <w:footnote w:id="105">
    <w:p>
      <w:pPr>
        <w:pStyle w:val="Footnote"/>
      </w:pPr>
      <w:r>
        <w:rPr>
          <w:sz w:val="16"/>
          <w:szCs w:val="16"/>
          <w:vertAlign w:val="superscript"/>
        </w:rPr>
        <w:footnoteRef/>
      </w:r>
      <w:r>
        <w:rPr>
          <w:sz w:val="16"/>
          <w:szCs w:val="16"/>
          <w:rtl w:val="0"/>
          <w:lang w:val="en-US"/>
        </w:rPr>
        <w:t xml:space="preserve"> Mr Beall, Congressional Record, Senate, August 1, 1975, p. 26782-26784</w:t>
      </w:r>
      <w:r>
        <w:rPr>
          <w:sz w:val="16"/>
          <w:szCs w:val="16"/>
          <w:rtl w:val="0"/>
          <w:lang w:val="en-US"/>
        </w:rPr>
        <w:t xml:space="preserve">, </w:t>
      </w:r>
      <w:r>
        <w:rPr>
          <w:sz w:val="16"/>
          <w:szCs w:val="16"/>
          <w:rtl w:val="0"/>
          <w:lang w:val="en-US"/>
        </w:rPr>
        <w:t>https://www.congress.gov/bound-congressional-record/1975/08/01/senate-section</w:t>
      </w:r>
      <w:r>
        <w:rPr>
          <w:sz w:val="16"/>
          <w:szCs w:val="16"/>
          <w:rtl w:val="0"/>
          <w:lang w:val="en-US"/>
        </w:rPr>
        <w:t xml:space="preserve">. </w:t>
      </w:r>
    </w:p>
  </w:footnote>
  <w:footnote w:id="106">
    <w:p>
      <w:pPr>
        <w:pStyle w:val="Footnote"/>
      </w:pPr>
      <w:r>
        <w:rPr>
          <w:sz w:val="16"/>
          <w:szCs w:val="16"/>
          <w:vertAlign w:val="superscript"/>
        </w:rPr>
        <w:footnoteRef/>
      </w:r>
      <w:r>
        <w:rPr>
          <w:sz w:val="16"/>
          <w:szCs w:val="16"/>
          <w:rtl w:val="0"/>
          <w:lang w:val="de-DE"/>
        </w:rPr>
        <w:t xml:space="preserve"> WHO SHOULD PAY?</w:t>
      </w:r>
      <w:r>
        <w:rPr>
          <w:sz w:val="16"/>
          <w:szCs w:val="16"/>
          <w:rtl w:val="0"/>
          <w:lang w:val="en-US"/>
        </w:rPr>
        <w:t xml:space="preserve">, </w:t>
      </w:r>
      <w:r>
        <w:rPr>
          <w:sz w:val="16"/>
          <w:szCs w:val="16"/>
          <w:rtl w:val="0"/>
          <w:lang w:val="en-US"/>
        </w:rPr>
        <w:t>Febuary 15, 1975 edition of Forbes</w:t>
      </w:r>
      <w:r>
        <w:rPr>
          <w:sz w:val="16"/>
          <w:szCs w:val="16"/>
          <w:rtl w:val="0"/>
          <w:lang w:val="en-US"/>
        </w:rPr>
        <w:t xml:space="preserve">, read to the US Senate: Mr Beall, </w:t>
      </w:r>
      <w:r>
        <w:rPr>
          <w:sz w:val="16"/>
          <w:szCs w:val="16"/>
          <w:rtl w:val="0"/>
          <w:lang w:val="en-US"/>
        </w:rPr>
        <w:t>Congressional Record, Senate, August 1, 1975, p. 26782-26784.</w:t>
      </w:r>
    </w:p>
  </w:footnote>
  <w:footnote w:id="107">
    <w:p>
      <w:pPr>
        <w:pStyle w:val="Footnote"/>
      </w:pPr>
      <w:r>
        <w:rPr>
          <w:sz w:val="16"/>
          <w:szCs w:val="16"/>
          <w:vertAlign w:val="superscript"/>
        </w:rPr>
        <w:footnoteRef/>
      </w:r>
      <w:r>
        <w:rPr>
          <w:sz w:val="16"/>
          <w:szCs w:val="16"/>
          <w:rtl w:val="0"/>
        </w:rPr>
        <w:t xml:space="preserve"> </w:t>
      </w:r>
      <w:r>
        <w:rPr>
          <w:sz w:val="16"/>
          <w:szCs w:val="16"/>
          <w:rtl w:val="0"/>
          <w:lang w:val="en-US"/>
        </w:rPr>
        <w:t>BBC, "</w:t>
      </w:r>
      <w:r>
        <w:rPr>
          <w:sz w:val="16"/>
          <w:szCs w:val="16"/>
          <w:rtl w:val="0"/>
          <w:lang w:val="en-US"/>
        </w:rPr>
        <w:t>Ronald Reagan called Africans at UN 'monkeys', tapes reveal</w:t>
      </w:r>
      <w:r>
        <w:rPr>
          <w:sz w:val="16"/>
          <w:szCs w:val="16"/>
          <w:rtl w:val="0"/>
          <w:lang w:val="en-US"/>
        </w:rPr>
        <w:t>",</w:t>
      </w:r>
      <w:r>
        <w:rPr>
          <w:i w:val="1"/>
          <w:iCs w:val="1"/>
          <w:sz w:val="16"/>
          <w:szCs w:val="16"/>
          <w:rtl w:val="0"/>
          <w:lang w:val="en-US"/>
        </w:rPr>
        <w:t xml:space="preserve"> BBC News</w:t>
      </w:r>
      <w:r>
        <w:rPr>
          <w:sz w:val="16"/>
          <w:szCs w:val="16"/>
          <w:rtl w:val="0"/>
          <w:lang w:val="en-US"/>
        </w:rPr>
        <w:t xml:space="preserve">, </w:t>
      </w:r>
      <w:r>
        <w:rPr>
          <w:sz w:val="16"/>
          <w:szCs w:val="16"/>
          <w:rtl w:val="0"/>
          <w:lang w:val="en-US"/>
        </w:rPr>
        <w:t>31 July 2019</w:t>
      </w:r>
      <w:r>
        <w:rPr>
          <w:sz w:val="16"/>
          <w:szCs w:val="16"/>
          <w:rtl w:val="0"/>
          <w:lang w:val="en-US"/>
        </w:rPr>
        <w:t xml:space="preserve">, </w:t>
      </w:r>
      <w:r>
        <w:rPr>
          <w:rStyle w:val="Hyperlink.0"/>
          <w:sz w:val="16"/>
          <w:szCs w:val="16"/>
        </w:rPr>
        <w:fldChar w:fldCharType="begin" w:fldLock="0"/>
      </w:r>
      <w:r>
        <w:rPr>
          <w:rStyle w:val="Hyperlink.0"/>
          <w:sz w:val="16"/>
          <w:szCs w:val="16"/>
        </w:rPr>
        <w:instrText xml:space="preserve"> HYPERLINK "https://www.bbc.com/news/world-us-canada-49177034"</w:instrText>
      </w:r>
      <w:r>
        <w:rPr>
          <w:rStyle w:val="Hyperlink.0"/>
          <w:sz w:val="16"/>
          <w:szCs w:val="16"/>
        </w:rPr>
        <w:fldChar w:fldCharType="separate" w:fldLock="0"/>
      </w:r>
      <w:r>
        <w:rPr>
          <w:rStyle w:val="Hyperlink.0"/>
          <w:sz w:val="16"/>
          <w:szCs w:val="16"/>
          <w:rtl w:val="0"/>
          <w:lang w:val="en-US"/>
        </w:rPr>
        <w:t>https://www.bbc.com/news/world-us-canada-49177034</w:t>
      </w:r>
      <w:r>
        <w:rPr>
          <w:sz w:val="16"/>
          <w:szCs w:val="16"/>
        </w:rPr>
        <w:fldChar w:fldCharType="end" w:fldLock="0"/>
      </w:r>
      <w:r>
        <w:rPr>
          <w:sz w:val="16"/>
          <w:szCs w:val="16"/>
          <w:rtl w:val="0"/>
          <w:lang w:val="en-US"/>
        </w:rPr>
        <w:t>; The Gaurdian, "</w:t>
      </w:r>
      <w:r>
        <w:rPr>
          <w:sz w:val="16"/>
          <w:szCs w:val="16"/>
          <w:rtl w:val="0"/>
          <w:lang w:val="en-US"/>
        </w:rPr>
        <w:t xml:space="preserve">Ronald Reagan called African diplomats </w:t>
      </w:r>
      <w:r>
        <w:rPr>
          <w:sz w:val="16"/>
          <w:szCs w:val="16"/>
          <w:rtl w:val="1"/>
        </w:rPr>
        <w:t>‘</w:t>
      </w:r>
      <w:r>
        <w:rPr>
          <w:sz w:val="16"/>
          <w:szCs w:val="16"/>
          <w:rtl w:val="0"/>
          <w:lang w:val="en-US"/>
        </w:rPr>
        <w:t xml:space="preserve">monkeys' in call to Richard Nixon </w:t>
      </w:r>
      <w:r>
        <w:rPr>
          <w:sz w:val="16"/>
          <w:szCs w:val="16"/>
          <w:rtl w:val="0"/>
        </w:rPr>
        <w:t xml:space="preserve">– </w:t>
      </w:r>
      <w:r>
        <w:rPr>
          <w:sz w:val="16"/>
          <w:szCs w:val="16"/>
          <w:rtl w:val="0"/>
        </w:rPr>
        <w:t>audio</w:t>
      </w:r>
      <w:r>
        <w:rPr>
          <w:sz w:val="16"/>
          <w:szCs w:val="16"/>
          <w:rtl w:val="0"/>
          <w:lang w:val="en-US"/>
        </w:rPr>
        <w:t xml:space="preserve">", </w:t>
      </w:r>
      <w:r>
        <w:rPr>
          <w:sz w:val="16"/>
          <w:szCs w:val="16"/>
          <w:rtl w:val="0"/>
        </w:rPr>
        <w:t>1 Aug 2019</w:t>
      </w:r>
      <w:r>
        <w:rPr>
          <w:sz w:val="16"/>
          <w:szCs w:val="16"/>
          <w:rtl w:val="0"/>
          <w:lang w:val="en-US"/>
        </w:rPr>
        <w:t xml:space="preserve">, </w:t>
      </w:r>
      <w:r>
        <w:rPr>
          <w:rStyle w:val="Hyperlink.0"/>
          <w:sz w:val="16"/>
          <w:szCs w:val="16"/>
        </w:rPr>
        <w:fldChar w:fldCharType="begin" w:fldLock="0"/>
      </w:r>
      <w:r>
        <w:rPr>
          <w:rStyle w:val="Hyperlink.0"/>
          <w:sz w:val="16"/>
          <w:szCs w:val="16"/>
        </w:rPr>
        <w:instrText xml:space="preserve"> HYPERLINK "https://www.youtube.com/watch?v=z7GLJsclRi8"</w:instrText>
      </w:r>
      <w:r>
        <w:rPr>
          <w:rStyle w:val="Hyperlink.0"/>
          <w:sz w:val="16"/>
          <w:szCs w:val="16"/>
        </w:rPr>
        <w:fldChar w:fldCharType="separate" w:fldLock="0"/>
      </w:r>
      <w:r>
        <w:rPr>
          <w:rStyle w:val="Hyperlink.0"/>
          <w:sz w:val="16"/>
          <w:szCs w:val="16"/>
          <w:rtl w:val="0"/>
          <w:lang w:val="en-US"/>
        </w:rPr>
        <w:t>https://www.youtube.com/watch?v=z7GLJsclRi8</w:t>
      </w:r>
      <w:r>
        <w:rPr>
          <w:sz w:val="16"/>
          <w:szCs w:val="16"/>
        </w:rPr>
        <w:fldChar w:fldCharType="end" w:fldLock="0"/>
      </w:r>
      <w:r>
        <w:rPr>
          <w:sz w:val="16"/>
          <w:szCs w:val="16"/>
          <w:rtl w:val="0"/>
          <w:lang w:val="en-US"/>
        </w:rPr>
        <w:t>.</w:t>
      </w:r>
    </w:p>
  </w:footnote>
  <w:footnote w:id="108">
    <w:p>
      <w:pPr>
        <w:pStyle w:val="Footnote"/>
        <w:rPr>
          <w:sz w:val="16"/>
          <w:szCs w:val="16"/>
        </w:rPr>
      </w:pPr>
      <w:r>
        <w:rPr>
          <w:sz w:val="16"/>
          <w:szCs w:val="16"/>
          <w:vertAlign w:val="superscript"/>
        </w:rPr>
        <w:footnoteRef/>
      </w:r>
      <w:r>
        <w:rPr>
          <w:sz w:val="16"/>
          <w:szCs w:val="16"/>
          <w:rtl w:val="0"/>
          <w:lang w:val="en-US"/>
        </w:rPr>
        <w:t xml:space="preserve"> </w:t>
      </w:r>
      <w:r>
        <w:rPr>
          <w:sz w:val="16"/>
          <w:szCs w:val="16"/>
          <w:rtl w:val="0"/>
          <w:lang w:val="en-US"/>
        </w:rPr>
        <w:t>National Archives, RG 59, Records of Henry Kissinger, Lot 91D414, Box 11, Classified External Memoranda of Conversations, June 1975. Confidential; Exis. Drafted by Alexander F. Watson (EB). The meeting was held in the Jefferson Room at the Department of State.</w:t>
      </w:r>
      <w:r>
        <w:rPr>
          <w:sz w:val="16"/>
          <w:szCs w:val="16"/>
          <w:rtl w:val="0"/>
          <w:lang w:val="en-US"/>
        </w:rPr>
        <w:t xml:space="preserve"> Published as "Memorandum of Conversation," in </w:t>
      </w:r>
      <w:r>
        <w:rPr>
          <w:i w:val="1"/>
          <w:iCs w:val="1"/>
          <w:sz w:val="16"/>
          <w:szCs w:val="16"/>
          <w:rtl w:val="0"/>
          <w:lang w:val="en-US"/>
        </w:rPr>
        <w:t>Foreign Relations of the United States</w:t>
      </w:r>
      <w:r>
        <w:rPr>
          <w:sz w:val="16"/>
          <w:szCs w:val="16"/>
          <w:rtl w:val="0"/>
        </w:rPr>
        <w:t>, 1969</w:t>
      </w:r>
      <w:r>
        <w:rPr>
          <w:sz w:val="16"/>
          <w:szCs w:val="16"/>
          <w:rtl w:val="0"/>
        </w:rPr>
        <w:t>–</w:t>
      </w:r>
      <w:r>
        <w:rPr>
          <w:sz w:val="16"/>
          <w:szCs w:val="16"/>
          <w:rtl w:val="0"/>
          <w:lang w:val="en-US"/>
        </w:rPr>
        <w:t>1976, Volume XXXVII, Energy Crisis, 1969</w:t>
      </w:r>
      <w:r>
        <w:rPr>
          <w:sz w:val="16"/>
          <w:szCs w:val="16"/>
          <w:rtl w:val="0"/>
        </w:rPr>
        <w:t>–</w:t>
      </w:r>
      <w:r>
        <w:rPr>
          <w:sz w:val="16"/>
          <w:szCs w:val="16"/>
          <w:rtl w:val="0"/>
          <w:lang w:val="en-US"/>
        </w:rPr>
        <w:t xml:space="preserve">1976, eds. Steven Galpern and Edward C. Keefer (Washington: Government Printing Office, 2012), Document 65, </w:t>
      </w:r>
      <w:r>
        <w:rPr>
          <w:rStyle w:val="Hyperlink.1"/>
          <w:sz w:val="16"/>
          <w:szCs w:val="16"/>
        </w:rPr>
        <w:fldChar w:fldCharType="begin" w:fldLock="0"/>
      </w:r>
      <w:r>
        <w:rPr>
          <w:rStyle w:val="Hyperlink.1"/>
          <w:sz w:val="16"/>
          <w:szCs w:val="16"/>
        </w:rPr>
        <w:instrText xml:space="preserve"> HYPERLINK "https://history.state.gov/historicaldocuments/frus1969-76v37/d65"</w:instrText>
      </w:r>
      <w:r>
        <w:rPr>
          <w:rStyle w:val="Hyperlink.1"/>
          <w:sz w:val="16"/>
          <w:szCs w:val="16"/>
        </w:rPr>
        <w:fldChar w:fldCharType="separate" w:fldLock="0"/>
      </w:r>
      <w:r>
        <w:rPr>
          <w:rStyle w:val="Hyperlink.1"/>
          <w:sz w:val="16"/>
          <w:szCs w:val="16"/>
          <w:rtl w:val="0"/>
          <w:lang w:val="en-US"/>
        </w:rPr>
        <w:t>https://history.state.gov/historicaldocuments/frus1969-76v37/d65</w:t>
      </w:r>
      <w:r>
        <w:rPr>
          <w:sz w:val="16"/>
          <w:szCs w:val="16"/>
        </w:rPr>
        <w:fldChar w:fldCharType="end" w:fldLock="0"/>
      </w:r>
      <w:r>
        <w:rPr>
          <w:sz w:val="16"/>
          <w:szCs w:val="16"/>
          <w:rtl w:val="0"/>
          <w:lang w:val="en-US"/>
        </w:rPr>
        <w:t>.</w:t>
      </w:r>
    </w:p>
    <w:p>
      <w:pPr>
        <w:pStyle w:val="Footnote"/>
        <w:rPr>
          <w:sz w:val="16"/>
          <w:szCs w:val="16"/>
        </w:rPr>
      </w:pPr>
    </w:p>
    <w:p>
      <w:pPr>
        <w:pStyle w:val="Footnote"/>
      </w:pPr>
      <w:r>
        <w:rPr>
          <w:sz w:val="16"/>
          <w:szCs w:val="16"/>
          <w:rtl w:val="0"/>
          <w:lang w:val="en-US"/>
        </w:rPr>
        <w:t>Kissinger: '</w:t>
      </w:r>
      <w:r>
        <w:rPr>
          <w:sz w:val="16"/>
          <w:szCs w:val="16"/>
          <w:rtl w:val="0"/>
          <w:lang w:val="en-US"/>
        </w:rPr>
        <w:t>the group of 77, which has more than a hundred members now, under the leadership of Algeria is politicizing economic issues. It is forming a block which links the various economic issues to each other. This has the objective tendency to produce other cartels. As the LDCs stick together, economic decisions will increasingly be made for political reasons. The impact of this is profound.</w:t>
      </w:r>
      <w:r>
        <w:rPr>
          <w:sz w:val="16"/>
          <w:szCs w:val="16"/>
          <w:rtl w:val="0"/>
          <w:lang w:val="en-US"/>
        </w:rPr>
        <w:t xml:space="preserve">' </w:t>
      </w:r>
    </w:p>
  </w:footnote>
  <w:footnote w:id="109">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United Nations Archives, </w:t>
      </w:r>
      <w:r>
        <w:rPr>
          <w:sz w:val="16"/>
          <w:szCs w:val="16"/>
          <w:rtl w:val="0"/>
          <w:lang w:val="en-US"/>
        </w:rPr>
        <w:t>"Informal working paper submitted by the United States of America for negotiating purposes"</w:t>
      </w:r>
      <w:r>
        <w:rPr>
          <w:sz w:val="16"/>
          <w:szCs w:val="16"/>
          <w:rtl w:val="0"/>
          <w:lang w:val="en-US"/>
        </w:rPr>
        <w:t xml:space="preserve">, located in folder: </w:t>
      </w:r>
      <w:r>
        <w:rPr>
          <w:rStyle w:val="None"/>
          <w:i w:val="1"/>
          <w:iCs w:val="1"/>
          <w:sz w:val="16"/>
          <w:szCs w:val="16"/>
          <w:rtl w:val="0"/>
          <w:lang w:val="en-US"/>
        </w:rPr>
        <w:t xml:space="preserve">Seventh Special Session 21 Feb - 8 Sept 1975, </w:t>
      </w:r>
      <w:r>
        <w:rPr>
          <w:sz w:val="16"/>
          <w:szCs w:val="16"/>
          <w:rtl w:val="0"/>
          <w:lang w:val="en-US"/>
        </w:rPr>
        <w:t>Series S-0983, Box 1, File 5, Acc. 91/5. [</w:t>
      </w:r>
      <w:r>
        <w:rPr>
          <w:rStyle w:val="Hyperlink.0"/>
          <w:sz w:val="16"/>
          <w:szCs w:val="16"/>
        </w:rPr>
        <w:fldChar w:fldCharType="begin" w:fldLock="0"/>
      </w:r>
      <w:r>
        <w:rPr>
          <w:rStyle w:val="Hyperlink.0"/>
          <w:sz w:val="16"/>
          <w:szCs w:val="16"/>
        </w:rPr>
        <w:instrText xml:space="preserve"> HYPERLINK "https://search.archives.un.org/s-0983-0001-05"</w:instrText>
      </w:r>
      <w:r>
        <w:rPr>
          <w:rStyle w:val="Hyperlink.0"/>
          <w:sz w:val="16"/>
          <w:szCs w:val="16"/>
        </w:rPr>
        <w:fldChar w:fldCharType="separate" w:fldLock="0"/>
      </w:r>
      <w:r>
        <w:rPr>
          <w:rStyle w:val="Hyperlink.0"/>
          <w:sz w:val="16"/>
          <w:szCs w:val="16"/>
          <w:rtl w:val="0"/>
          <w:lang w:val="pt-PT"/>
        </w:rPr>
        <w:t>https://search.archives.un.org/s-0983-0001-05</w:t>
      </w:r>
      <w:r>
        <w:rPr>
          <w:sz w:val="16"/>
          <w:szCs w:val="16"/>
        </w:rPr>
        <w:fldChar w:fldCharType="end" w:fldLock="0"/>
      </w:r>
      <w:r>
        <w:rPr>
          <w:sz w:val="16"/>
          <w:szCs w:val="16"/>
          <w:rtl w:val="0"/>
          <w:lang w:val="en-US"/>
        </w:rPr>
        <w:t>]</w:t>
      </w:r>
    </w:p>
  </w:footnote>
  <w:footnote w:id="110">
    <w:p>
      <w:pPr>
        <w:pStyle w:val="Footnote"/>
      </w:pPr>
      <w:r>
        <w:rPr>
          <w:rStyle w:val="None"/>
          <w:rFonts w:ascii="Arial" w:cs="Arial" w:hAnsi="Arial" w:eastAsia="Arial"/>
          <w:sz w:val="16"/>
          <w:szCs w:val="16"/>
          <w:vertAlign w:val="superscript"/>
        </w:rPr>
        <w:footnoteRef/>
      </w:r>
      <w:r>
        <w:rPr>
          <w:rFonts w:ascii="Arial" w:hAnsi="Arial"/>
          <w:sz w:val="16"/>
          <w:szCs w:val="16"/>
          <w:rtl w:val="0"/>
          <w:lang w:val="en-US"/>
        </w:rPr>
        <w:t xml:space="preserve"> </w:t>
      </w:r>
      <w:r>
        <w:rPr>
          <w:rFonts w:ascii="Arial" w:hAnsi="Arial"/>
          <w:sz w:val="16"/>
          <w:szCs w:val="16"/>
          <w:rtl w:val="0"/>
        </w:rPr>
        <w:t>Branislav</w:t>
      </w:r>
      <w:r>
        <w:rPr>
          <w:rFonts w:ascii="Arial" w:hAnsi="Arial"/>
          <w:sz w:val="16"/>
          <w:szCs w:val="16"/>
          <w:rtl w:val="0"/>
          <w:lang w:val="en-US"/>
        </w:rPr>
        <w:t xml:space="preserve"> </w:t>
      </w:r>
      <w:r>
        <w:rPr>
          <w:rFonts w:ascii="Arial" w:hAnsi="Arial"/>
          <w:sz w:val="16"/>
          <w:szCs w:val="16"/>
          <w:rtl w:val="0"/>
          <w:lang w:val="en-US"/>
        </w:rPr>
        <w:t>Gosovic and John Gerard Ruggie</w:t>
      </w:r>
      <w:r>
        <w:rPr>
          <w:rFonts w:ascii="Arial" w:hAnsi="Arial"/>
          <w:sz w:val="16"/>
          <w:szCs w:val="16"/>
          <w:rtl w:val="0"/>
          <w:lang w:val="en-US"/>
        </w:rPr>
        <w:t>,</w:t>
      </w:r>
      <w:r>
        <w:rPr>
          <w:rFonts w:ascii="Arial" w:hAnsi="Arial"/>
          <w:sz w:val="16"/>
          <w:szCs w:val="16"/>
          <w:rtl w:val="0"/>
          <w:lang w:val="en-US"/>
        </w:rPr>
        <w:t xml:space="preserve"> "On the Creation of a New International Economic Order: Issue Linkage and the Seventh Special Session of the U</w:t>
      </w:r>
      <w:r>
        <w:rPr>
          <w:rFonts w:ascii="Arial" w:hAnsi="Arial"/>
          <w:sz w:val="16"/>
          <w:szCs w:val="16"/>
          <w:rtl w:val="0"/>
          <w:lang w:val="en-US"/>
        </w:rPr>
        <w:t>N</w:t>
      </w:r>
      <w:r>
        <w:rPr>
          <w:rFonts w:ascii="Arial" w:hAnsi="Arial"/>
          <w:sz w:val="16"/>
          <w:szCs w:val="16"/>
          <w:rtl w:val="0"/>
          <w:lang w:val="it-IT"/>
        </w:rPr>
        <w:t xml:space="preserve"> General Assembly</w:t>
      </w:r>
      <w:r>
        <w:rPr>
          <w:rFonts w:ascii="Arial" w:hAnsi="Arial"/>
          <w:sz w:val="16"/>
          <w:szCs w:val="16"/>
          <w:rtl w:val="0"/>
          <w:lang w:val="en-US"/>
        </w:rPr>
        <w:t>,</w:t>
      </w:r>
      <w:r>
        <w:rPr>
          <w:rFonts w:ascii="Arial" w:hAnsi="Arial"/>
          <w:sz w:val="16"/>
          <w:szCs w:val="16"/>
          <w:rtl w:val="0"/>
          <w:lang w:val="ru-RU"/>
        </w:rPr>
        <w:t xml:space="preserve">" </w:t>
      </w:r>
      <w:r>
        <w:rPr>
          <w:rStyle w:val="None"/>
          <w:rFonts w:ascii="Arial" w:hAnsi="Arial"/>
          <w:i w:val="1"/>
          <w:iCs w:val="1"/>
          <w:sz w:val="16"/>
          <w:szCs w:val="16"/>
          <w:rtl w:val="0"/>
          <w:lang w:val="en-US"/>
        </w:rPr>
        <w:t>International Organization</w:t>
      </w:r>
      <w:r>
        <w:rPr>
          <w:rFonts w:ascii="Arial" w:hAnsi="Arial"/>
          <w:sz w:val="16"/>
          <w:szCs w:val="16"/>
          <w:rtl w:val="0"/>
        </w:rPr>
        <w:t xml:space="preserve"> 30, no. 2 (1976): 309-45</w:t>
      </w:r>
      <w:r>
        <w:rPr>
          <w:rFonts w:ascii="Arial" w:hAnsi="Arial"/>
          <w:sz w:val="16"/>
          <w:szCs w:val="16"/>
          <w:rtl w:val="0"/>
          <w:lang w:val="en-US"/>
        </w:rPr>
        <w:t>,</w:t>
      </w:r>
      <w:r>
        <w:rPr>
          <w:rFonts w:ascii="Arial" w:hAnsi="Arial"/>
          <w:sz w:val="16"/>
          <w:szCs w:val="16"/>
          <w:rtl w:val="0"/>
          <w:lang w:val="en-US"/>
        </w:rPr>
        <w:t xml:space="preserve"> https://doi.org/10.1017/S0020818300018300.</w:t>
      </w:r>
    </w:p>
  </w:footnote>
  <w:footnote w:id="111">
    <w:p>
      <w:pPr>
        <w:pStyle w:val="Footnote"/>
      </w:pPr>
      <w:r>
        <w:rPr>
          <w:rStyle w:val="None"/>
          <w:sz w:val="16"/>
          <w:szCs w:val="16"/>
          <w:vertAlign w:val="superscript"/>
        </w:rPr>
        <w:footnoteRef/>
      </w:r>
      <w:r>
        <w:rPr>
          <w:sz w:val="16"/>
          <w:szCs w:val="16"/>
          <w:rtl w:val="0"/>
          <w:lang w:val="en-US"/>
        </w:rPr>
        <w:t xml:space="preserve"> Craig Murphy, </w:t>
      </w:r>
      <w:r>
        <w:rPr>
          <w:sz w:val="16"/>
          <w:szCs w:val="16"/>
          <w:rtl w:val="0"/>
          <w:lang w:val="en-US"/>
        </w:rPr>
        <w:t>"What the Third World Wants: An Interpretation of the Development and Meaning of the New International Economic Order Ideology</w:t>
      </w:r>
      <w:r>
        <w:rPr>
          <w:sz w:val="16"/>
          <w:szCs w:val="16"/>
          <w:rtl w:val="0"/>
          <w:lang w:val="en-US"/>
        </w:rPr>
        <w:t>,</w:t>
      </w:r>
      <w:r>
        <w:rPr>
          <w:sz w:val="16"/>
          <w:szCs w:val="16"/>
          <w:rtl w:val="0"/>
          <w:lang w:val="ru-RU"/>
        </w:rPr>
        <w:t xml:space="preserve">" </w:t>
      </w:r>
      <w:r>
        <w:rPr>
          <w:rStyle w:val="None"/>
          <w:i w:val="1"/>
          <w:iCs w:val="1"/>
          <w:sz w:val="16"/>
          <w:szCs w:val="16"/>
          <w:rtl w:val="0"/>
          <w:lang w:val="de-DE"/>
        </w:rPr>
        <w:t>International Studies Quarterly</w:t>
      </w:r>
      <w:r>
        <w:rPr>
          <w:sz w:val="16"/>
          <w:szCs w:val="16"/>
          <w:rtl w:val="0"/>
          <w:lang w:val="pt-PT"/>
        </w:rPr>
        <w:t xml:space="preserve"> 27, no. 1 (1983): 55-76. https://doi.org/10.2307/2600619.</w:t>
      </w:r>
    </w:p>
  </w:footnote>
  <w:footnote w:id="112">
    <w:p>
      <w:pPr>
        <w:pStyle w:val="Footnote"/>
        <w:rPr>
          <w:sz w:val="16"/>
          <w:szCs w:val="16"/>
        </w:rPr>
      </w:pPr>
      <w:r>
        <w:rPr>
          <w:rStyle w:val="None"/>
          <w:sz w:val="16"/>
          <w:szCs w:val="16"/>
          <w:vertAlign w:val="superscript"/>
        </w:rPr>
        <w:footnoteRef/>
      </w:r>
      <w:r>
        <w:rPr>
          <w:sz w:val="16"/>
          <w:szCs w:val="16"/>
          <w:rtl w:val="0"/>
          <w:lang w:val="de-DE"/>
        </w:rPr>
        <w:t xml:space="preserve"> Robert W.</w:t>
      </w:r>
      <w:r>
        <w:rPr>
          <w:sz w:val="16"/>
          <w:szCs w:val="16"/>
          <w:rtl w:val="0"/>
          <w:lang w:val="en-US"/>
        </w:rPr>
        <w:t xml:space="preserve"> </w:t>
      </w:r>
      <w:r>
        <w:rPr>
          <w:sz w:val="16"/>
          <w:szCs w:val="16"/>
          <w:rtl w:val="0"/>
          <w:lang w:val="en-US"/>
        </w:rPr>
        <w:t>Cox, "Ideologies and the New International Economic Order: Reflections on Some Recent Literature</w:t>
      </w:r>
      <w:r>
        <w:rPr>
          <w:sz w:val="16"/>
          <w:szCs w:val="16"/>
          <w:rtl w:val="0"/>
          <w:lang w:val="en-US"/>
        </w:rPr>
        <w:t>,</w:t>
      </w:r>
      <w:r>
        <w:rPr>
          <w:sz w:val="16"/>
          <w:szCs w:val="16"/>
          <w:rtl w:val="0"/>
          <w:lang w:val="ru-RU"/>
        </w:rPr>
        <w:t xml:space="preserve">" </w:t>
      </w:r>
      <w:r>
        <w:rPr>
          <w:rStyle w:val="None"/>
          <w:i w:val="1"/>
          <w:iCs w:val="1"/>
          <w:sz w:val="16"/>
          <w:szCs w:val="16"/>
          <w:rtl w:val="0"/>
          <w:lang w:val="en-US"/>
        </w:rPr>
        <w:t xml:space="preserve">International Organization </w:t>
      </w:r>
      <w:r>
        <w:rPr>
          <w:sz w:val="16"/>
          <w:szCs w:val="16"/>
          <w:rtl w:val="0"/>
        </w:rPr>
        <w:t xml:space="preserve">33, no. 2 (1979): 257-302. </w:t>
      </w:r>
      <w:r>
        <w:rPr>
          <w:rStyle w:val="Hyperlink.2"/>
          <w:sz w:val="16"/>
          <w:szCs w:val="16"/>
        </w:rPr>
        <w:fldChar w:fldCharType="begin" w:fldLock="0"/>
      </w:r>
      <w:r>
        <w:rPr>
          <w:rStyle w:val="Hyperlink.2"/>
          <w:sz w:val="16"/>
          <w:szCs w:val="16"/>
        </w:rPr>
        <w:instrText xml:space="preserve"> HYPERLINK "https://doi.org/10.1017/S0020818300032161"</w:instrText>
      </w:r>
      <w:r>
        <w:rPr>
          <w:rStyle w:val="Hyperlink.2"/>
          <w:sz w:val="16"/>
          <w:szCs w:val="16"/>
        </w:rPr>
        <w:fldChar w:fldCharType="separate" w:fldLock="0"/>
      </w:r>
      <w:r>
        <w:rPr>
          <w:rStyle w:val="Hyperlink.2"/>
          <w:sz w:val="16"/>
          <w:szCs w:val="16"/>
          <w:rtl w:val="0"/>
          <w:lang w:val="en-US"/>
        </w:rPr>
        <w:t>https://doi.org/10.1017/S0020818300032161</w:t>
      </w:r>
      <w:r>
        <w:rPr>
          <w:sz w:val="16"/>
          <w:szCs w:val="16"/>
        </w:rPr>
        <w:fldChar w:fldCharType="end" w:fldLock="0"/>
      </w:r>
      <w:r>
        <w:rPr>
          <w:sz w:val="16"/>
          <w:szCs w:val="16"/>
          <w:rtl w:val="0"/>
          <w:lang w:val="en-US"/>
        </w:rPr>
        <w:t xml:space="preserve">; </w:t>
      </w:r>
      <w:r>
        <w:rPr>
          <w:sz w:val="16"/>
          <w:szCs w:val="16"/>
          <w:rtl w:val="0"/>
          <w:lang w:val="en-US"/>
        </w:rPr>
        <w:t xml:space="preserve">–– </w:t>
      </w:r>
      <w:r>
        <w:rPr>
          <w:sz w:val="16"/>
          <w:szCs w:val="16"/>
          <w:rtl w:val="0"/>
          <w:lang w:val="en-US"/>
        </w:rPr>
        <w:t>"</w:t>
      </w:r>
      <w:r>
        <w:rPr>
          <w:sz w:val="16"/>
          <w:szCs w:val="16"/>
          <w:rtl w:val="0"/>
          <w:lang w:val="en-US"/>
        </w:rPr>
        <w:t>Social Forces, States and World Orders: Beyond International Relations Theory</w:t>
      </w:r>
      <w:r>
        <w:rPr>
          <w:sz w:val="16"/>
          <w:szCs w:val="16"/>
          <w:rtl w:val="0"/>
          <w:lang w:val="en-US"/>
        </w:rPr>
        <w:t>,"</w:t>
      </w:r>
      <w:r>
        <w:rPr>
          <w:sz w:val="16"/>
          <w:szCs w:val="16"/>
          <w:rtl w:val="0"/>
        </w:rPr>
        <w:t xml:space="preserve"> </w:t>
      </w:r>
      <w:r>
        <w:rPr>
          <w:rStyle w:val="None"/>
          <w:i w:val="1"/>
          <w:iCs w:val="1"/>
          <w:sz w:val="16"/>
          <w:szCs w:val="16"/>
          <w:rtl w:val="0"/>
        </w:rPr>
        <w:t>Millennium</w:t>
      </w:r>
      <w:r>
        <w:rPr>
          <w:sz w:val="16"/>
          <w:szCs w:val="16"/>
          <w:rtl w:val="0"/>
        </w:rPr>
        <w:t xml:space="preserve"> 10</w:t>
      </w:r>
      <w:r>
        <w:rPr>
          <w:sz w:val="16"/>
          <w:szCs w:val="16"/>
          <w:rtl w:val="0"/>
          <w:lang w:val="en-US"/>
        </w:rPr>
        <w:t xml:space="preserve"> no. </w:t>
      </w:r>
      <w:r>
        <w:rPr>
          <w:sz w:val="16"/>
          <w:szCs w:val="16"/>
          <w:rtl w:val="0"/>
        </w:rPr>
        <w:t>2</w:t>
      </w:r>
      <w:r>
        <w:rPr>
          <w:sz w:val="16"/>
          <w:szCs w:val="16"/>
          <w:rtl w:val="0"/>
          <w:lang w:val="en-US"/>
        </w:rPr>
        <w:t xml:space="preserve"> (1981)</w:t>
      </w:r>
      <w:r>
        <w:rPr>
          <w:sz w:val="16"/>
          <w:szCs w:val="16"/>
          <w:rtl w:val="0"/>
        </w:rPr>
        <w:t xml:space="preserve">, </w:t>
      </w:r>
      <w:r>
        <w:rPr>
          <w:sz w:val="16"/>
          <w:szCs w:val="16"/>
          <w:rtl w:val="0"/>
          <w:lang w:val="en-US"/>
        </w:rPr>
        <w:t xml:space="preserve">pp. </w:t>
      </w:r>
      <w:r>
        <w:rPr>
          <w:sz w:val="16"/>
          <w:szCs w:val="16"/>
          <w:rtl w:val="0"/>
        </w:rPr>
        <w:t>126-155</w:t>
      </w:r>
      <w:r>
        <w:rPr>
          <w:sz w:val="16"/>
          <w:szCs w:val="16"/>
          <w:rtl w:val="0"/>
          <w:lang w:val="en-US"/>
        </w:rPr>
        <w:t>,</w:t>
      </w:r>
      <w:r>
        <w:rPr>
          <w:sz w:val="16"/>
          <w:szCs w:val="16"/>
          <w:rtl w:val="0"/>
          <w:lang w:val="en-US"/>
        </w:rPr>
        <w:t xml:space="preserve"> https://doi.org/10.1177/03058298810100020501</w:t>
      </w:r>
      <w:r>
        <w:rPr>
          <w:sz w:val="16"/>
          <w:szCs w:val="16"/>
          <w:rtl w:val="0"/>
          <w:lang w:val="en-US"/>
        </w:rPr>
        <w:t xml:space="preserve">; </w:t>
      </w:r>
      <w:r>
        <w:rPr>
          <w:sz w:val="16"/>
          <w:szCs w:val="16"/>
          <w:rtl w:val="0"/>
          <w:lang w:val="en-US"/>
        </w:rPr>
        <w:t xml:space="preserve">–– </w:t>
      </w:r>
      <w:r>
        <w:rPr>
          <w:sz w:val="16"/>
          <w:szCs w:val="16"/>
          <w:rtl w:val="0"/>
          <w:lang w:val="en-US"/>
        </w:rPr>
        <w:t xml:space="preserve">"Gramsci, Hegemony and International Relations: An Essay in Method," </w:t>
      </w:r>
      <w:r>
        <w:rPr>
          <w:rStyle w:val="None"/>
          <w:i w:val="1"/>
          <w:iCs w:val="1"/>
          <w:sz w:val="16"/>
          <w:szCs w:val="16"/>
          <w:rtl w:val="0"/>
          <w:lang w:val="en-US"/>
        </w:rPr>
        <w:t xml:space="preserve">Millennium </w:t>
      </w:r>
      <w:r>
        <w:rPr>
          <w:sz w:val="16"/>
          <w:szCs w:val="16"/>
          <w:rtl w:val="0"/>
          <w:lang w:val="en-US"/>
        </w:rPr>
        <w:t xml:space="preserve">12 no. 2, p. 171, </w:t>
      </w:r>
      <w:r>
        <w:rPr>
          <w:sz w:val="16"/>
          <w:szCs w:val="16"/>
          <w:rtl w:val="0"/>
          <w:lang w:val="en-US"/>
        </w:rPr>
        <w:t>https://doi.org/10.1177/03058298830120020701</w:t>
      </w:r>
      <w:r>
        <w:rPr>
          <w:sz w:val="16"/>
          <w:szCs w:val="16"/>
          <w:rtl w:val="0"/>
          <w:lang w:val="en-US"/>
        </w:rPr>
        <w:t>;</w:t>
      </w:r>
      <w:r>
        <w:rPr>
          <w:sz w:val="16"/>
          <w:szCs w:val="16"/>
          <w:rtl w:val="0"/>
          <w:lang w:val="de-DE"/>
        </w:rPr>
        <w:t xml:space="preserve"> Robert W. </w:t>
      </w:r>
      <w:r>
        <w:rPr>
          <w:sz w:val="16"/>
          <w:szCs w:val="16"/>
          <w:rtl w:val="0"/>
          <w:lang w:val="en-US"/>
        </w:rPr>
        <w:t xml:space="preserve">Cox </w:t>
      </w:r>
      <w:r>
        <w:rPr>
          <w:sz w:val="16"/>
          <w:szCs w:val="16"/>
          <w:rtl w:val="0"/>
          <w:lang w:val="en-US"/>
        </w:rPr>
        <w:t>and Timothy J. Sinclair</w:t>
      </w:r>
      <w:r>
        <w:rPr>
          <w:sz w:val="16"/>
          <w:szCs w:val="16"/>
          <w:rtl w:val="0"/>
          <w:lang w:val="en-US"/>
        </w:rPr>
        <w:t>,</w:t>
      </w:r>
      <w:r>
        <w:rPr>
          <w:sz w:val="16"/>
          <w:szCs w:val="16"/>
          <w:rtl w:val="1"/>
          <w:lang w:val="ar-SA" w:bidi="ar-SA"/>
        </w:rPr>
        <w:t xml:space="preserve"> “</w:t>
      </w:r>
      <w:r>
        <w:rPr>
          <w:sz w:val="16"/>
          <w:szCs w:val="16"/>
          <w:rtl w:val="0"/>
          <w:lang w:val="en-US"/>
        </w:rPr>
        <w:t>Production and Security (1993)</w:t>
      </w:r>
      <w:r>
        <w:rPr>
          <w:sz w:val="16"/>
          <w:szCs w:val="16"/>
          <w:rtl w:val="0"/>
          <w:lang w:val="en-US"/>
        </w:rPr>
        <w:t>,</w:t>
      </w:r>
      <w:r>
        <w:rPr>
          <w:sz w:val="16"/>
          <w:szCs w:val="16"/>
          <w:rtl w:val="0"/>
        </w:rPr>
        <w:t xml:space="preserve">” </w:t>
      </w:r>
      <w:r>
        <w:rPr>
          <w:sz w:val="16"/>
          <w:szCs w:val="16"/>
          <w:rtl w:val="0"/>
          <w:lang w:val="nl-NL"/>
        </w:rPr>
        <w:t>Chapter</w:t>
      </w:r>
      <w:r>
        <w:rPr>
          <w:sz w:val="16"/>
          <w:szCs w:val="16"/>
          <w:rtl w:val="0"/>
          <w:lang w:val="en-US"/>
        </w:rPr>
        <w:t xml:space="preserve"> i</w:t>
      </w:r>
      <w:r>
        <w:rPr>
          <w:sz w:val="16"/>
          <w:szCs w:val="16"/>
          <w:rtl w:val="0"/>
        </w:rPr>
        <w:t xml:space="preserve">n </w:t>
      </w:r>
      <w:r>
        <w:rPr>
          <w:rStyle w:val="None"/>
          <w:i w:val="1"/>
          <w:iCs w:val="1"/>
          <w:sz w:val="16"/>
          <w:szCs w:val="16"/>
          <w:rtl w:val="0"/>
          <w:lang w:val="en-US"/>
        </w:rPr>
        <w:t>Approaches to World Order</w:t>
      </w:r>
      <w:r>
        <w:rPr>
          <w:rStyle w:val="None"/>
          <w:i w:val="1"/>
          <w:iCs w:val="1"/>
          <w:sz w:val="16"/>
          <w:szCs w:val="16"/>
          <w:rtl w:val="0"/>
          <w:lang w:val="en-US"/>
        </w:rPr>
        <w:t>,</w:t>
      </w:r>
      <w:r>
        <w:rPr>
          <w:sz w:val="16"/>
          <w:szCs w:val="16"/>
          <w:rtl w:val="0"/>
          <w:lang w:val="en-US"/>
        </w:rPr>
        <w:t xml:space="preserve"> </w:t>
      </w:r>
      <w:r>
        <w:rPr>
          <w:sz w:val="16"/>
          <w:szCs w:val="16"/>
          <w:rtl w:val="0"/>
          <w:lang w:val="en-US"/>
        </w:rPr>
        <w:t>(Cambridge University Press, 1996)</w:t>
      </w:r>
      <w:r>
        <w:rPr>
          <w:sz w:val="16"/>
          <w:szCs w:val="16"/>
          <w:rtl w:val="0"/>
          <w:lang w:val="en-US"/>
        </w:rPr>
        <w:t>,</w:t>
      </w:r>
      <w:r>
        <w:rPr>
          <w:rStyle w:val="None"/>
          <w:i w:val="1"/>
          <w:iCs w:val="1"/>
          <w:sz w:val="16"/>
          <w:szCs w:val="16"/>
          <w:rtl w:val="0"/>
          <w:lang w:val="en-US"/>
        </w:rPr>
        <w:t xml:space="preserve"> </w:t>
      </w:r>
      <w:r>
        <w:rPr>
          <w:sz w:val="16"/>
          <w:szCs w:val="16"/>
          <w:rtl w:val="0"/>
          <w:lang w:val="en-US"/>
        </w:rPr>
        <w:t xml:space="preserve">p. </w:t>
      </w:r>
      <w:r>
        <w:rPr>
          <w:sz w:val="16"/>
          <w:szCs w:val="16"/>
          <w:rtl w:val="0"/>
        </w:rPr>
        <w:t>27</w:t>
      </w:r>
      <w:r>
        <w:rPr>
          <w:sz w:val="16"/>
          <w:szCs w:val="16"/>
          <w:rtl w:val="0"/>
          <w:lang w:val="en-US"/>
        </w:rPr>
        <w:t>9:</w:t>
      </w:r>
    </w:p>
    <w:p>
      <w:pPr>
        <w:pStyle w:val="Footnote"/>
        <w:rPr>
          <w:sz w:val="16"/>
          <w:szCs w:val="16"/>
        </w:rPr>
      </w:pPr>
    </w:p>
    <w:p>
      <w:pPr>
        <w:pStyle w:val="Footnote"/>
        <w:rPr>
          <w:i w:val="1"/>
          <w:iCs w:val="1"/>
          <w:sz w:val="16"/>
          <w:szCs w:val="16"/>
        </w:rPr>
      </w:pPr>
      <w:r>
        <w:rPr>
          <w:i w:val="1"/>
          <w:iCs w:val="1"/>
          <w:sz w:val="16"/>
          <w:szCs w:val="16"/>
          <w:rtl w:val="0"/>
          <w:lang w:val="en-US"/>
        </w:rPr>
        <w:t xml:space="preserve">'What happened on the scale of the national economy during the nineteenth century could be repeated on the scale of the global economy in the twenty-first century. By polarizing the satisfied and the deprived within and among national societies, and indeed across territorial boundaries in an increasingly global society, post-Fordism could well arouse a reaction by the disadvantaged and the dispossessed with support from a segment of the competing dominant groups. This could revive the aim of regulating the global economy with the interests of these groups more clearly in mind </w:t>
      </w:r>
      <w:r>
        <w:rPr>
          <w:i w:val="1"/>
          <w:iCs w:val="1"/>
          <w:sz w:val="16"/>
          <w:szCs w:val="16"/>
          <w:rtl w:val="0"/>
          <w:lang w:val="en-US"/>
        </w:rPr>
        <w:t xml:space="preserve">— </w:t>
      </w:r>
      <w:r>
        <w:rPr>
          <w:i w:val="1"/>
          <w:iCs w:val="1"/>
          <w:sz w:val="16"/>
          <w:szCs w:val="16"/>
          <w:rtl w:val="0"/>
          <w:lang w:val="en-US"/>
        </w:rPr>
        <w:t xml:space="preserve">a revival of the aim of the New International Economic Order that was on the global agenda in the mid-1970s </w:t>
      </w:r>
      <w:r>
        <w:rPr>
          <w:i w:val="1"/>
          <w:iCs w:val="1"/>
          <w:sz w:val="16"/>
          <w:szCs w:val="16"/>
          <w:rtl w:val="0"/>
          <w:lang w:val="en-US"/>
        </w:rPr>
        <w:t xml:space="preserve">— </w:t>
      </w:r>
      <w:r>
        <w:rPr>
          <w:i w:val="1"/>
          <w:iCs w:val="1"/>
          <w:sz w:val="16"/>
          <w:szCs w:val="16"/>
          <w:rtl w:val="0"/>
          <w:lang w:val="en-US"/>
        </w:rPr>
        <w:t>and of organizing local economies with a view to social equity.' p. 279.</w:t>
      </w:r>
    </w:p>
    <w:p>
      <w:pPr>
        <w:pStyle w:val="Footnote"/>
        <w:rPr>
          <w:sz w:val="16"/>
          <w:szCs w:val="16"/>
        </w:rPr>
      </w:pPr>
    </w:p>
    <w:p>
      <w:pPr>
        <w:pStyle w:val="Footnote"/>
        <w:rPr>
          <w:rStyle w:val="None"/>
          <w:i w:val="0"/>
          <w:iCs w:val="0"/>
          <w:sz w:val="16"/>
          <w:szCs w:val="16"/>
        </w:rPr>
      </w:pPr>
      <w:r>
        <w:rPr>
          <w:rStyle w:val="None"/>
          <w:i w:val="0"/>
          <w:iCs w:val="0"/>
          <w:sz w:val="16"/>
          <w:szCs w:val="16"/>
          <w:rtl w:val="0"/>
          <w:lang w:val="de-DE"/>
        </w:rPr>
        <w:t>Robert W.</w:t>
      </w:r>
      <w:r>
        <w:rPr>
          <w:rStyle w:val="None"/>
          <w:i w:val="0"/>
          <w:iCs w:val="0"/>
          <w:sz w:val="16"/>
          <w:szCs w:val="16"/>
          <w:rtl w:val="0"/>
          <w:lang w:val="en-US"/>
        </w:rPr>
        <w:t xml:space="preserve"> Cox</w:t>
      </w:r>
      <w:r>
        <w:rPr>
          <w:rStyle w:val="None"/>
          <w:i w:val="0"/>
          <w:iCs w:val="0"/>
          <w:sz w:val="16"/>
          <w:szCs w:val="16"/>
          <w:rtl w:val="0"/>
          <w:lang w:val="en-US"/>
        </w:rPr>
        <w:t xml:space="preserve"> and Timothy J. Sinclair</w:t>
      </w:r>
      <w:r>
        <w:rPr>
          <w:rStyle w:val="None"/>
          <w:i w:val="0"/>
          <w:iCs w:val="0"/>
          <w:sz w:val="16"/>
          <w:szCs w:val="16"/>
          <w:rtl w:val="0"/>
          <w:lang w:val="en-US"/>
        </w:rPr>
        <w:t>,</w:t>
      </w:r>
      <w:r>
        <w:rPr>
          <w:rStyle w:val="None"/>
          <w:i w:val="0"/>
          <w:iCs w:val="0"/>
          <w:sz w:val="16"/>
          <w:szCs w:val="16"/>
          <w:rtl w:val="1"/>
          <w:lang w:val="ar-SA" w:bidi="ar-SA"/>
        </w:rPr>
        <w:t xml:space="preserve"> “</w:t>
      </w:r>
      <w:r>
        <w:rPr>
          <w:rStyle w:val="None"/>
          <w:i w:val="0"/>
          <w:iCs w:val="0"/>
          <w:sz w:val="16"/>
          <w:szCs w:val="16"/>
          <w:rtl w:val="0"/>
          <w:lang w:val="en-US"/>
        </w:rPr>
        <w:t>Decision Making (with Harold K. Jacobson) (1977)</w:t>
      </w:r>
      <w:r>
        <w:rPr>
          <w:rStyle w:val="None"/>
          <w:i w:val="0"/>
          <w:iCs w:val="0"/>
          <w:sz w:val="16"/>
          <w:szCs w:val="16"/>
          <w:rtl w:val="0"/>
          <w:lang w:val="en-US"/>
        </w:rPr>
        <w:t>,</w:t>
      </w:r>
      <w:r>
        <w:rPr>
          <w:rStyle w:val="None"/>
          <w:i w:val="0"/>
          <w:iCs w:val="0"/>
          <w:sz w:val="16"/>
          <w:szCs w:val="16"/>
          <w:rtl w:val="0"/>
        </w:rPr>
        <w:t xml:space="preserve">” </w:t>
      </w:r>
      <w:r>
        <w:rPr>
          <w:rStyle w:val="None"/>
          <w:i w:val="0"/>
          <w:iCs w:val="0"/>
          <w:sz w:val="16"/>
          <w:szCs w:val="16"/>
          <w:rtl w:val="0"/>
          <w:lang w:val="nl-NL"/>
        </w:rPr>
        <w:t>Chapter</w:t>
      </w:r>
      <w:r>
        <w:rPr>
          <w:rStyle w:val="None"/>
          <w:i w:val="0"/>
          <w:iCs w:val="0"/>
          <w:sz w:val="16"/>
          <w:szCs w:val="16"/>
          <w:rtl w:val="0"/>
          <w:lang w:val="en-US"/>
        </w:rPr>
        <w:t xml:space="preserve"> i</w:t>
      </w:r>
      <w:r>
        <w:rPr>
          <w:rStyle w:val="None"/>
          <w:i w:val="0"/>
          <w:iCs w:val="0"/>
          <w:sz w:val="16"/>
          <w:szCs w:val="16"/>
          <w:rtl w:val="0"/>
        </w:rPr>
        <w:t xml:space="preserve">n </w:t>
      </w:r>
      <w:r>
        <w:rPr>
          <w:i w:val="1"/>
          <w:iCs w:val="1"/>
          <w:sz w:val="16"/>
          <w:szCs w:val="16"/>
          <w:rtl w:val="0"/>
          <w:lang w:val="en-US"/>
        </w:rPr>
        <w:t>Approaches to World Order</w:t>
      </w:r>
      <w:r>
        <w:rPr>
          <w:rStyle w:val="None"/>
          <w:i w:val="0"/>
          <w:iCs w:val="0"/>
          <w:sz w:val="16"/>
          <w:szCs w:val="16"/>
          <w:rtl w:val="0"/>
        </w:rPr>
        <w:t>,</w:t>
      </w:r>
      <w:r>
        <w:rPr>
          <w:rStyle w:val="None"/>
          <w:i w:val="0"/>
          <w:iCs w:val="0"/>
          <w:sz w:val="16"/>
          <w:szCs w:val="16"/>
          <w:rtl w:val="0"/>
          <w:lang w:val="en-US"/>
        </w:rPr>
        <w:t xml:space="preserve"> (</w:t>
      </w:r>
      <w:r>
        <w:rPr>
          <w:rStyle w:val="None"/>
          <w:i w:val="0"/>
          <w:iCs w:val="0"/>
          <w:sz w:val="16"/>
          <w:szCs w:val="16"/>
          <w:rtl w:val="0"/>
          <w:lang w:val="en-US"/>
        </w:rPr>
        <w:t>Cambridge University Press, 1996</w:t>
      </w:r>
      <w:r>
        <w:rPr>
          <w:rStyle w:val="None"/>
          <w:i w:val="0"/>
          <w:iCs w:val="0"/>
          <w:sz w:val="16"/>
          <w:szCs w:val="16"/>
          <w:rtl w:val="0"/>
          <w:lang w:val="en-US"/>
        </w:rPr>
        <w:t>) pp. 356-357, 363, 364-367:</w:t>
      </w:r>
    </w:p>
    <w:p>
      <w:pPr>
        <w:pStyle w:val="Footnote"/>
        <w:rPr>
          <w:rStyle w:val="None"/>
          <w:i w:val="0"/>
          <w:iCs w:val="0"/>
          <w:sz w:val="16"/>
          <w:szCs w:val="16"/>
        </w:rPr>
      </w:pPr>
    </w:p>
    <w:p>
      <w:pPr>
        <w:pStyle w:val="Footnote"/>
        <w:rPr>
          <w:i w:val="1"/>
          <w:iCs w:val="1"/>
          <w:sz w:val="16"/>
          <w:szCs w:val="16"/>
        </w:rPr>
      </w:pPr>
      <w:r>
        <w:rPr>
          <w:i w:val="1"/>
          <w:iCs w:val="1"/>
          <w:sz w:val="16"/>
          <w:szCs w:val="16"/>
          <w:rtl w:val="0"/>
          <w:lang w:val="en-US"/>
        </w:rPr>
        <w:t>'Since the above-mentioned study was concluded, further developments have occurred that seem to indicate a period of more profound and accelerating change in world power relations, including the breakdown of the Bretton Woods system of fixed exchange rates, the dramatic increase in the price of petroleum and the consequential changes in the monetary position of states, the US withdrawal from Indochina, the crumbling of the outer ring surrounding the white minority bastion in southern Africa, continuing momentum of the non-aligned countries in advocating a new international economic order (NIEO), and more active participation of the People's Republic of China in world affairs. These developments cut across the conventional distinctions between the political and the economic, between state and society. Political and economic, public and private, have to be linked together within the structuring notion of the world system. Whereas the focus of interest in the earlier study was on the interactions of individuals in the internal processes of existing intergovernmental agencies, now the decision process is to be conceived in broader terms as the generating of new and modified forms of international organization. What goes on within particular agencies can only be a small part of the total process that is to be seized by the analyst. Such an enlargement of the scope of enquiry calls for some redefinition of the concepts appropriate to it.</w:t>
      </w:r>
    </w:p>
    <w:p>
      <w:pPr>
        <w:pStyle w:val="Footnote"/>
        <w:rPr>
          <w:i w:val="1"/>
          <w:iCs w:val="1"/>
          <w:sz w:val="16"/>
          <w:szCs w:val="16"/>
        </w:rPr>
      </w:pPr>
    </w:p>
    <w:p>
      <w:pPr>
        <w:pStyle w:val="Footnote"/>
        <w:rPr>
          <w:i w:val="1"/>
          <w:iCs w:val="1"/>
          <w:sz w:val="16"/>
          <w:szCs w:val="16"/>
        </w:rPr>
      </w:pPr>
      <w:r>
        <w:rPr>
          <w:i w:val="1"/>
          <w:iCs w:val="1"/>
          <w:sz w:val="16"/>
          <w:szCs w:val="16"/>
          <w:rtl w:val="0"/>
          <w:lang w:val="en-US"/>
        </w:rPr>
        <w:t>The thesis presented here is that for the late 1970s. A somewhat different approach to the study of decision making in international organization is required than the approach we adopted in the late 1960s.' pp. 356-357.</w:t>
      </w:r>
    </w:p>
    <w:p>
      <w:pPr>
        <w:pStyle w:val="Footnote"/>
        <w:rPr>
          <w:i w:val="1"/>
          <w:iCs w:val="1"/>
          <w:sz w:val="16"/>
          <w:szCs w:val="16"/>
        </w:rPr>
      </w:pPr>
    </w:p>
    <w:p>
      <w:pPr>
        <w:pStyle w:val="Footnote"/>
        <w:rPr>
          <w:i w:val="1"/>
          <w:iCs w:val="1"/>
          <w:sz w:val="16"/>
          <w:szCs w:val="16"/>
        </w:rPr>
      </w:pPr>
      <w:r>
        <w:rPr>
          <w:i w:val="1"/>
          <w:iCs w:val="1"/>
          <w:sz w:val="16"/>
          <w:szCs w:val="16"/>
          <w:rtl w:val="0"/>
          <w:lang w:val="en-US"/>
        </w:rPr>
        <w:t>'</w:t>
      </w:r>
      <w:r>
        <w:rPr>
          <w:i w:val="1"/>
          <w:iCs w:val="1"/>
          <w:sz w:val="16"/>
          <w:szCs w:val="16"/>
          <w:rtl w:val="0"/>
          <w:lang w:val="en-US"/>
        </w:rPr>
        <w:t xml:space="preserve">At the present juncture, the demand for a NIEO expresses a counterhegemonic force in the form of a consensus among a large number of Third World countries. To maintain this consensus is the first condition for an effective challenge. This is difficult because in the existing world economy the interests of Third World countries are to some degree competitive. Moreover, it is a consensus among governments with very different policies </w:t>
      </w:r>
      <w:r>
        <w:rPr>
          <w:i w:val="1"/>
          <w:iCs w:val="1"/>
          <w:sz w:val="16"/>
          <w:szCs w:val="16"/>
          <w:rtl w:val="0"/>
          <w:lang w:val="en-US"/>
        </w:rPr>
        <w:t xml:space="preserve">— </w:t>
      </w:r>
      <w:r>
        <w:rPr>
          <w:i w:val="1"/>
          <w:iCs w:val="1"/>
          <w:sz w:val="16"/>
          <w:szCs w:val="16"/>
          <w:rtl w:val="0"/>
          <w:lang w:val="en-US"/>
        </w:rPr>
        <w:t>from those seeking growth through attracting foreign investment to those favoring greater self-reliance, from those seeking to mobilize domestic populations and widen popular participation to those using coercion to obstruct any such developments. Nevertheless, the consensus has been maintained and encouraged by such manifestations of a shift in world power as the rise in petroleum prices, the withdrawal of the United States form Indochina, and the setbacks to white minority government in southern Africa.</w:t>
      </w:r>
      <w:r>
        <w:rPr>
          <w:i w:val="1"/>
          <w:iCs w:val="1"/>
          <w:sz w:val="16"/>
          <w:szCs w:val="16"/>
          <w:rtl w:val="0"/>
          <w:lang w:val="en-US"/>
        </w:rPr>
        <w:t>' pp. 364-367.</w:t>
      </w:r>
    </w:p>
    <w:p>
      <w:pPr>
        <w:pStyle w:val="Footnote"/>
        <w:rPr>
          <w:sz w:val="16"/>
          <w:szCs w:val="16"/>
        </w:rPr>
      </w:pPr>
    </w:p>
    <w:p>
      <w:pPr>
        <w:pStyle w:val="Footnote"/>
      </w:pPr>
      <w:r>
        <w:rPr>
          <w:sz w:val="16"/>
          <w:szCs w:val="16"/>
          <w:rtl w:val="0"/>
          <w:lang w:val="en-US"/>
        </w:rPr>
        <w:t xml:space="preserve">To appreciate the significance of this period, and the NIEO, on Cox' thinking about changing world order, see: Robert W. Cox and Michael G. Schechter, </w:t>
      </w:r>
      <w:r>
        <w:rPr>
          <w:rStyle w:val="None"/>
          <w:i w:val="1"/>
          <w:iCs w:val="1"/>
          <w:sz w:val="16"/>
          <w:szCs w:val="16"/>
          <w:rtl w:val="0"/>
          <w:lang w:val="en-US"/>
        </w:rPr>
        <w:t>The Political Economy of a Plural World: Critical Reflections on Power, Morals and Civilization</w:t>
      </w:r>
      <w:r>
        <w:rPr>
          <w:sz w:val="16"/>
          <w:szCs w:val="16"/>
          <w:rtl w:val="0"/>
          <w:lang w:val="en-US"/>
        </w:rPr>
        <w:t>, (Routledge, 2003), pp. 7-8, 37, 39-40, 80-81, 94, 96, 101, 184-185, [</w:t>
      </w:r>
      <w:r>
        <w:rPr>
          <w:rStyle w:val="Hyperlink.0"/>
          <w:sz w:val="16"/>
          <w:szCs w:val="16"/>
        </w:rPr>
        <w:fldChar w:fldCharType="begin" w:fldLock="0"/>
      </w:r>
      <w:r>
        <w:rPr>
          <w:rStyle w:val="Hyperlink.0"/>
          <w:sz w:val="16"/>
          <w:szCs w:val="16"/>
        </w:rPr>
        <w:instrText xml:space="preserve"> HYPERLINK "http://www.untag-smd.ac.id/files/Perpustakaan_Digital_2/POLITICAL%20ECONOMY%20Political%20economy%20of%20a%20plural%20world%20Critical%20reflections%20on%20power%20morals%20and%20ci.pdf"</w:instrText>
      </w:r>
      <w:r>
        <w:rPr>
          <w:rStyle w:val="Hyperlink.0"/>
          <w:sz w:val="16"/>
          <w:szCs w:val="16"/>
        </w:rPr>
        <w:fldChar w:fldCharType="separate" w:fldLock="0"/>
      </w:r>
      <w:r>
        <w:rPr>
          <w:rStyle w:val="Hyperlink.0"/>
          <w:sz w:val="16"/>
          <w:szCs w:val="16"/>
          <w:rtl w:val="0"/>
          <w:lang w:val="en-US"/>
        </w:rPr>
        <w:t>http://www.untag-smd.ac.id/files/Perpustakaan_Digital_2/POLITICAL ECONOMY Political economy of a plural world Critical reflections on power morals and ci.pdf</w:t>
      </w:r>
      <w:r>
        <w:rPr>
          <w:sz w:val="16"/>
          <w:szCs w:val="16"/>
        </w:rPr>
        <w:fldChar w:fldCharType="end" w:fldLock="0"/>
      </w:r>
      <w:r>
        <w:rPr>
          <w:sz w:val="16"/>
          <w:szCs w:val="16"/>
          <w:rtl w:val="0"/>
          <w:lang w:val="en-US"/>
        </w:rPr>
        <w:t xml:space="preserve">] </w:t>
      </w:r>
    </w:p>
  </w:footnote>
  <w:footnote w:id="113">
    <w:p>
      <w:pPr>
        <w:pStyle w:val="Footnote"/>
      </w:pPr>
      <w:r>
        <w:rPr>
          <w:rStyle w:val="None"/>
          <w:sz w:val="16"/>
          <w:szCs w:val="16"/>
          <w:vertAlign w:val="superscript"/>
        </w:rPr>
        <w:footnoteRef/>
      </w:r>
      <w:r>
        <w:rPr>
          <w:sz w:val="16"/>
          <w:szCs w:val="16"/>
          <w:rtl w:val="0"/>
        </w:rPr>
        <w:t xml:space="preserve"> </w:t>
      </w:r>
    </w:p>
  </w:footnote>
  <w:footnote w:id="114">
    <w:p>
      <w:pPr>
        <w:pStyle w:val="Footnote"/>
        <w:rPr>
          <w:sz w:val="16"/>
          <w:szCs w:val="16"/>
        </w:rPr>
      </w:pPr>
      <w:r>
        <w:rPr>
          <w:rStyle w:val="None"/>
          <w:sz w:val="16"/>
          <w:szCs w:val="16"/>
          <w:vertAlign w:val="superscript"/>
        </w:rPr>
        <w:footnoteRef/>
      </w:r>
      <w:r>
        <w:rPr>
          <w:sz w:val="16"/>
          <w:szCs w:val="16"/>
          <w:rtl w:val="0"/>
          <w:lang w:val="it-IT"/>
        </w:rPr>
        <w:t xml:space="preserve"> Jagdish N. Bhagwati and John Gerard Ruggie, </w:t>
      </w:r>
      <w:r>
        <w:rPr>
          <w:rStyle w:val="None"/>
          <w:i w:val="1"/>
          <w:iCs w:val="1"/>
          <w:sz w:val="16"/>
          <w:szCs w:val="16"/>
          <w:rtl w:val="0"/>
          <w:lang w:val="en-US"/>
        </w:rPr>
        <w:t>Power, Passions, and Purpose: Prospects for North-South Negotiations</w:t>
      </w:r>
      <w:r>
        <w:rPr>
          <w:sz w:val="16"/>
          <w:szCs w:val="16"/>
          <w:rtl w:val="0"/>
          <w:lang w:val="it-IT"/>
        </w:rPr>
        <w:t>, ed. Jagdish N. Bhagwati and John Gerard Ruggie (MIT Press, 1984), p. 325</w:t>
      </w:r>
      <w:r>
        <w:rPr>
          <w:sz w:val="16"/>
          <w:szCs w:val="16"/>
          <w:rtl w:val="0"/>
          <w:lang w:val="en-US"/>
        </w:rPr>
        <w:t xml:space="preserve">; Robert W. Cox, </w:t>
      </w:r>
      <w:r>
        <w:rPr>
          <w:sz w:val="16"/>
          <w:szCs w:val="16"/>
          <w:rtl w:val="0"/>
          <w:lang w:val="en-US"/>
        </w:rPr>
        <w:t>"Social Forces, States and World Orders: Beyond International Relations Theory," Millennium 10 no. 2 (1981), pp. 1</w:t>
      </w:r>
      <w:r>
        <w:rPr>
          <w:sz w:val="16"/>
          <w:szCs w:val="16"/>
          <w:rtl w:val="0"/>
          <w:lang w:val="en-US"/>
        </w:rPr>
        <w:t>51</w:t>
      </w:r>
      <w:r>
        <w:rPr>
          <w:sz w:val="16"/>
          <w:szCs w:val="16"/>
          <w:rtl w:val="0"/>
          <w:lang w:val="en-US"/>
        </w:rPr>
        <w:t>, https://doi.org/10.1177/03058298810100020501</w:t>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This confirm</w:t>
      </w:r>
      <w:r>
        <w:rPr>
          <w:sz w:val="16"/>
          <w:szCs w:val="16"/>
          <w:rtl w:val="0"/>
          <w:lang w:val="en-US"/>
        </w:rPr>
        <w:t>s</w:t>
      </w:r>
      <w:r>
        <w:rPr>
          <w:sz w:val="16"/>
          <w:szCs w:val="16"/>
          <w:rtl w:val="0"/>
          <w:lang w:val="en-US"/>
        </w:rPr>
        <w:t xml:space="preserve"> the work of John Hobson</w:t>
      </w:r>
      <w:r>
        <w:rPr>
          <w:sz w:val="16"/>
          <w:szCs w:val="16"/>
          <w:rtl w:val="0"/>
          <w:lang w:val="en-US"/>
        </w:rPr>
        <w:t xml:space="preserve"> and</w:t>
      </w:r>
      <w:r>
        <w:rPr>
          <w:sz w:val="16"/>
          <w:szCs w:val="16"/>
          <w:rtl w:val="0"/>
        </w:rPr>
        <w:t xml:space="preserve"> Alina Sajed</w:t>
      </w:r>
      <w:r>
        <w:rPr>
          <w:sz w:val="16"/>
          <w:szCs w:val="16"/>
          <w:rtl w:val="0"/>
          <w:lang w:val="en-US"/>
        </w:rPr>
        <w:t>, who</w:t>
      </w:r>
      <w:r>
        <w:rPr>
          <w:sz w:val="16"/>
          <w:szCs w:val="16"/>
          <w:rtl w:val="0"/>
          <w:lang w:val="en-US"/>
        </w:rPr>
        <w:t xml:space="preserve"> argued that Critical International Relations Theory perpetuates the same Eurocentric myths as Orthodox IR.</w:t>
      </w:r>
      <w:r>
        <w:rPr>
          <w:sz w:val="16"/>
          <w:szCs w:val="16"/>
          <w:rtl w:val="0"/>
          <w:lang w:val="en-US"/>
        </w:rPr>
        <w:t xml:space="preserve"> See:</w:t>
      </w:r>
    </w:p>
    <w:p>
      <w:pPr>
        <w:pStyle w:val="Footnote"/>
        <w:rPr>
          <w:sz w:val="16"/>
          <w:szCs w:val="16"/>
        </w:rPr>
      </w:pPr>
    </w:p>
    <w:p>
      <w:pPr>
        <w:pStyle w:val="Footnote"/>
        <w:rPr>
          <w:sz w:val="16"/>
          <w:szCs w:val="16"/>
        </w:rPr>
      </w:pPr>
      <w:r>
        <w:rPr>
          <w:sz w:val="16"/>
          <w:szCs w:val="16"/>
          <w:rtl w:val="0"/>
          <w:lang w:val="en-US"/>
        </w:rPr>
        <w:t xml:space="preserve">John M. Hobson and Alina Sajed, "Navigating Beyond the Eurofetishist Frontier of Critical IR Theory: Exploring the Complex Landscapes of Non-Western Agency," </w:t>
      </w:r>
      <w:r>
        <w:rPr>
          <w:rStyle w:val="None"/>
          <w:i w:val="1"/>
          <w:iCs w:val="1"/>
          <w:sz w:val="16"/>
          <w:szCs w:val="16"/>
          <w:rtl w:val="0"/>
          <w:lang w:val="en-US"/>
        </w:rPr>
        <w:t>International Studies Review</w:t>
      </w:r>
      <w:r>
        <w:rPr>
          <w:sz w:val="16"/>
          <w:szCs w:val="16"/>
          <w:rtl w:val="0"/>
          <w:lang w:val="de-DE"/>
        </w:rPr>
        <w:t xml:space="preserve">  (2017), https://doi.org/10.1093/isr/vix013.</w:t>
      </w:r>
    </w:p>
    <w:p>
      <w:pPr>
        <w:pStyle w:val="Footnote"/>
        <w:rPr>
          <w:sz w:val="16"/>
          <w:szCs w:val="16"/>
        </w:rPr>
      </w:pPr>
    </w:p>
    <w:p>
      <w:pPr>
        <w:pStyle w:val="Footnote"/>
      </w:pPr>
      <w:r>
        <w:rPr>
          <w:sz w:val="16"/>
          <w:szCs w:val="16"/>
          <w:rtl w:val="0"/>
          <w:lang w:val="en-US"/>
        </w:rPr>
        <w:t xml:space="preserve">This aspect of Critical IR Theory is also raised by Amitav Acharya, in his project of building a Global IR. See: </w:t>
      </w:r>
      <w:r>
        <w:rPr>
          <w:sz w:val="16"/>
          <w:szCs w:val="16"/>
          <w:rtl w:val="0"/>
          <w:lang w:val="en-US"/>
        </w:rPr>
        <w:t xml:space="preserve">Amitav Acharya, "Global International Relations (IR) and Regional Worlds," International Studies Quarterly 58, no. 4 (2014), </w:t>
      </w:r>
      <w:r>
        <w:rPr>
          <w:sz w:val="16"/>
          <w:szCs w:val="16"/>
          <w:rtl w:val="0"/>
          <w:lang w:val="en-US"/>
        </w:rPr>
        <w:t xml:space="preserve">p. 651, </w:t>
      </w:r>
      <w:r>
        <w:rPr>
          <w:sz w:val="16"/>
          <w:szCs w:val="16"/>
          <w:rtl w:val="0"/>
          <w:lang w:val="en-US"/>
        </w:rPr>
        <w:t>https://doi.org/10.1111/isqu.12171</w:t>
      </w:r>
      <w:r>
        <w:rPr>
          <w:sz w:val="16"/>
          <w:szCs w:val="16"/>
          <w:rtl w:val="0"/>
          <w:lang w:val="en-US"/>
        </w:rPr>
        <w:t>.</w:t>
      </w:r>
    </w:p>
  </w:footnote>
  <w:footnote w:id="115">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Susan Strange, </w:t>
      </w:r>
      <w:r>
        <w:rPr>
          <w:rStyle w:val="None"/>
          <w:i w:val="1"/>
          <w:iCs w:val="1"/>
          <w:sz w:val="16"/>
          <w:szCs w:val="16"/>
          <w:rtl w:val="0"/>
          <w:lang w:val="en-US"/>
        </w:rPr>
        <w:t xml:space="preserve">States and Markets </w:t>
      </w:r>
      <w:r>
        <w:rPr>
          <w:sz w:val="16"/>
          <w:szCs w:val="16"/>
          <w:rtl w:val="0"/>
          <w:lang w:val="en-US"/>
        </w:rPr>
        <w:t>(Bloomsbury, 2015), p. 263.</w:t>
      </w:r>
    </w:p>
  </w:footnote>
  <w:footnote w:id="116">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Hobson, </w:t>
      </w:r>
      <w:r>
        <w:rPr>
          <w:rStyle w:val="None"/>
          <w:i w:val="1"/>
          <w:iCs w:val="1"/>
          <w:sz w:val="16"/>
          <w:szCs w:val="16"/>
          <w:rtl w:val="0"/>
          <w:lang w:val="en-US"/>
        </w:rPr>
        <w:t>Eurocentric Conception of World Politics</w:t>
      </w:r>
      <w:r>
        <w:rPr>
          <w:sz w:val="16"/>
          <w:szCs w:val="16"/>
          <w:rtl w:val="0"/>
          <w:lang w:val="en-US"/>
        </w:rPr>
        <w:t xml:space="preserve">, 2012. </w:t>
      </w:r>
    </w:p>
  </w:footnote>
  <w:footnote w:id="117">
    <w:p>
      <w:pPr>
        <w:pStyle w:val="Footnote"/>
      </w:pPr>
      <w:r>
        <w:rPr>
          <w:rStyle w:val="None"/>
          <w:sz w:val="16"/>
          <w:szCs w:val="16"/>
          <w:vertAlign w:val="superscript"/>
        </w:rPr>
        <w:footnoteRef/>
      </w:r>
      <w:r>
        <w:rPr>
          <w:sz w:val="16"/>
          <w:szCs w:val="16"/>
          <w:rtl w:val="0"/>
        </w:rPr>
        <w:t xml:space="preserve"> Vijay</w:t>
      </w:r>
      <w:r>
        <w:rPr>
          <w:sz w:val="16"/>
          <w:szCs w:val="16"/>
          <w:rtl w:val="0"/>
          <w:lang w:val="en-US"/>
        </w:rPr>
        <w:t xml:space="preserve"> Prashad</w:t>
      </w:r>
      <w:r>
        <w:rPr>
          <w:sz w:val="16"/>
          <w:szCs w:val="16"/>
          <w:rtl w:val="0"/>
        </w:rPr>
        <w:t xml:space="preserve">. </w:t>
      </w:r>
      <w:r>
        <w:rPr>
          <w:rStyle w:val="None"/>
          <w:i w:val="1"/>
          <w:iCs w:val="1"/>
          <w:sz w:val="16"/>
          <w:szCs w:val="16"/>
          <w:rtl w:val="0"/>
          <w:lang w:val="en-US"/>
        </w:rPr>
        <w:t>The Darker Nations</w:t>
      </w:r>
      <w:r>
        <w:rPr>
          <w:rStyle w:val="None"/>
          <w:i w:val="1"/>
          <w:iCs w:val="1"/>
          <w:sz w:val="16"/>
          <w:szCs w:val="16"/>
          <w:rtl w:val="0"/>
          <w:lang w:val="en-US"/>
        </w:rPr>
        <w:t>: A</w:t>
      </w:r>
      <w:r>
        <w:rPr>
          <w:rStyle w:val="None"/>
          <w:i w:val="1"/>
          <w:iCs w:val="1"/>
          <w:sz w:val="16"/>
          <w:szCs w:val="16"/>
          <w:rtl w:val="0"/>
          <w:lang w:val="en-US"/>
        </w:rPr>
        <w:t xml:space="preserve"> Biography Of The Short-Lived Third World</w:t>
      </w:r>
      <w:r>
        <w:rPr>
          <w:sz w:val="16"/>
          <w:szCs w:val="16"/>
          <w:rtl w:val="0"/>
          <w:lang w:val="en-US"/>
        </w:rPr>
        <w:t>. Leftword Books, 2007</w:t>
      </w:r>
      <w:r>
        <w:rPr>
          <w:sz w:val="16"/>
          <w:szCs w:val="16"/>
          <w:rtl w:val="0"/>
          <w:lang w:val="en-US"/>
        </w:rPr>
        <w:t>,</w:t>
      </w:r>
      <w:r>
        <w:rPr>
          <w:rStyle w:val="None"/>
          <w:sz w:val="16"/>
          <w:szCs w:val="16"/>
          <w:shd w:val="clear" w:color="auto" w:fill="ffffff"/>
          <w:rtl w:val="0"/>
        </w:rPr>
        <w:t xml:space="preserve"> p. xvii.</w:t>
      </w:r>
    </w:p>
  </w:footnote>
  <w:footnote w:id="118">
    <w:p>
      <w:pPr>
        <w:pStyle w:val="Default"/>
        <w:bidi w:val="0"/>
        <w:spacing w:before="0" w:line="280" w:lineRule="atLeast"/>
        <w:ind w:left="0" w:right="0" w:firstLine="0"/>
        <w:jc w:val="left"/>
        <w:rPr>
          <w:rtl w:val="0"/>
        </w:rPr>
      </w:pPr>
      <w:r>
        <w:rPr>
          <w:rStyle w:val="None"/>
          <w:sz w:val="16"/>
          <w:szCs w:val="16"/>
          <w:u w:color="000000"/>
          <w:vertAlign w:val="superscript"/>
          <w:rtl w:val="0"/>
          <w:lang w:val="en-US"/>
          <w14:textOutline w14:w="12700" w14:cap="flat">
            <w14:noFill/>
            <w14:miter w14:lim="400000"/>
          </w14:textOutline>
        </w:rPr>
        <w:footnoteRef/>
      </w:r>
      <w:r>
        <w:rPr>
          <w:sz w:val="16"/>
          <w:szCs w:val="16"/>
          <w:u w:color="000000"/>
          <w:rtl w:val="0"/>
          <w:lang w:val="en-US"/>
          <w14:textOutline w14:w="12700" w14:cap="flat">
            <w14:noFill/>
            <w14:miter w14:lim="400000"/>
          </w14:textOutline>
        </w:rPr>
        <w:t xml:space="preserve"> </w:t>
      </w:r>
      <w:r>
        <w:rPr>
          <w:sz w:val="16"/>
          <w:szCs w:val="16"/>
          <w:u w:color="000000"/>
          <w:rtl w:val="0"/>
          <w:lang w:val="en-US"/>
          <w14:textOutline w14:w="12700" w14:cap="flat">
            <w14:noFill/>
            <w14:miter w14:lim="400000"/>
          </w14:textOutline>
        </w:rPr>
        <w:t>Nils</w:t>
      </w:r>
      <w:r>
        <w:rPr>
          <w:sz w:val="16"/>
          <w:szCs w:val="16"/>
          <w:u w:color="000000"/>
          <w:rtl w:val="0"/>
          <w:lang w:val="en-US"/>
          <w14:textOutline w14:w="12700" w14:cap="flat">
            <w14:noFill/>
            <w14:miter w14:lim="400000"/>
          </w14:textOutline>
        </w:rPr>
        <w:t xml:space="preserve"> Gilman,</w:t>
      </w:r>
      <w:r>
        <w:rPr>
          <w:sz w:val="16"/>
          <w:szCs w:val="16"/>
          <w:u w:color="000000"/>
          <w:rtl w:val="0"/>
          <w:lang w:val="en-US"/>
          <w14:textOutline w14:w="12700" w14:cap="flat">
            <w14:noFill/>
            <w14:miter w14:lim="400000"/>
          </w14:textOutline>
        </w:rPr>
        <w:t xml:space="preserve"> "The New International Economic Order: A Reintroduction</w:t>
      </w:r>
      <w:r>
        <w:rPr>
          <w:sz w:val="16"/>
          <w:szCs w:val="16"/>
          <w:u w:color="000000"/>
          <w:rtl w:val="0"/>
          <w:lang w:val="en-US"/>
          <w14:textOutline w14:w="12700" w14:cap="flat">
            <w14:noFill/>
            <w14:miter w14:lim="400000"/>
          </w14:textOutline>
        </w:rPr>
        <w:t>,</w:t>
      </w:r>
      <w:r>
        <w:rPr>
          <w:sz w:val="16"/>
          <w:szCs w:val="16"/>
          <w:u w:color="000000"/>
          <w:rtl w:val="0"/>
          <w:lang w:val="en-US"/>
          <w14:textOutline w14:w="12700" w14:cap="flat">
            <w14:noFill/>
            <w14:miter w14:lim="400000"/>
          </w14:textOutline>
        </w:rPr>
        <w:t xml:space="preserve">" </w:t>
      </w:r>
      <w:r>
        <w:rPr>
          <w:rStyle w:val="None"/>
          <w:i w:val="1"/>
          <w:iCs w:val="1"/>
          <w:sz w:val="16"/>
          <w:szCs w:val="16"/>
          <w:u w:color="000000"/>
          <w:rtl w:val="0"/>
          <w:lang w:val="en-US"/>
          <w14:textOutline w14:w="12700" w14:cap="flat">
            <w14:noFill/>
            <w14:miter w14:lim="400000"/>
          </w14:textOutline>
        </w:rPr>
        <w:t>Humanity: An International Journal of Human Rights, Humanitarianism, and Development</w:t>
      </w:r>
      <w:r>
        <w:rPr>
          <w:sz w:val="16"/>
          <w:szCs w:val="16"/>
          <w:u w:color="000000"/>
          <w:rtl w:val="0"/>
          <w:lang w:val="en-US"/>
          <w14:textOutline w14:w="12700" w14:cap="flat">
            <w14:noFill/>
            <w14:miter w14:lim="400000"/>
          </w14:textOutline>
        </w:rPr>
        <w:t xml:space="preserve"> 6, no. 1 (2015):</w:t>
      </w:r>
      <w:r>
        <w:rPr>
          <w:sz w:val="16"/>
          <w:szCs w:val="16"/>
          <w:u w:color="000000"/>
          <w:rtl w:val="0"/>
          <w:lang w:val="en-US"/>
          <w14:textOutline w14:w="12700" w14:cap="flat">
            <w14:noFill/>
            <w14:miter w14:lim="400000"/>
          </w14:textOutline>
        </w:rPr>
        <w:t xml:space="preserve"> p. 9,</w:t>
      </w:r>
      <w:r>
        <w:rPr>
          <w:sz w:val="16"/>
          <w:szCs w:val="16"/>
          <w:u w:color="000000"/>
          <w:rtl w:val="0"/>
          <w:lang w:val="en-US"/>
          <w14:textOutline w14:w="12700" w14:cap="flat">
            <w14:noFill/>
            <w14:miter w14:lim="400000"/>
          </w14:textOutline>
        </w:rPr>
        <w:t xml:space="preserve"> </w:t>
      </w:r>
      <w:r>
        <w:rPr>
          <w:rStyle w:val="Hyperlink.3"/>
          <w:sz w:val="16"/>
          <w:szCs w:val="16"/>
          <w:u w:color="000000"/>
          <w:rtl w:val="0"/>
          <w:lang w:val="en-US"/>
          <w14:textOutline w14:w="12700" w14:cap="flat">
            <w14:noFill/>
            <w14:miter w14:lim="400000"/>
          </w14:textOutline>
        </w:rPr>
        <w:fldChar w:fldCharType="begin" w:fldLock="0"/>
      </w:r>
      <w:r>
        <w:rPr>
          <w:rStyle w:val="Hyperlink.3"/>
          <w:sz w:val="16"/>
          <w:szCs w:val="16"/>
          <w:u w:color="000000"/>
          <w:rtl w:val="0"/>
          <w:lang w:val="en-US"/>
          <w14:textOutline w14:w="12700" w14:cap="flat">
            <w14:noFill/>
            <w14:miter w14:lim="400000"/>
          </w14:textOutline>
        </w:rPr>
        <w:instrText xml:space="preserve"> HYPERLINK "https://doi.org/10.1353/hum.2015.0008"</w:instrText>
      </w:r>
      <w:r>
        <w:rPr>
          <w:rStyle w:val="Hyperlink.3"/>
          <w:sz w:val="16"/>
          <w:szCs w:val="16"/>
          <w:u w:color="000000"/>
          <w:rtl w:val="0"/>
          <w:lang w:val="en-US"/>
          <w14:textOutline w14:w="12700" w14:cap="flat">
            <w14:noFill/>
            <w14:miter w14:lim="400000"/>
          </w14:textOutline>
        </w:rPr>
        <w:fldChar w:fldCharType="separate" w:fldLock="0"/>
      </w:r>
      <w:r>
        <w:rPr>
          <w:rStyle w:val="Hyperlink.3"/>
          <w:sz w:val="16"/>
          <w:szCs w:val="16"/>
          <w:u w:color="000000"/>
          <w:rtl w:val="0"/>
          <w:lang w:val="en-US"/>
          <w14:textOutline w14:w="12700" w14:cap="flat">
            <w14:noFill/>
            <w14:miter w14:lim="400000"/>
          </w14:textOutline>
        </w:rPr>
        <w:t>https://doi.org/10.1353/hum.2015.0008</w:t>
      </w:r>
      <w:r>
        <w:rPr>
          <w:sz w:val="16"/>
          <w:szCs w:val="16"/>
          <w:u w:color="000000"/>
          <w:rtl w:val="0"/>
          <w:lang w:val="en-US"/>
          <w14:textOutline w14:w="12700" w14:cap="flat">
            <w14:noFill/>
            <w14:miter w14:lim="400000"/>
          </w14:textOutline>
        </w:rPr>
        <w:fldChar w:fldCharType="end" w:fldLock="0"/>
      </w:r>
      <w:r>
        <w:rPr>
          <w:sz w:val="16"/>
          <w:szCs w:val="16"/>
          <w:u w:color="000000"/>
          <w:rtl w:val="0"/>
          <w:lang w:val="en-US"/>
          <w14:textOutline w14:w="12700" w14:cap="flat">
            <w14:noFill/>
            <w14:miter w14:lim="400000"/>
          </w14:textOutline>
        </w:rPr>
        <w:t>.</w:t>
      </w:r>
    </w:p>
  </w:footnote>
  <w:footnote w:id="119">
    <w:p>
      <w:pPr>
        <w:pStyle w:val="Default"/>
        <w:bidi w:val="0"/>
        <w:spacing w:before="0" w:line="280" w:lineRule="atLeast"/>
        <w:ind w:left="0" w:right="0" w:firstLine="0"/>
        <w:jc w:val="left"/>
        <w:rPr>
          <w:rtl w:val="0"/>
        </w:rPr>
      </w:pPr>
      <w:r>
        <w:rPr>
          <w:rStyle w:val="None"/>
          <w:sz w:val="16"/>
          <w:szCs w:val="16"/>
          <w:u w:color="000000"/>
          <w:vertAlign w:val="superscript"/>
          <w:rtl w:val="0"/>
          <w:lang w:val="en-US"/>
          <w14:textOutline w14:w="12700" w14:cap="flat">
            <w14:noFill/>
            <w14:miter w14:lim="400000"/>
          </w14:textOutline>
        </w:rPr>
        <w:footnoteRef/>
      </w:r>
      <w:r>
        <w:rPr>
          <w:sz w:val="16"/>
          <w:szCs w:val="16"/>
          <w:u w:color="000000"/>
          <w:rtl w:val="0"/>
          <w:lang w:val="en-US"/>
          <w14:textOutline w14:w="12700" w14:cap="flat">
            <w14:noFill/>
            <w14:miter w14:lim="400000"/>
          </w14:textOutline>
        </w:rPr>
        <w:t xml:space="preserve"> </w:t>
      </w:r>
      <w:r>
        <w:rPr>
          <w:sz w:val="16"/>
          <w:szCs w:val="16"/>
          <w:u w:color="000000"/>
          <w:rtl w:val="0"/>
          <w:lang w:val="en-US"/>
          <w14:textOutline w14:w="12700" w14:cap="flat">
            <w14:noFill/>
            <w14:miter w14:lim="400000"/>
          </w14:textOutline>
        </w:rPr>
        <w:t>Ibid.</w:t>
      </w:r>
    </w:p>
  </w:footnote>
  <w:footnote w:id="120">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E.H. Carr, </w:t>
      </w:r>
      <w:r>
        <w:rPr>
          <w:rStyle w:val="None"/>
          <w:i w:val="1"/>
          <w:iCs w:val="1"/>
          <w:sz w:val="16"/>
          <w:szCs w:val="16"/>
          <w:rtl w:val="0"/>
          <w:lang w:val="en-US"/>
        </w:rPr>
        <w:t>What is History?</w:t>
      </w:r>
      <w:r>
        <w:rPr>
          <w:sz w:val="16"/>
          <w:szCs w:val="16"/>
          <w:rtl w:val="0"/>
          <w:lang w:val="en-US"/>
        </w:rPr>
        <w:t xml:space="preserve"> (Penguin, 2008), pp. 96-98; </w:t>
      </w:r>
      <w:r>
        <w:rPr>
          <w:sz w:val="16"/>
          <w:szCs w:val="16"/>
          <w:rtl w:val="0"/>
          <w:lang w:val="de-DE"/>
        </w:rPr>
        <w:t>Robert W.</w:t>
      </w:r>
      <w:r>
        <w:rPr>
          <w:sz w:val="16"/>
          <w:szCs w:val="16"/>
          <w:rtl w:val="0"/>
          <w:lang w:val="en-US"/>
        </w:rPr>
        <w:t xml:space="preserve"> Cox</w:t>
      </w:r>
      <w:r>
        <w:rPr>
          <w:sz w:val="16"/>
          <w:szCs w:val="16"/>
          <w:rtl w:val="0"/>
        </w:rPr>
        <w:t>,</w:t>
      </w:r>
      <w:r>
        <w:rPr>
          <w:sz w:val="16"/>
          <w:szCs w:val="16"/>
          <w:rtl w:val="0"/>
          <w:lang w:val="en-US"/>
        </w:rPr>
        <w:t xml:space="preserve"> </w:t>
      </w:r>
      <w:r>
        <w:rPr>
          <w:sz w:val="16"/>
          <w:szCs w:val="16"/>
          <w:rtl w:val="1"/>
        </w:rPr>
        <w:t>“‘</w:t>
      </w:r>
      <w:r>
        <w:rPr>
          <w:sz w:val="16"/>
          <w:szCs w:val="16"/>
          <w:rtl w:val="0"/>
          <w:lang w:val="pt-PT"/>
        </w:rPr>
        <w:t>Real Socialism</w:t>
      </w:r>
      <w:r>
        <w:rPr>
          <w:sz w:val="16"/>
          <w:szCs w:val="16"/>
          <w:rtl w:val="1"/>
        </w:rPr>
        <w:t xml:space="preserve">’ </w:t>
      </w:r>
      <w:r>
        <w:rPr>
          <w:sz w:val="16"/>
          <w:szCs w:val="16"/>
          <w:rtl w:val="0"/>
          <w:lang w:val="en-US"/>
        </w:rPr>
        <w:t>in Historical Perspective</w:t>
      </w:r>
      <w:r>
        <w:rPr>
          <w:sz w:val="16"/>
          <w:szCs w:val="16"/>
          <w:rtl w:val="0"/>
          <w:lang w:val="en-US"/>
        </w:rPr>
        <w:t>,</w:t>
      </w:r>
      <w:r>
        <w:rPr>
          <w:sz w:val="16"/>
          <w:szCs w:val="16"/>
          <w:rtl w:val="0"/>
        </w:rPr>
        <w:t xml:space="preserve">” </w:t>
      </w:r>
      <w:r>
        <w:rPr>
          <w:rStyle w:val="None"/>
          <w:i w:val="1"/>
          <w:iCs w:val="1"/>
          <w:sz w:val="16"/>
          <w:szCs w:val="16"/>
          <w:rtl w:val="0"/>
          <w:lang w:val="en-US"/>
        </w:rPr>
        <w:t xml:space="preserve">Socialist Register </w:t>
      </w:r>
      <w:r>
        <w:rPr>
          <w:sz w:val="16"/>
          <w:szCs w:val="16"/>
          <w:rtl w:val="0"/>
          <w:lang w:val="en-US"/>
        </w:rPr>
        <w:t xml:space="preserve">27, 18 March 1991, </w:t>
      </w:r>
      <w:r>
        <w:rPr>
          <w:sz w:val="16"/>
          <w:szCs w:val="16"/>
          <w:rtl w:val="0"/>
          <w:lang w:val="en-US"/>
        </w:rPr>
        <w:t>https://socialistregister.com/index.php/srv/article/view/5594</w:t>
      </w:r>
      <w:r>
        <w:rPr>
          <w:sz w:val="16"/>
          <w:szCs w:val="16"/>
          <w:rtl w:val="0"/>
          <w:lang w:val="en-US"/>
        </w:rPr>
        <w:t xml:space="preserve">, pp. 174-175. </w:t>
      </w:r>
    </w:p>
  </w:footnote>
  <w:footnote w:id="121">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Max Weber, </w:t>
      </w:r>
      <w:r>
        <w:rPr>
          <w:rStyle w:val="None"/>
          <w:i w:val="1"/>
          <w:iCs w:val="1"/>
          <w:sz w:val="16"/>
          <w:szCs w:val="16"/>
          <w:rtl w:val="0"/>
          <w:lang w:val="en-US"/>
        </w:rPr>
        <w:t>The Methodology of the Social Sciences</w:t>
      </w:r>
      <w:r>
        <w:rPr>
          <w:sz w:val="16"/>
          <w:szCs w:val="16"/>
          <w:rtl w:val="0"/>
          <w:lang w:val="en-US"/>
        </w:rPr>
        <w:t xml:space="preserve">, Translated and Edited by Edward A. Shils and Henry A. Finch (The Free Press, 1949), p. 164; </w:t>
      </w:r>
      <w:r>
        <w:rPr>
          <w:sz w:val="16"/>
          <w:szCs w:val="16"/>
          <w:rtl w:val="0"/>
          <w:lang w:val="en-US"/>
        </w:rPr>
        <w:t xml:space="preserve">Ingo Venzke, "Possibilities of the Past: Histories of the NIEO and the Travails of Critique," </w:t>
      </w:r>
      <w:r>
        <w:rPr>
          <w:rStyle w:val="None"/>
          <w:i w:val="1"/>
          <w:iCs w:val="1"/>
          <w:sz w:val="16"/>
          <w:szCs w:val="16"/>
          <w:rtl w:val="0"/>
          <w:lang w:val="en-US"/>
        </w:rPr>
        <w:t>Journal of the History of International Law</w:t>
      </w:r>
      <w:r>
        <w:rPr>
          <w:sz w:val="16"/>
          <w:szCs w:val="16"/>
          <w:rtl w:val="0"/>
        </w:rPr>
        <w:t xml:space="preserve"> 20, no. 3 (2018)</w:t>
      </w:r>
      <w:r>
        <w:rPr>
          <w:sz w:val="16"/>
          <w:szCs w:val="16"/>
          <w:rtl w:val="0"/>
          <w:lang w:val="en-US"/>
        </w:rPr>
        <w:t>; Mark Gould, "</w:t>
      </w:r>
      <w:r>
        <w:rPr>
          <w:sz w:val="16"/>
          <w:szCs w:val="16"/>
          <w:rtl w:val="0"/>
          <w:lang w:val="en-US"/>
        </w:rPr>
        <w:t>History is Sociology: All Arguments are Counterfactuals</w:t>
      </w:r>
      <w:r>
        <w:rPr>
          <w:sz w:val="16"/>
          <w:szCs w:val="16"/>
          <w:rtl w:val="0"/>
          <w:lang w:val="en-US"/>
        </w:rPr>
        <w:t xml:space="preserve">," </w:t>
      </w:r>
      <w:r>
        <w:rPr>
          <w:rStyle w:val="None"/>
          <w:i w:val="1"/>
          <w:iCs w:val="1"/>
          <w:sz w:val="16"/>
          <w:szCs w:val="16"/>
          <w:rtl w:val="0"/>
          <w:lang w:val="en-US"/>
        </w:rPr>
        <w:t>Journal of Historical Sociology</w:t>
      </w:r>
      <w:r>
        <w:rPr>
          <w:sz w:val="16"/>
          <w:szCs w:val="16"/>
          <w:rtl w:val="0"/>
          <w:lang w:val="en-US"/>
        </w:rPr>
        <w:t xml:space="preserve"> 32 no. 1 (2019), </w:t>
      </w:r>
      <w:r>
        <w:rPr>
          <w:sz w:val="16"/>
          <w:szCs w:val="16"/>
          <w:rtl w:val="0"/>
          <w:lang w:val="en-US"/>
        </w:rPr>
        <w:t>https://doi.org/10.1111/johs.12230</w:t>
      </w:r>
      <w:r>
        <w:rPr>
          <w:sz w:val="16"/>
          <w:szCs w:val="16"/>
          <w:rtl w:val="0"/>
          <w:lang w:val="en-US"/>
        </w:rPr>
        <w:t>.</w:t>
      </w:r>
    </w:p>
  </w:footnote>
  <w:footnote w:id="122">
    <w:p>
      <w:pPr>
        <w:pStyle w:val="Footnote"/>
      </w:pPr>
      <w:r>
        <w:rPr>
          <w:rStyle w:val="None"/>
          <w:sz w:val="16"/>
          <w:szCs w:val="16"/>
          <w:vertAlign w:val="superscript"/>
        </w:rPr>
        <w:footnoteRef/>
      </w:r>
      <w:r>
        <w:rPr>
          <w:sz w:val="16"/>
          <w:szCs w:val="16"/>
          <w:rtl w:val="0"/>
        </w:rPr>
        <w:t xml:space="preserve"> </w:t>
      </w:r>
      <w:r>
        <w:rPr>
          <w:sz w:val="16"/>
          <w:szCs w:val="16"/>
          <w:rtl w:val="0"/>
          <w:lang w:val="en-US"/>
        </w:rPr>
        <w:t>Ibid.</w:t>
      </w:r>
    </w:p>
  </w:footnote>
  <w:footnote w:id="123">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Silvia Federici, </w:t>
      </w:r>
      <w:r>
        <w:rPr>
          <w:rStyle w:val="None"/>
          <w:i w:val="1"/>
          <w:iCs w:val="1"/>
          <w:sz w:val="16"/>
          <w:szCs w:val="16"/>
          <w:rtl w:val="0"/>
          <w:lang w:val="en-US"/>
        </w:rPr>
        <w:t xml:space="preserve">Caliban and the Witch: </w:t>
      </w:r>
      <w:r>
        <w:rPr>
          <w:rStyle w:val="None"/>
          <w:i w:val="1"/>
          <w:iCs w:val="1"/>
          <w:sz w:val="16"/>
          <w:szCs w:val="16"/>
          <w:rtl w:val="0"/>
          <w:lang w:val="en-US"/>
        </w:rPr>
        <w:t>Women, the Body and Primitive Accumulation</w:t>
      </w:r>
      <w:r>
        <w:rPr>
          <w:rStyle w:val="None"/>
          <w:i w:val="1"/>
          <w:iCs w:val="1"/>
          <w:sz w:val="16"/>
          <w:szCs w:val="16"/>
          <w:rtl w:val="0"/>
          <w:lang w:val="en-US"/>
        </w:rPr>
        <w:t xml:space="preserve"> </w:t>
      </w:r>
      <w:r>
        <w:rPr>
          <w:sz w:val="16"/>
          <w:szCs w:val="16"/>
          <w:rtl w:val="0"/>
          <w:lang w:val="en-US"/>
        </w:rPr>
        <w:t>(</w:t>
      </w:r>
      <w:r>
        <w:rPr>
          <w:sz w:val="16"/>
          <w:szCs w:val="16"/>
          <w:rtl w:val="0"/>
        </w:rPr>
        <w:t>Autonomedia</w:t>
      </w:r>
      <w:r>
        <w:rPr>
          <w:sz w:val="16"/>
          <w:szCs w:val="16"/>
          <w:rtl w:val="0"/>
          <w:lang w:val="en-US"/>
        </w:rPr>
        <w:t>, 2004).</w:t>
      </w:r>
    </w:p>
  </w:footnote>
  <w:footnote w:id="124">
    <w:p>
      <w:pPr>
        <w:pStyle w:val="Footnote"/>
        <w:rPr>
          <w:sz w:val="16"/>
          <w:szCs w:val="16"/>
        </w:rPr>
      </w:pPr>
      <w:r>
        <w:rPr>
          <w:rStyle w:val="None"/>
          <w:sz w:val="16"/>
          <w:szCs w:val="16"/>
          <w:vertAlign w:val="superscript"/>
        </w:rPr>
        <w:footnoteRef/>
      </w:r>
      <w:r>
        <w:rPr>
          <w:sz w:val="16"/>
          <w:szCs w:val="16"/>
          <w:rtl w:val="0"/>
        </w:rPr>
        <w:t xml:space="preserve"> </w:t>
      </w:r>
      <w:r>
        <w:rPr>
          <w:sz w:val="16"/>
          <w:szCs w:val="16"/>
          <w:rtl w:val="0"/>
          <w:lang w:val="en-US"/>
        </w:rPr>
        <w:t>Ibid.: '</w:t>
      </w:r>
      <w:r>
        <w:rPr>
          <w:sz w:val="16"/>
          <w:szCs w:val="16"/>
          <w:rtl w:val="0"/>
          <w:lang w:val="en-US"/>
        </w:rPr>
        <w:t xml:space="preserve">Capitalism was the counter-revolution that destroyed the possibilities that had emerged from the anti-feudal struggle </w:t>
      </w:r>
      <w:r>
        <w:rPr>
          <w:sz w:val="16"/>
          <w:szCs w:val="16"/>
          <w:rtl w:val="0"/>
          <w:lang w:val="en-US"/>
        </w:rPr>
        <w:t xml:space="preserve">— </w:t>
      </w:r>
      <w:r>
        <w:rPr>
          <w:sz w:val="16"/>
          <w:szCs w:val="16"/>
          <w:rtl w:val="0"/>
          <w:lang w:val="en-US"/>
        </w:rPr>
        <w:t>possibilities which, if realized, might have spared us the immense destruction of lives and the natural environment that has marked the advance of capitalist relations worldwide. This much must be stressed, for the belief that capitalism "evolved" from feudalism and represents a higher form, of social life has not yet been dispelled.</w:t>
      </w:r>
      <w:r>
        <w:rPr>
          <w:sz w:val="16"/>
          <w:szCs w:val="16"/>
          <w:rtl w:val="0"/>
          <w:lang w:val="en-US"/>
        </w:rPr>
        <w:t>' p. 23.</w:t>
      </w:r>
    </w:p>
    <w:p>
      <w:pPr>
        <w:pStyle w:val="Footnote"/>
        <w:rPr>
          <w:sz w:val="16"/>
          <w:szCs w:val="16"/>
        </w:rPr>
      </w:pPr>
    </w:p>
    <w:p>
      <w:pPr>
        <w:pStyle w:val="Footnote"/>
      </w:pPr>
      <w:r>
        <w:rPr>
          <w:sz w:val="16"/>
          <w:szCs w:val="16"/>
          <w:rtl w:val="0"/>
          <w:lang w:val="en-US"/>
        </w:rPr>
        <w:t>'</w:t>
      </w:r>
      <w:r>
        <w:rPr>
          <w:sz w:val="16"/>
          <w:szCs w:val="16"/>
          <w:rtl w:val="0"/>
          <w:lang w:val="en-US"/>
        </w:rPr>
        <w:t>The development of capitalism was not the only possible response to the crisis of feudal power. Throughout Europe, vast communalistic social movements and rebellions against feudalism had offered the promise of a new egalitarian society built on social equality and cooperation.</w:t>
      </w:r>
      <w:r>
        <w:rPr>
          <w:sz w:val="16"/>
          <w:szCs w:val="16"/>
          <w:rtl w:val="0"/>
          <w:lang w:val="en-US"/>
        </w:rPr>
        <w:t>' p. 70.</w:t>
      </w:r>
    </w:p>
  </w:footnote>
  <w:footnote w:id="125">
    <w:p>
      <w:pPr>
        <w:pStyle w:val="Footnote"/>
      </w:pPr>
      <w:r>
        <w:rPr>
          <w:rStyle w:val="None"/>
          <w:sz w:val="16"/>
          <w:szCs w:val="16"/>
          <w:vertAlign w:val="superscript"/>
        </w:rPr>
        <w:footnoteRef/>
      </w:r>
      <w:r>
        <w:rPr>
          <w:sz w:val="16"/>
          <w:szCs w:val="16"/>
          <w:rtl w:val="0"/>
        </w:rPr>
        <w:t xml:space="preserve"> </w:t>
      </w:r>
      <w:r>
        <w:rPr>
          <w:sz w:val="16"/>
          <w:szCs w:val="16"/>
          <w:rtl w:val="0"/>
          <w:lang w:val="en-US"/>
        </w:rPr>
        <w:t>Ingo Venzke, "</w:t>
      </w:r>
      <w:r>
        <w:rPr>
          <w:sz w:val="16"/>
          <w:szCs w:val="16"/>
          <w:rtl w:val="0"/>
          <w:lang w:val="en-US"/>
        </w:rPr>
        <w:t>Possibilities of the Past: History of the NIEO and the Travails of Critique</w:t>
      </w:r>
      <w:r>
        <w:rPr>
          <w:sz w:val="16"/>
          <w:szCs w:val="16"/>
          <w:rtl w:val="0"/>
          <w:lang w:val="en-US"/>
        </w:rPr>
        <w:t>", pp. 2-3.</w:t>
      </w:r>
    </w:p>
  </w:footnote>
  <w:footnote w:id="126">
    <w:p>
      <w:pPr>
        <w:pStyle w:val="Footnote"/>
      </w:pPr>
      <w:r>
        <w:rPr>
          <w:rStyle w:val="None"/>
          <w:sz w:val="16"/>
          <w:szCs w:val="16"/>
          <w:vertAlign w:val="superscript"/>
        </w:rPr>
        <w:footnoteRef/>
      </w:r>
      <w:r>
        <w:rPr>
          <w:sz w:val="16"/>
          <w:szCs w:val="16"/>
          <w:rtl w:val="0"/>
        </w:rPr>
        <w:t xml:space="preserve"> </w:t>
      </w:r>
      <w:r>
        <w:rPr>
          <w:sz w:val="16"/>
          <w:szCs w:val="16"/>
          <w:rtl w:val="0"/>
          <w:lang w:val="en-US"/>
        </w:rPr>
        <w:t>Ibid.</w:t>
      </w:r>
    </w:p>
  </w:footnote>
  <w:footnote w:id="127">
    <w:p>
      <w:pPr>
        <w:pStyle w:val="Footnote"/>
      </w:pPr>
      <w:r>
        <w:rPr>
          <w:rStyle w:val="None"/>
          <w:sz w:val="16"/>
          <w:szCs w:val="16"/>
          <w:vertAlign w:val="superscript"/>
        </w:rPr>
        <w:footnoteRef/>
      </w:r>
      <w:r>
        <w:rPr>
          <w:sz w:val="16"/>
          <w:szCs w:val="16"/>
          <w:rtl w:val="0"/>
        </w:rPr>
        <w:t xml:space="preserve"> </w:t>
      </w:r>
      <w:r>
        <w:rPr>
          <w:sz w:val="16"/>
          <w:szCs w:val="16"/>
          <w:rtl w:val="0"/>
          <w:lang w:val="en-US"/>
        </w:rPr>
        <w:t>Robert W. Cox, "Social Forces, States and World Order", p. 126.</w:t>
      </w:r>
    </w:p>
  </w:footnote>
  <w:footnote w:id="128">
    <w:p>
      <w:pPr>
        <w:pStyle w:val="Footnote"/>
      </w:pPr>
      <w:r>
        <w:rPr>
          <w:rStyle w:val="None"/>
          <w:sz w:val="16"/>
          <w:szCs w:val="16"/>
          <w:vertAlign w:val="superscript"/>
        </w:rPr>
        <w:footnoteRef/>
      </w:r>
      <w:r>
        <w:rPr>
          <w:sz w:val="16"/>
          <w:szCs w:val="16"/>
          <w:rtl w:val="0"/>
        </w:rPr>
        <w:t xml:space="preserve"> </w:t>
      </w:r>
      <w:r>
        <w:rPr>
          <w:sz w:val="16"/>
          <w:szCs w:val="16"/>
          <w:rtl w:val="0"/>
          <w:lang w:val="en-US"/>
        </w:rPr>
        <w:t>Ibid., p. 130.</w:t>
      </w:r>
    </w:p>
  </w:footnote>
  <w:footnote w:id="129">
    <w:p>
      <w:pPr>
        <w:pStyle w:val="Footnote"/>
      </w:pPr>
      <w:r>
        <w:rPr>
          <w:rStyle w:val="None"/>
          <w:sz w:val="16"/>
          <w:szCs w:val="16"/>
          <w:vertAlign w:val="superscript"/>
        </w:rPr>
        <w:footnoteRef/>
      </w:r>
      <w:r>
        <w:rPr>
          <w:sz w:val="16"/>
          <w:szCs w:val="16"/>
          <w:rtl w:val="0"/>
        </w:rPr>
        <w:t xml:space="preserve"> </w:t>
      </w:r>
      <w:r>
        <w:rPr>
          <w:sz w:val="16"/>
          <w:szCs w:val="16"/>
          <w:rtl w:val="0"/>
          <w:lang w:val="en-US"/>
        </w:rPr>
        <w:t>Ann Talbot, "</w:t>
      </w:r>
      <w:r>
        <w:rPr>
          <w:sz w:val="16"/>
          <w:szCs w:val="16"/>
          <w:rtl w:val="0"/>
          <w:lang w:val="en-US"/>
        </w:rPr>
        <w:t>Chance and Necessity in History: E.H. Carr and Leon Trotsky Compared</w:t>
      </w:r>
      <w:r>
        <w:rPr>
          <w:sz w:val="16"/>
          <w:szCs w:val="16"/>
          <w:rtl w:val="0"/>
          <w:lang w:val="en-US"/>
        </w:rPr>
        <w:t xml:space="preserve">," </w:t>
      </w:r>
      <w:r>
        <w:rPr>
          <w:rStyle w:val="None"/>
          <w:i w:val="1"/>
          <w:iCs w:val="1"/>
          <w:sz w:val="16"/>
          <w:szCs w:val="16"/>
          <w:rtl w:val="0"/>
          <w:lang w:val="en-US"/>
        </w:rPr>
        <w:t>Historical Social Research</w:t>
      </w:r>
      <w:r>
        <w:rPr>
          <w:sz w:val="16"/>
          <w:szCs w:val="16"/>
          <w:rtl w:val="0"/>
          <w:lang w:val="ru-RU"/>
        </w:rPr>
        <w:t xml:space="preserve"> 34</w:t>
      </w:r>
      <w:r>
        <w:rPr>
          <w:sz w:val="16"/>
          <w:szCs w:val="16"/>
          <w:rtl w:val="0"/>
          <w:lang w:val="en-US"/>
        </w:rPr>
        <w:t>,</w:t>
      </w:r>
      <w:r>
        <w:rPr>
          <w:sz w:val="16"/>
          <w:szCs w:val="16"/>
          <w:rtl w:val="0"/>
          <w:lang w:val="it-IT"/>
        </w:rPr>
        <w:t xml:space="preserve"> No. 2</w:t>
      </w:r>
      <w:r>
        <w:rPr>
          <w:sz w:val="16"/>
          <w:szCs w:val="16"/>
          <w:rtl w:val="0"/>
          <w:lang w:val="en-US"/>
        </w:rPr>
        <w:t xml:space="preserve"> (2009)</w:t>
      </w:r>
      <w:r>
        <w:rPr>
          <w:sz w:val="16"/>
          <w:szCs w:val="16"/>
          <w:rtl w:val="0"/>
        </w:rPr>
        <w:t>, 88-96</w:t>
      </w:r>
      <w:r>
        <w:rPr>
          <w:sz w:val="16"/>
          <w:szCs w:val="16"/>
          <w:rtl w:val="0"/>
          <w:lang w:val="en-US"/>
        </w:rPr>
        <w:t>.</w:t>
      </w:r>
    </w:p>
  </w:footnote>
  <w:footnote w:id="130">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C. L. R. James, </w:t>
      </w:r>
      <w:r>
        <w:rPr>
          <w:rStyle w:val="None"/>
          <w:i w:val="1"/>
          <w:iCs w:val="1"/>
          <w:sz w:val="16"/>
          <w:szCs w:val="16"/>
          <w:rtl w:val="0"/>
          <w:lang w:val="en-US"/>
        </w:rPr>
        <w:t>T</w:t>
      </w:r>
      <w:r>
        <w:rPr>
          <w:rStyle w:val="None"/>
          <w:i w:val="1"/>
          <w:iCs w:val="1"/>
          <w:sz w:val="16"/>
          <w:szCs w:val="16"/>
          <w:rtl w:val="0"/>
          <w:lang w:val="en-US"/>
        </w:rPr>
        <w:t>he Black Jacobins: Toussaint l'Ouverture and the San Domingo Revolution</w:t>
      </w:r>
      <w:r>
        <w:rPr>
          <w:sz w:val="16"/>
          <w:szCs w:val="16"/>
          <w:rtl w:val="0"/>
          <w:lang w:val="en-US"/>
        </w:rPr>
        <w:t xml:space="preserve"> (Vintage Books, 1989), C. L. R. James, </w:t>
      </w:r>
      <w:r>
        <w:rPr>
          <w:rStyle w:val="None"/>
          <w:i w:val="1"/>
          <w:iCs w:val="1"/>
          <w:sz w:val="16"/>
          <w:szCs w:val="16"/>
          <w:rtl w:val="0"/>
          <w:lang w:val="en-US"/>
        </w:rPr>
        <w:t>T</w:t>
      </w:r>
      <w:r>
        <w:rPr>
          <w:rStyle w:val="None"/>
          <w:i w:val="1"/>
          <w:iCs w:val="1"/>
          <w:sz w:val="16"/>
          <w:szCs w:val="16"/>
          <w:rtl w:val="0"/>
          <w:lang w:val="en-US"/>
        </w:rPr>
        <w:t>he Black Jacobins: Toussaint l'Ouverture and the San Domingo Revolution</w:t>
      </w:r>
      <w:r>
        <w:rPr>
          <w:sz w:val="16"/>
          <w:szCs w:val="16"/>
          <w:rtl w:val="0"/>
          <w:lang w:val="en-US"/>
        </w:rPr>
        <w:t xml:space="preserve"> (Vintage Books, 1989), pp. 120, 138-140, 143.</w:t>
      </w:r>
    </w:p>
  </w:footnote>
  <w:footnote w:id="131">
    <w:p>
      <w:pPr>
        <w:pStyle w:val="Footnote"/>
        <w:rPr>
          <w:sz w:val="16"/>
          <w:szCs w:val="16"/>
        </w:rPr>
      </w:pPr>
      <w:r>
        <w:rPr>
          <w:rStyle w:val="None"/>
          <w:sz w:val="16"/>
          <w:szCs w:val="16"/>
          <w:vertAlign w:val="superscript"/>
        </w:rPr>
        <w:footnoteRef/>
      </w:r>
      <w:r>
        <w:rPr>
          <w:sz w:val="16"/>
          <w:szCs w:val="16"/>
          <w:rtl w:val="0"/>
        </w:rPr>
        <w:t xml:space="preserve"> </w:t>
      </w:r>
      <w:r>
        <w:rPr>
          <w:sz w:val="16"/>
          <w:szCs w:val="16"/>
          <w:rtl w:val="0"/>
          <w:lang w:val="en-US"/>
        </w:rPr>
        <w:t>Ibid., pp. 150, 261-263, 264-265, 280-282:</w:t>
      </w:r>
    </w:p>
    <w:p>
      <w:pPr>
        <w:pStyle w:val="Footnote"/>
        <w:rPr>
          <w:sz w:val="16"/>
          <w:szCs w:val="16"/>
        </w:rPr>
      </w:pPr>
    </w:p>
    <w:p>
      <w:pPr>
        <w:pStyle w:val="Footnote"/>
      </w:pPr>
      <w:r>
        <w:rPr>
          <w:sz w:val="16"/>
          <w:szCs w:val="16"/>
          <w:rtl w:val="0"/>
          <w:lang w:val="nl-NL"/>
        </w:rPr>
        <w:t>'Toussaint</w:t>
      </w:r>
      <w:r>
        <w:rPr>
          <w:sz w:val="16"/>
          <w:szCs w:val="16"/>
          <w:rtl w:val="0"/>
          <w:lang w:val="en-US"/>
        </w:rPr>
        <w:t xml:space="preserve"> ... </w:t>
      </w:r>
      <w:r>
        <w:rPr>
          <w:sz w:val="16"/>
          <w:szCs w:val="16"/>
          <w:rtl w:val="0"/>
          <w:lang w:val="en-US"/>
        </w:rPr>
        <w:t>decided to regularise his own position and put an end to internal troubles for the future by giving San Domingo a Constitution. For this purpose he summoned an assembly of six men, one from each province, consisting of rich whites and Mulattoes: there was not one black. As always now, he was thinking of the effect in France, and not of the effect on his own masses, feeling too sure of them.' p. 263.</w:t>
      </w:r>
    </w:p>
  </w:footnote>
  <w:footnote w:id="132">
    <w:p>
      <w:pPr>
        <w:pStyle w:val="Footnote"/>
        <w:rPr>
          <w:sz w:val="16"/>
          <w:szCs w:val="16"/>
        </w:rPr>
      </w:pPr>
      <w:r>
        <w:rPr>
          <w:rStyle w:val="None"/>
          <w:sz w:val="16"/>
          <w:szCs w:val="16"/>
          <w:vertAlign w:val="superscript"/>
        </w:rPr>
        <w:footnoteRef/>
      </w:r>
      <w:r>
        <w:rPr>
          <w:sz w:val="16"/>
          <w:szCs w:val="16"/>
          <w:rtl w:val="0"/>
        </w:rPr>
        <w:t xml:space="preserve"> </w:t>
      </w:r>
      <w:r>
        <w:rPr>
          <w:sz w:val="16"/>
          <w:szCs w:val="16"/>
          <w:rtl w:val="0"/>
          <w:lang w:val="en-US"/>
        </w:rPr>
        <w:t xml:space="preserve">C. L. R. James, "1962 Preface to the Vintage Edition", in </w:t>
      </w:r>
      <w:r>
        <w:rPr>
          <w:rStyle w:val="None"/>
          <w:i w:val="1"/>
          <w:iCs w:val="1"/>
          <w:sz w:val="16"/>
          <w:szCs w:val="16"/>
          <w:rtl w:val="0"/>
          <w:lang w:val="en-US"/>
        </w:rPr>
        <w:t>T</w:t>
      </w:r>
      <w:r>
        <w:rPr>
          <w:rStyle w:val="None"/>
          <w:i w:val="1"/>
          <w:iCs w:val="1"/>
          <w:sz w:val="16"/>
          <w:szCs w:val="16"/>
          <w:rtl w:val="0"/>
          <w:lang w:val="en-US"/>
        </w:rPr>
        <w:t>he Black Jacobins: Toussaint l'Ouverture and the San Domingo Revolution</w:t>
      </w:r>
      <w:r>
        <w:rPr>
          <w:sz w:val="16"/>
          <w:szCs w:val="16"/>
          <w:rtl w:val="0"/>
          <w:lang w:val="en-US"/>
        </w:rPr>
        <w:t xml:space="preserve"> (Vintage Books, 1989), p. vii:</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I have retained the concluding pages which envisage and were intended to stimulate the coming emancipation of Africa. They are a part of the history of our time. In 1938 only the writer and a handful of close associates thought, wrote and spoke as if the African events of the last quarter of a century were imminent.</w:t>
      </w:r>
      <w:r>
        <w:rPr>
          <w:sz w:val="16"/>
          <w:szCs w:val="16"/>
          <w:rtl w:val="1"/>
        </w:rPr>
        <w:t xml:space="preserve">’ </w:t>
      </w:r>
      <w:r>
        <w:rPr>
          <w:sz w:val="16"/>
          <w:szCs w:val="16"/>
          <w:rtl w:val="0"/>
        </w:rPr>
        <w:t>p. vii.</w:t>
      </w:r>
    </w:p>
    <w:p>
      <w:pPr>
        <w:pStyle w:val="Footnote"/>
        <w:rPr>
          <w:sz w:val="16"/>
          <w:szCs w:val="16"/>
        </w:rPr>
      </w:pPr>
    </w:p>
    <w:p>
      <w:pPr>
        <w:pStyle w:val="Footnote"/>
      </w:pPr>
      <w:r>
        <w:rPr>
          <w:sz w:val="16"/>
          <w:szCs w:val="16"/>
          <w:rtl w:val="0"/>
          <w:lang w:val="en-US"/>
        </w:rPr>
        <w:t>Also, Ibid., p. 377.</w:t>
      </w:r>
    </w:p>
  </w:footnote>
  <w:footnote w:id="133">
    <w:p>
      <w:pPr>
        <w:pStyle w:val="Footnote"/>
        <w:rPr>
          <w:sz w:val="16"/>
          <w:szCs w:val="16"/>
        </w:rPr>
      </w:pPr>
      <w:r>
        <w:rPr>
          <w:rStyle w:val="None"/>
          <w:sz w:val="16"/>
          <w:szCs w:val="16"/>
          <w:vertAlign w:val="superscript"/>
        </w:rPr>
        <w:footnoteRef/>
      </w:r>
      <w:r>
        <w:rPr>
          <w:sz w:val="16"/>
          <w:szCs w:val="16"/>
          <w:rtl w:val="0"/>
        </w:rPr>
        <w:t xml:space="preserve"> </w:t>
      </w:r>
      <w:r>
        <w:rPr>
          <w:sz w:val="16"/>
          <w:szCs w:val="16"/>
          <w:rtl w:val="0"/>
          <w:lang w:val="en-US"/>
        </w:rPr>
        <w:t xml:space="preserve">C. L. R. James, </w:t>
      </w:r>
      <w:r>
        <w:rPr>
          <w:rStyle w:val="None"/>
          <w:i w:val="1"/>
          <w:iCs w:val="1"/>
          <w:sz w:val="16"/>
          <w:szCs w:val="16"/>
          <w:rtl w:val="0"/>
          <w:lang w:val="en-US"/>
        </w:rPr>
        <w:t>T</w:t>
      </w:r>
      <w:r>
        <w:rPr>
          <w:rStyle w:val="None"/>
          <w:i w:val="1"/>
          <w:iCs w:val="1"/>
          <w:sz w:val="16"/>
          <w:szCs w:val="16"/>
          <w:rtl w:val="0"/>
          <w:lang w:val="en-US"/>
        </w:rPr>
        <w:t>he Black Jacobins: Toussaint l'Ouverture and the San Domingo Revolution</w:t>
      </w:r>
      <w:r>
        <w:rPr>
          <w:sz w:val="16"/>
          <w:szCs w:val="16"/>
          <w:rtl w:val="0"/>
          <w:lang w:val="en-US"/>
        </w:rPr>
        <w:t xml:space="preserve"> (Vintage Books, 1989), p. 282:</w:t>
      </w:r>
    </w:p>
    <w:p>
      <w:pPr>
        <w:pStyle w:val="Footnote"/>
        <w:rPr>
          <w:sz w:val="16"/>
          <w:szCs w:val="16"/>
        </w:rPr>
      </w:pPr>
    </w:p>
    <w:p>
      <w:pPr>
        <w:pStyle w:val="Footnote"/>
      </w:pPr>
      <w:r>
        <w:rPr>
          <w:sz w:val="16"/>
          <w:szCs w:val="16"/>
          <w:rtl w:val="1"/>
        </w:rPr>
        <w:t>‘</w:t>
      </w:r>
      <w:r>
        <w:rPr>
          <w:sz w:val="16"/>
          <w:szCs w:val="16"/>
          <w:rtl w:val="0"/>
          <w:lang w:val="en-US"/>
        </w:rPr>
        <w:t>Criticism is not enough. What should Toussaint have done? A hundred and fifty years of history and the scientific study of revolution begun by Marx and Engels, and amplified by Lenin and Trotsky, justify us in pointing to an alternative course.</w:t>
      </w:r>
      <w:r>
        <w:rPr>
          <w:sz w:val="16"/>
          <w:szCs w:val="16"/>
          <w:rtl w:val="1"/>
        </w:rPr>
        <w:t xml:space="preserve">’ </w:t>
      </w:r>
      <w:r>
        <w:rPr>
          <w:sz w:val="16"/>
          <w:szCs w:val="16"/>
          <w:rtl w:val="0"/>
        </w:rPr>
        <w:t>p. 282.</w:t>
      </w:r>
    </w:p>
  </w:footnote>
  <w:footnote w:id="134">
    <w:p>
      <w:pPr>
        <w:pStyle w:val="Footnote"/>
        <w:rPr>
          <w:sz w:val="16"/>
          <w:szCs w:val="16"/>
        </w:rPr>
      </w:pPr>
      <w:r>
        <w:rPr>
          <w:rStyle w:val="None"/>
          <w:sz w:val="16"/>
          <w:szCs w:val="16"/>
          <w:vertAlign w:val="superscript"/>
        </w:rPr>
        <w:footnoteRef/>
      </w:r>
      <w:r>
        <w:rPr>
          <w:sz w:val="16"/>
          <w:szCs w:val="16"/>
          <w:rtl w:val="0"/>
        </w:rPr>
        <w:t xml:space="preserve"> </w:t>
      </w:r>
      <w:r>
        <w:rPr>
          <w:sz w:val="16"/>
          <w:szCs w:val="16"/>
          <w:rtl w:val="0"/>
          <w:lang w:val="en-US"/>
        </w:rPr>
        <w:t>Indeed, this was the purpose of James' philosophy of history. See, Ibid.:</w:t>
      </w:r>
    </w:p>
    <w:p>
      <w:pPr>
        <w:pStyle w:val="Footnote"/>
        <w:rPr>
          <w:sz w:val="16"/>
          <w:szCs w:val="16"/>
        </w:rPr>
      </w:pPr>
    </w:p>
    <w:p>
      <w:pPr>
        <w:pStyle w:val="Footnote"/>
      </w:pPr>
      <w:r>
        <w:rPr>
          <w:sz w:val="16"/>
          <w:szCs w:val="16"/>
          <w:rtl w:val="1"/>
        </w:rPr>
        <w:t>‘</w:t>
      </w:r>
      <w:r>
        <w:rPr>
          <w:sz w:val="16"/>
          <w:szCs w:val="16"/>
          <w:rtl w:val="0"/>
          <w:lang w:val="en-US"/>
        </w:rPr>
        <w:t>Great men make history, but only such history as it is possible for them to make. Their freedom of achievement is limited by the necessities of their environment. To portray the limits of those necessities and the realisation, complete or partial, of all possibilities, that is the true business of the historian.</w:t>
      </w:r>
      <w:r>
        <w:rPr>
          <w:sz w:val="16"/>
          <w:szCs w:val="16"/>
          <w:rtl w:val="1"/>
        </w:rPr>
        <w:t xml:space="preserve">’ </w:t>
      </w:r>
      <w:r>
        <w:rPr>
          <w:sz w:val="16"/>
          <w:szCs w:val="16"/>
          <w:rtl w:val="0"/>
        </w:rPr>
        <w:t>p. x.</w:t>
      </w:r>
      <w:r>
        <w:rPr>
          <w:sz w:val="16"/>
          <w:szCs w:val="16"/>
          <w:rtl w:val="0"/>
          <w:lang w:val="en-US"/>
        </w:rPr>
        <w:t xml:space="preserve"> </w:t>
      </w:r>
    </w:p>
  </w:footnote>
  <w:footnote w:id="135">
    <w:p>
      <w:pPr>
        <w:pStyle w:val="Footnote"/>
      </w:pPr>
      <w:r>
        <w:rPr>
          <w:rStyle w:val="None"/>
          <w:sz w:val="16"/>
          <w:szCs w:val="16"/>
          <w:vertAlign w:val="superscript"/>
        </w:rPr>
        <w:footnoteRef/>
      </w:r>
      <w:r>
        <w:rPr>
          <w:sz w:val="16"/>
          <w:szCs w:val="16"/>
          <w:rtl w:val="0"/>
        </w:rPr>
        <w:t xml:space="preserve"> </w:t>
      </w:r>
      <w:r>
        <w:rPr>
          <w:sz w:val="16"/>
          <w:szCs w:val="16"/>
          <w:rtl w:val="0"/>
          <w:lang w:val="en-US"/>
        </w:rPr>
        <w:t>Ibid., p. 136.</w:t>
      </w:r>
    </w:p>
  </w:footnote>
  <w:footnote w:id="136">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C. L. R. James, </w:t>
      </w:r>
      <w:r>
        <w:rPr>
          <w:rStyle w:val="None"/>
          <w:i w:val="1"/>
          <w:iCs w:val="1"/>
          <w:sz w:val="16"/>
          <w:szCs w:val="16"/>
          <w:rtl w:val="0"/>
          <w:lang w:val="en-US"/>
        </w:rPr>
        <w:t>T</w:t>
      </w:r>
      <w:r>
        <w:rPr>
          <w:rStyle w:val="None"/>
          <w:i w:val="1"/>
          <w:iCs w:val="1"/>
          <w:sz w:val="16"/>
          <w:szCs w:val="16"/>
          <w:rtl w:val="0"/>
          <w:lang w:val="en-US"/>
        </w:rPr>
        <w:t>he Black Jacobins: Toussaint l'Ouverture and the San Domingo Revolution</w:t>
      </w:r>
      <w:r>
        <w:rPr>
          <w:sz w:val="16"/>
          <w:szCs w:val="16"/>
          <w:rtl w:val="0"/>
          <w:lang w:val="en-US"/>
        </w:rPr>
        <w:t xml:space="preserve"> (Vintage Books, 1989), p. 275.</w:t>
      </w:r>
    </w:p>
  </w:footnote>
  <w:footnote w:id="137">
    <w:p>
      <w:pPr>
        <w:pStyle w:val="Footnote"/>
      </w:pPr>
      <w:r>
        <w:rPr>
          <w:rStyle w:val="None"/>
          <w:sz w:val="16"/>
          <w:szCs w:val="16"/>
          <w:vertAlign w:val="superscript"/>
        </w:rPr>
        <w:footnoteRef/>
      </w:r>
      <w:r>
        <w:rPr>
          <w:sz w:val="16"/>
          <w:szCs w:val="16"/>
          <w:rtl w:val="0"/>
        </w:rPr>
        <w:t xml:space="preserve"> </w:t>
      </w:r>
      <w:r>
        <w:rPr>
          <w:sz w:val="16"/>
          <w:szCs w:val="16"/>
          <w:rtl w:val="0"/>
          <w:lang w:val="en-US"/>
        </w:rPr>
        <w:t>Ibid., p. 270.</w:t>
      </w:r>
    </w:p>
  </w:footnote>
  <w:footnote w:id="138">
    <w:p>
      <w:pPr>
        <w:pStyle w:val="Footnote"/>
      </w:pPr>
      <w:r>
        <w:rPr>
          <w:rStyle w:val="None"/>
          <w:sz w:val="16"/>
          <w:szCs w:val="16"/>
          <w:vertAlign w:val="superscript"/>
        </w:rPr>
        <w:footnoteRef/>
      </w:r>
      <w:r>
        <w:rPr>
          <w:sz w:val="16"/>
          <w:szCs w:val="16"/>
          <w:rtl w:val="0"/>
        </w:rPr>
        <w:t xml:space="preserve"> </w:t>
      </w:r>
      <w:r>
        <w:rPr>
          <w:sz w:val="16"/>
          <w:szCs w:val="16"/>
          <w:rtl w:val="0"/>
          <w:lang w:val="en-US"/>
        </w:rPr>
        <w:t>Ibid., p. 274.</w:t>
      </w:r>
    </w:p>
  </w:footnote>
  <w:footnote w:id="139">
    <w:p>
      <w:pPr>
        <w:pStyle w:val="Footnote"/>
      </w:pPr>
      <w:r>
        <w:rPr>
          <w:rStyle w:val="None"/>
          <w:sz w:val="16"/>
          <w:szCs w:val="16"/>
          <w:vertAlign w:val="superscript"/>
        </w:rPr>
        <w:footnoteRef/>
      </w:r>
      <w:r>
        <w:rPr>
          <w:sz w:val="16"/>
          <w:szCs w:val="16"/>
          <w:rtl w:val="0"/>
        </w:rPr>
        <w:t xml:space="preserve"> </w:t>
      </w:r>
      <w:r>
        <w:rPr>
          <w:sz w:val="16"/>
          <w:szCs w:val="16"/>
          <w:rtl w:val="0"/>
          <w:lang w:val="en-US"/>
        </w:rPr>
        <w:t>Ibid., pp. 270-271.</w:t>
      </w:r>
    </w:p>
  </w:footnote>
  <w:footnote w:id="140">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Ibid., </w:t>
      </w:r>
      <w:r>
        <w:rPr>
          <w:sz w:val="16"/>
          <w:szCs w:val="16"/>
          <w:rtl w:val="0"/>
        </w:rPr>
        <w:t>p. 373.</w:t>
      </w:r>
    </w:p>
  </w:footnote>
  <w:footnote w:id="141">
    <w:p>
      <w:pPr>
        <w:pStyle w:val="Footnote"/>
        <w:rPr>
          <w:sz w:val="16"/>
          <w:szCs w:val="16"/>
        </w:rPr>
      </w:pPr>
      <w:r>
        <w:rPr>
          <w:rStyle w:val="None"/>
          <w:sz w:val="16"/>
          <w:szCs w:val="16"/>
          <w:vertAlign w:val="superscript"/>
        </w:rPr>
        <w:footnoteRef/>
      </w:r>
      <w:r>
        <w:rPr>
          <w:sz w:val="16"/>
          <w:szCs w:val="16"/>
          <w:rtl w:val="0"/>
        </w:rPr>
        <w:t xml:space="preserve"> </w:t>
      </w:r>
      <w:r>
        <w:rPr>
          <w:sz w:val="16"/>
          <w:szCs w:val="16"/>
          <w:rtl w:val="0"/>
          <w:lang w:val="en-US"/>
        </w:rPr>
        <w:t>Primarily, this came from France's domestic social forces. See, Ibid., p. 283:</w:t>
      </w:r>
    </w:p>
    <w:p>
      <w:pPr>
        <w:pStyle w:val="Footnote"/>
        <w:rPr>
          <w:sz w:val="16"/>
          <w:szCs w:val="16"/>
        </w:rPr>
      </w:pPr>
    </w:p>
    <w:p>
      <w:pPr>
        <w:pStyle w:val="Footnote"/>
      </w:pPr>
      <w:r>
        <w:rPr>
          <w:sz w:val="16"/>
          <w:szCs w:val="16"/>
          <w:rtl w:val="1"/>
        </w:rPr>
        <w:t>‘</w:t>
      </w:r>
      <w:r>
        <w:rPr>
          <w:sz w:val="16"/>
          <w:szCs w:val="16"/>
          <w:rtl w:val="0"/>
          <w:lang w:val="en-US"/>
        </w:rPr>
        <w:t xml:space="preserve">If he failed, it is for the same reason that the Russian socialist revolution failed, even after all its achievements </w:t>
      </w:r>
      <w:r>
        <w:rPr>
          <w:sz w:val="16"/>
          <w:szCs w:val="16"/>
          <w:rtl w:val="0"/>
        </w:rPr>
        <w:t xml:space="preserve">–– </w:t>
      </w:r>
      <w:r>
        <w:rPr>
          <w:sz w:val="16"/>
          <w:szCs w:val="16"/>
          <w:rtl w:val="0"/>
          <w:lang w:val="en-US"/>
        </w:rPr>
        <w:t>the defeat of the revolution in Europe. Had the Jacobins been able to consolidate the democratic republic in 1794, Haiti would have remained a French colony, but an attempt to restore slavery would have been most unlikely.</w:t>
      </w:r>
      <w:r>
        <w:rPr>
          <w:sz w:val="16"/>
          <w:szCs w:val="16"/>
          <w:rtl w:val="1"/>
        </w:rPr>
        <w:t xml:space="preserve">’ </w:t>
      </w:r>
      <w:r>
        <w:rPr>
          <w:sz w:val="16"/>
          <w:szCs w:val="16"/>
          <w:rtl w:val="0"/>
        </w:rPr>
        <w:t>p. 283.</w:t>
      </w:r>
    </w:p>
  </w:footnote>
  <w:footnote w:id="142">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C. L. R. James, </w:t>
      </w:r>
      <w:r>
        <w:rPr>
          <w:rStyle w:val="None"/>
          <w:i w:val="1"/>
          <w:iCs w:val="1"/>
          <w:sz w:val="16"/>
          <w:szCs w:val="16"/>
          <w:rtl w:val="0"/>
          <w:lang w:val="en-US"/>
        </w:rPr>
        <w:t>T</w:t>
      </w:r>
      <w:r>
        <w:rPr>
          <w:rStyle w:val="None"/>
          <w:i w:val="1"/>
          <w:iCs w:val="1"/>
          <w:sz w:val="16"/>
          <w:szCs w:val="16"/>
          <w:rtl w:val="0"/>
          <w:lang w:val="en-US"/>
        </w:rPr>
        <w:t>he Black Jacobins: Toussaint l'Ouverture and the San Domingo Revolution</w:t>
      </w:r>
      <w:r>
        <w:rPr>
          <w:sz w:val="16"/>
          <w:szCs w:val="16"/>
          <w:rtl w:val="0"/>
          <w:lang w:val="en-US"/>
        </w:rPr>
        <w:t xml:space="preserve"> (Vintage Books, 1989), pp. 299-300.</w:t>
      </w:r>
    </w:p>
  </w:footnote>
  <w:footnote w:id="143">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Ibid., </w:t>
      </w:r>
      <w:r>
        <w:rPr>
          <w:sz w:val="16"/>
          <w:szCs w:val="16"/>
          <w:rtl w:val="1"/>
        </w:rPr>
        <w:t>‘</w:t>
      </w:r>
      <w:r>
        <w:rPr>
          <w:sz w:val="16"/>
          <w:szCs w:val="16"/>
          <w:rtl w:val="0"/>
          <w:lang w:val="en-US"/>
        </w:rPr>
        <w:t>Toussaint's position was extraordinarily difficult. San Domingo was, after all, a French colony. Granted that, before the expedition was a certainty, plain speech was impossible; once he understood that it was coming, there should have been no hesitation. He should have declared that a powerful expedition could have no other aim than the restoration of slavery, summoned the population to resist, declared independence, confiscated the property of all who refused to accept and distributed it among his supporters. Ag</w:t>
      </w:r>
      <w:r>
        <w:rPr>
          <w:sz w:val="16"/>
          <w:szCs w:val="16"/>
          <w:rtl w:val="0"/>
          <w:lang w:val="fr-FR"/>
        </w:rPr>
        <w:t xml:space="preserve">é </w:t>
      </w:r>
      <w:r>
        <w:rPr>
          <w:sz w:val="16"/>
          <w:szCs w:val="16"/>
          <w:rtl w:val="0"/>
          <w:lang w:val="en-US"/>
        </w:rPr>
        <w:t>and the other white officers should have been given a plain choice: accept or leave. If they had accepted, in tending to be traitors, the black officers would have been on guard against them, the men would have known where they stood and would have shot them at the slightest vacillation before the enemy. The whites should have been offered the same choice: accept the black regime which has guaranteed and will guarantee your property, or leave; traitors in war-time would be dealt with as all traitors in war. Many of the planters favoured independence. They would have stayed and contributed their knowledge, such as it was, to the new State.</w:t>
      </w:r>
      <w:r>
        <w:rPr>
          <w:sz w:val="16"/>
          <w:szCs w:val="16"/>
          <w:rtl w:val="1"/>
        </w:rPr>
        <w:t xml:space="preserve">’ </w:t>
      </w:r>
      <w:r>
        <w:rPr>
          <w:sz w:val="16"/>
          <w:szCs w:val="16"/>
          <w:rtl w:val="0"/>
        </w:rPr>
        <w:t>p. 284.</w:t>
      </w:r>
    </w:p>
  </w:footnote>
  <w:footnote w:id="144">
    <w:p>
      <w:pPr>
        <w:pStyle w:val="Footnote"/>
      </w:pPr>
      <w:r>
        <w:rPr>
          <w:rStyle w:val="None"/>
          <w:sz w:val="16"/>
          <w:szCs w:val="16"/>
          <w:vertAlign w:val="superscript"/>
        </w:rPr>
        <w:footnoteRef/>
      </w:r>
      <w:r>
        <w:rPr>
          <w:sz w:val="16"/>
          <w:szCs w:val="16"/>
          <w:rtl w:val="0"/>
        </w:rPr>
        <w:t xml:space="preserve"> </w:t>
      </w:r>
      <w:r>
        <w:rPr>
          <w:sz w:val="16"/>
          <w:szCs w:val="16"/>
          <w:rtl w:val="0"/>
          <w:lang w:val="en-US"/>
        </w:rPr>
        <w:t>Ibid., p. 285.</w:t>
      </w:r>
    </w:p>
  </w:footnote>
  <w:footnote w:id="145">
    <w:p>
      <w:pPr>
        <w:pStyle w:val="Footnote"/>
        <w:rPr>
          <w:sz w:val="16"/>
          <w:szCs w:val="16"/>
        </w:rPr>
      </w:pPr>
      <w:r>
        <w:rPr>
          <w:rStyle w:val="None"/>
          <w:sz w:val="16"/>
          <w:szCs w:val="16"/>
          <w:vertAlign w:val="superscript"/>
        </w:rPr>
        <w:footnoteRef/>
      </w:r>
      <w:r>
        <w:rPr>
          <w:sz w:val="16"/>
          <w:szCs w:val="16"/>
          <w:rtl w:val="0"/>
        </w:rPr>
        <w:t xml:space="preserve"> </w:t>
      </w:r>
      <w:r>
        <w:rPr>
          <w:sz w:val="16"/>
          <w:szCs w:val="16"/>
          <w:rtl w:val="0"/>
          <w:lang w:val="en-US"/>
        </w:rPr>
        <w:t>Even more important to James, of course was the role of social forces. Here, his counterfactual was made as an explicit analogy to Trotsky's counterfactual of the October Revolution:</w:t>
      </w:r>
    </w:p>
    <w:p>
      <w:pPr>
        <w:pStyle w:val="Footnote"/>
        <w:rPr>
          <w:sz w:val="16"/>
          <w:szCs w:val="16"/>
        </w:rPr>
      </w:pPr>
    </w:p>
    <w:p>
      <w:pPr>
        <w:pStyle w:val="Footnote"/>
      </w:pPr>
      <w:r>
        <w:rPr>
          <w:sz w:val="16"/>
          <w:szCs w:val="16"/>
          <w:rtl w:val="1"/>
        </w:rPr>
        <w:t>‘</w:t>
      </w:r>
      <w:r>
        <w:rPr>
          <w:sz w:val="16"/>
          <w:szCs w:val="16"/>
          <w:rtl w:val="0"/>
          <w:lang w:val="en-US"/>
        </w:rPr>
        <w:t xml:space="preserve">If </w:t>
      </w:r>
      <w:r>
        <w:rPr>
          <w:sz w:val="16"/>
          <w:szCs w:val="16"/>
          <w:rtl w:val="0"/>
          <w:lang w:val="en-US"/>
        </w:rPr>
        <w:t xml:space="preserve">he [Toussaint] </w:t>
      </w:r>
      <w:r>
        <w:rPr>
          <w:sz w:val="16"/>
          <w:szCs w:val="16"/>
          <w:rtl w:val="0"/>
          <w:lang w:val="en-US"/>
        </w:rPr>
        <w:t xml:space="preserve">failed, it is for the same reason that the Russian socialist revolution failed, even after all its achievements </w:t>
      </w:r>
      <w:r>
        <w:rPr>
          <w:sz w:val="16"/>
          <w:szCs w:val="16"/>
          <w:rtl w:val="0"/>
        </w:rPr>
        <w:t xml:space="preserve">–– </w:t>
      </w:r>
      <w:r>
        <w:rPr>
          <w:sz w:val="16"/>
          <w:szCs w:val="16"/>
          <w:rtl w:val="0"/>
          <w:lang w:val="en-US"/>
        </w:rPr>
        <w:t>the defeat of the revolution in Europe. Had the Jacobins been able to consolidate the democratic republic in 1794, Haiti would have remained a French colony, but an attempt to restore slavery would have been most unlikely.</w:t>
      </w:r>
      <w:r>
        <w:rPr>
          <w:sz w:val="16"/>
          <w:szCs w:val="16"/>
          <w:rtl w:val="1"/>
        </w:rPr>
        <w:t xml:space="preserve">’ </w:t>
      </w:r>
      <w:r>
        <w:rPr>
          <w:sz w:val="16"/>
          <w:szCs w:val="16"/>
          <w:rtl w:val="0"/>
        </w:rPr>
        <w:t>p. 283.</w:t>
      </w:r>
    </w:p>
  </w:footnote>
  <w:footnote w:id="146">
    <w:p>
      <w:pPr>
        <w:pStyle w:val="Footnote"/>
      </w:pPr>
      <w:r>
        <w:rPr>
          <w:rStyle w:val="None"/>
          <w:sz w:val="16"/>
          <w:szCs w:val="16"/>
          <w:vertAlign w:val="superscript"/>
        </w:rPr>
        <w:footnoteRef/>
      </w:r>
      <w:r>
        <w:rPr>
          <w:sz w:val="16"/>
          <w:szCs w:val="16"/>
          <w:rtl w:val="0"/>
          <w:lang w:val="en-US"/>
        </w:rPr>
        <w:t xml:space="preserve"> Robert W. Cox, "'Real Socialism' in Historical Perspective," </w:t>
      </w:r>
      <w:r>
        <w:rPr>
          <w:rStyle w:val="None"/>
          <w:i w:val="1"/>
          <w:iCs w:val="1"/>
          <w:sz w:val="16"/>
          <w:szCs w:val="16"/>
          <w:rtl w:val="0"/>
          <w:lang w:val="de-DE"/>
        </w:rPr>
        <w:t>Socialist Register</w:t>
      </w:r>
      <w:r>
        <w:rPr>
          <w:sz w:val="16"/>
          <w:szCs w:val="16"/>
          <w:rtl w:val="0"/>
        </w:rPr>
        <w:t xml:space="preserve"> 27, no. 27 (1991): p. 175.</w:t>
      </w:r>
    </w:p>
  </w:footnote>
  <w:footnote w:id="147">
    <w:p>
      <w:pPr>
        <w:pStyle w:val="Footnote"/>
      </w:pPr>
      <w:r>
        <w:rPr>
          <w:rStyle w:val="None"/>
          <w:sz w:val="16"/>
          <w:szCs w:val="16"/>
          <w:vertAlign w:val="superscript"/>
        </w:rPr>
        <w:footnoteRef/>
      </w:r>
      <w:r>
        <w:rPr>
          <w:sz w:val="16"/>
          <w:szCs w:val="16"/>
          <w:rtl w:val="0"/>
          <w:lang w:val="en-US"/>
        </w:rPr>
        <w:t xml:space="preserve"> Ann Talbot, "</w:t>
      </w:r>
      <w:r>
        <w:rPr>
          <w:sz w:val="16"/>
          <w:szCs w:val="16"/>
          <w:rtl w:val="0"/>
          <w:lang w:val="en-US"/>
        </w:rPr>
        <w:t>Chance and Necessity in History: E.H. Carr and Leon Trotsky Compared</w:t>
      </w:r>
      <w:r>
        <w:rPr>
          <w:sz w:val="16"/>
          <w:szCs w:val="16"/>
          <w:rtl w:val="0"/>
          <w:lang w:val="en-US"/>
        </w:rPr>
        <w:t xml:space="preserve">," Historical Social Research 34 no. 2 (2009), pp. 88-96, </w:t>
      </w:r>
      <w:r>
        <w:rPr>
          <w:sz w:val="16"/>
          <w:szCs w:val="16"/>
          <w:rtl w:val="0"/>
          <w:lang w:val="pt-PT"/>
        </w:rPr>
        <w:t>https://nbn-resolving.org/urn:nbn:de:0168-ssoar-286726</w:t>
      </w:r>
      <w:r>
        <w:rPr>
          <w:sz w:val="16"/>
          <w:szCs w:val="16"/>
          <w:rtl w:val="0"/>
          <w:lang w:val="en-US"/>
        </w:rPr>
        <w:t xml:space="preserve">. </w:t>
      </w:r>
    </w:p>
  </w:footnote>
  <w:footnote w:id="148">
    <w:p>
      <w:pPr>
        <w:pStyle w:val="Footnote"/>
      </w:pPr>
      <w:r>
        <w:rPr>
          <w:rStyle w:val="None"/>
          <w:sz w:val="16"/>
          <w:szCs w:val="16"/>
          <w:vertAlign w:val="superscript"/>
        </w:rPr>
        <w:footnoteRef/>
      </w:r>
      <w:r>
        <w:rPr>
          <w:sz w:val="16"/>
          <w:szCs w:val="16"/>
          <w:rtl w:val="0"/>
        </w:rPr>
        <w:t xml:space="preserve"> </w:t>
      </w:r>
      <w:r>
        <w:rPr>
          <w:sz w:val="16"/>
          <w:szCs w:val="16"/>
          <w:rtl w:val="0"/>
          <w:lang w:val="en-US"/>
        </w:rPr>
        <w:t xml:space="preserve">James, </w:t>
      </w:r>
      <w:r>
        <w:rPr>
          <w:rStyle w:val="None"/>
          <w:i w:val="1"/>
          <w:iCs w:val="1"/>
          <w:sz w:val="16"/>
          <w:szCs w:val="16"/>
          <w:rtl w:val="0"/>
          <w:lang w:val="en-US"/>
        </w:rPr>
        <w:t xml:space="preserve">Black Jacobins, </w:t>
      </w:r>
      <w:r>
        <w:rPr>
          <w:sz w:val="16"/>
          <w:szCs w:val="16"/>
          <w:rtl w:val="0"/>
        </w:rPr>
        <w:t>p. x.</w:t>
      </w:r>
    </w:p>
  </w:footnote>
  <w:footnote w:id="149">
    <w:p>
      <w:pPr>
        <w:pStyle w:val="Footnote"/>
      </w:pPr>
      <w:r>
        <w:rPr>
          <w:rStyle w:val="None"/>
          <w:sz w:val="16"/>
          <w:szCs w:val="16"/>
          <w:vertAlign w:val="superscript"/>
        </w:rPr>
        <w:footnoteRef/>
      </w:r>
      <w:r>
        <w:rPr>
          <w:sz w:val="16"/>
          <w:szCs w:val="16"/>
          <w:rtl w:val="0"/>
        </w:rPr>
        <w:t xml:space="preserve"> </w:t>
      </w:r>
    </w:p>
  </w:footnote>
  <w:footnote w:id="150">
    <w:p>
      <w:pPr>
        <w:pStyle w:val="Footnote"/>
      </w:pPr>
      <w:r>
        <w:rPr>
          <w:rStyle w:val="None"/>
          <w:sz w:val="16"/>
          <w:szCs w:val="16"/>
          <w:vertAlign w:val="superscript"/>
        </w:rPr>
        <w:footnoteRef/>
      </w:r>
      <w:r>
        <w:rPr>
          <w:sz w:val="16"/>
          <w:szCs w:val="16"/>
          <w:rtl w:val="0"/>
        </w:rPr>
        <w:t xml:space="preserve"> </w:t>
      </w:r>
    </w:p>
  </w:footnote>
  <w:footnote w:id="151">
    <w:p>
      <w:pPr>
        <w:pStyle w:val="Footnote"/>
      </w:pPr>
      <w:r>
        <w:rPr>
          <w:rStyle w:val="None"/>
          <w:sz w:val="16"/>
          <w:szCs w:val="16"/>
          <w:vertAlign w:val="superscript"/>
        </w:rPr>
        <w:footnoteRef/>
      </w:r>
      <w:r>
        <w:rPr>
          <w:sz w:val="16"/>
          <w:szCs w:val="16"/>
          <w:rtl w:val="0"/>
        </w:rPr>
        <w:t xml:space="preserve"> </w:t>
      </w:r>
    </w:p>
  </w:footnote>
  <w:footnote w:id="152">
    <w:p>
      <w:pPr>
        <w:pStyle w:val="Footnote"/>
      </w:pPr>
      <w:r>
        <w:rPr>
          <w:rStyle w:val="None"/>
          <w:sz w:val="16"/>
          <w:szCs w:val="16"/>
          <w:vertAlign w:val="superscript"/>
        </w:rPr>
        <w:footnoteRef/>
      </w:r>
      <w:r>
        <w:rPr>
          <w:sz w:val="16"/>
          <w:szCs w:val="16"/>
          <w:rtl w:val="0"/>
        </w:rPr>
        <w:t xml:space="preserve"> </w:t>
      </w:r>
    </w:p>
  </w:footnote>
  <w:footnote w:id="153">
    <w:p>
      <w:pPr>
        <w:pStyle w:val="Footnote"/>
      </w:pPr>
      <w:r>
        <w:rPr>
          <w:rStyle w:val="None"/>
          <w:sz w:val="16"/>
          <w:szCs w:val="16"/>
          <w:vertAlign w:val="superscript"/>
        </w:rPr>
        <w:footnoteRef/>
      </w:r>
      <w:r>
        <w:rPr>
          <w:sz w:val="16"/>
          <w:szCs w:val="16"/>
          <w:rtl w:val="0"/>
        </w:rPr>
        <w:t xml:space="preserve"> </w:t>
      </w:r>
    </w:p>
  </w:footnote>
  <w:footnote w:id="154">
    <w:p>
      <w:pPr>
        <w:pStyle w:val="Footnote"/>
        <w:rPr>
          <w:sz w:val="16"/>
          <w:szCs w:val="16"/>
        </w:rPr>
      </w:pPr>
      <w:r>
        <w:rPr>
          <w:rStyle w:val="None"/>
          <w:sz w:val="16"/>
          <w:szCs w:val="16"/>
          <w:vertAlign w:val="superscript"/>
        </w:rPr>
        <w:footnoteRef/>
      </w:r>
      <w:r>
        <w:rPr>
          <w:sz w:val="16"/>
          <w:szCs w:val="16"/>
          <w:rtl w:val="0"/>
          <w:lang w:val="de-DE"/>
        </w:rPr>
        <w:t xml:space="preserve"> Eric</w:t>
      </w:r>
      <w:r>
        <w:rPr>
          <w:sz w:val="16"/>
          <w:szCs w:val="16"/>
          <w:rtl w:val="0"/>
          <w:lang w:val="en-US"/>
        </w:rPr>
        <w:t xml:space="preserve"> </w:t>
      </w:r>
      <w:r>
        <w:rPr>
          <w:sz w:val="16"/>
          <w:szCs w:val="16"/>
          <w:rtl w:val="0"/>
          <w:lang w:val="de-DE"/>
        </w:rPr>
        <w:t>Helleiner</w:t>
      </w:r>
      <w:r>
        <w:rPr>
          <w:sz w:val="16"/>
          <w:szCs w:val="16"/>
          <w:rtl w:val="0"/>
          <w:lang w:val="en-US"/>
        </w:rPr>
        <w:t xml:space="preserve">, </w:t>
      </w:r>
      <w:r>
        <w:rPr>
          <w:rStyle w:val="None"/>
          <w:i w:val="1"/>
          <w:iCs w:val="1"/>
          <w:sz w:val="16"/>
          <w:szCs w:val="16"/>
          <w:rtl w:val="0"/>
          <w:lang w:val="en-US"/>
        </w:rPr>
        <w:t xml:space="preserve">States and the </w:t>
      </w:r>
      <w:r>
        <w:rPr>
          <w:rStyle w:val="None"/>
          <w:i w:val="1"/>
          <w:iCs w:val="1"/>
          <w:sz w:val="16"/>
          <w:szCs w:val="16"/>
          <w:rtl w:val="0"/>
          <w:lang w:val="en-US"/>
        </w:rPr>
        <w:t>R</w:t>
      </w:r>
      <w:r>
        <w:rPr>
          <w:rStyle w:val="None"/>
          <w:i w:val="1"/>
          <w:iCs w:val="1"/>
          <w:sz w:val="16"/>
          <w:szCs w:val="16"/>
          <w:rtl w:val="0"/>
          <w:lang w:val="en-US"/>
        </w:rPr>
        <w:t xml:space="preserve">eemergence of </w:t>
      </w:r>
      <w:r>
        <w:rPr>
          <w:rStyle w:val="None"/>
          <w:i w:val="1"/>
          <w:iCs w:val="1"/>
          <w:sz w:val="16"/>
          <w:szCs w:val="16"/>
          <w:rtl w:val="0"/>
          <w:lang w:val="en-US"/>
        </w:rPr>
        <w:t>G</w:t>
      </w:r>
      <w:r>
        <w:rPr>
          <w:rStyle w:val="None"/>
          <w:i w:val="1"/>
          <w:iCs w:val="1"/>
          <w:sz w:val="16"/>
          <w:szCs w:val="16"/>
          <w:rtl w:val="0"/>
        </w:rPr>
        <w:t xml:space="preserve">lobal </w:t>
      </w:r>
      <w:r>
        <w:rPr>
          <w:rStyle w:val="None"/>
          <w:i w:val="1"/>
          <w:iCs w:val="1"/>
          <w:sz w:val="16"/>
          <w:szCs w:val="16"/>
          <w:rtl w:val="0"/>
          <w:lang w:val="en-US"/>
        </w:rPr>
        <w:t>F</w:t>
      </w:r>
      <w:r>
        <w:rPr>
          <w:rStyle w:val="None"/>
          <w:i w:val="1"/>
          <w:iCs w:val="1"/>
          <w:sz w:val="16"/>
          <w:szCs w:val="16"/>
          <w:rtl w:val="0"/>
          <w:lang w:val="en-US"/>
        </w:rPr>
        <w:t>inance: from Bretton Woods to the 1990s</w:t>
      </w:r>
      <w:r>
        <w:rPr>
          <w:sz w:val="16"/>
          <w:szCs w:val="16"/>
          <w:rtl w:val="0"/>
        </w:rPr>
        <w:t xml:space="preserve"> </w:t>
      </w:r>
      <w:r>
        <w:rPr>
          <w:sz w:val="16"/>
          <w:szCs w:val="16"/>
          <w:rtl w:val="0"/>
          <w:lang w:val="en-US"/>
        </w:rPr>
        <w:t>(</w:t>
      </w:r>
      <w:r>
        <w:rPr>
          <w:sz w:val="16"/>
          <w:szCs w:val="16"/>
          <w:rtl w:val="0"/>
          <w:lang w:val="it-IT"/>
        </w:rPr>
        <w:t xml:space="preserve">Cornell </w:t>
      </w:r>
      <w:r>
        <w:rPr>
          <w:sz w:val="16"/>
          <w:szCs w:val="16"/>
          <w:rtl w:val="0"/>
          <w:lang w:val="en-US"/>
        </w:rPr>
        <w:t>U</w:t>
      </w:r>
      <w:r>
        <w:rPr>
          <w:sz w:val="16"/>
          <w:szCs w:val="16"/>
          <w:rtl w:val="0"/>
          <w:lang w:val="en-US"/>
        </w:rPr>
        <w:t xml:space="preserve">niversity </w:t>
      </w:r>
      <w:r>
        <w:rPr>
          <w:sz w:val="16"/>
          <w:szCs w:val="16"/>
          <w:rtl w:val="0"/>
          <w:lang w:val="en-US"/>
        </w:rPr>
        <w:t>P</w:t>
      </w:r>
      <w:r>
        <w:rPr>
          <w:sz w:val="16"/>
          <w:szCs w:val="16"/>
          <w:rtl w:val="0"/>
          <w:lang w:val="en-US"/>
        </w:rPr>
        <w:t>ress, 1996</w:t>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'Because many of the largest Western private banks had extended loans to Latin American countries worth well over 100 percent of their total capital, these combined defaults would be catastrophic. As stated in a Federal Reserve Bank of New York study published later, "International bankers and policymakers faced a threat of financial disorder on a global scale not seen since the Depression.</w:t>
      </w:r>
      <w:r>
        <w:rPr>
          <w:sz w:val="16"/>
          <w:szCs w:val="16"/>
          <w:rtl w:val="0"/>
        </w:rPr>
        <w:t>”</w:t>
      </w:r>
      <w:r>
        <w:rPr>
          <w:sz w:val="16"/>
          <w:szCs w:val="16"/>
          <w:rtl w:val="0"/>
        </w:rPr>
        <w:t>25</w:t>
      </w:r>
    </w:p>
    <w:p>
      <w:pPr>
        <w:pStyle w:val="Footnote"/>
      </w:pPr>
      <w:r>
        <w:rPr>
          <w:sz w:val="16"/>
          <w:szCs w:val="16"/>
          <w:rtl w:val="0"/>
          <w:lang w:val="en-US"/>
        </w:rPr>
        <w:t>Quoted in Spero 1990:181.</w:t>
      </w:r>
      <w:r>
        <w:rPr>
          <w:sz w:val="16"/>
          <w:szCs w:val="16"/>
          <w:rtl w:val="1"/>
        </w:rPr>
        <w:t xml:space="preserve">’ </w:t>
      </w:r>
      <w:r>
        <w:rPr>
          <w:sz w:val="16"/>
          <w:szCs w:val="16"/>
          <w:rtl w:val="0"/>
        </w:rPr>
        <w:t>p. 176.</w:t>
      </w:r>
    </w:p>
  </w:footnote>
  <w:footnote w:id="155">
    <w:p>
      <w:pPr>
        <w:pStyle w:val="Footnote"/>
      </w:pPr>
      <w:r>
        <w:rPr>
          <w:rStyle w:val="None"/>
          <w:sz w:val="16"/>
          <w:szCs w:val="16"/>
          <w:vertAlign w:val="superscript"/>
        </w:rPr>
        <w:footnoteRef/>
      </w:r>
      <w:r>
        <w:rPr>
          <w:sz w:val="16"/>
          <w:szCs w:val="16"/>
          <w:rtl w:val="0"/>
        </w:rPr>
        <w:t xml:space="preserve"> </w:t>
      </w:r>
      <w:r>
        <w:rPr>
          <w:sz w:val="16"/>
          <w:szCs w:val="16"/>
          <w:rtl w:val="0"/>
          <w:lang w:val="en-US"/>
        </w:rPr>
        <w:t>Except</w:t>
      </w:r>
      <w:r>
        <w:rPr>
          <w:sz w:val="16"/>
          <w:szCs w:val="16"/>
          <w:rtl w:val="0"/>
          <w:lang w:val="en-US"/>
        </w:rPr>
        <w:t>, perhaps, Ernest M</w:t>
      </w:r>
      <w:r>
        <w:rPr>
          <w:sz w:val="16"/>
          <w:szCs w:val="16"/>
          <w:rtl w:val="0"/>
          <w:lang w:val="en-US"/>
        </w:rPr>
        <w:t xml:space="preserve">andel </w:t>
      </w:r>
      <w:r>
        <w:rPr>
          <w:rFonts w:ascii="Arial Unicode MS" w:cs="Arial Unicode MS" w:hAnsi="Arial Unicode MS" w:eastAsia="Arial Unicode MS" w:hint="eastAsia"/>
          <w:b w:val="0"/>
          <w:bCs w:val="0"/>
          <w:i w:val="0"/>
          <w:iCs w:val="0"/>
          <w:sz w:val="16"/>
          <w:szCs w:val="16"/>
          <w:rtl w:val="0"/>
          <w:lang w:val="en-US"/>
        </w:rPr>
        <w:t>😅</w:t>
      </w:r>
      <w:r>
        <w:rPr>
          <w:sz w:val="16"/>
          <w:szCs w:val="16"/>
          <w:rtl w:val="0"/>
          <w:lang w:val="en-US"/>
        </w:rPr>
        <w:t>.</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63"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943"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23"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303"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83"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663"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43"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023"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203"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60"/>
          <w:tab w:val="left" w:pos="1120"/>
          <w:tab w:val="left" w:pos="1680"/>
          <w:tab w:val="left" w:pos="224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indented">
    <w:name w:val="indented"/>
    <w:next w:val="indented"/>
    <w:pPr>
      <w:keepNext w:val="0"/>
      <w:keepLines w:val="0"/>
      <w:pageBreakBefore w:val="0"/>
      <w:widowControl w:val="1"/>
      <w:shd w:val="clear" w:color="auto" w:fill="auto"/>
      <w:suppressAutoHyphens w:val="0"/>
      <w:bidi w:val="0"/>
      <w:spacing w:before="0" w:after="0" w:line="288" w:lineRule="auto"/>
      <w:ind w:left="567" w:right="1134" w:firstLine="0"/>
      <w:jc w:val="left"/>
      <w:outlineLvl w:val="9"/>
    </w:pPr>
    <w:rPr>
      <w:rFonts w:ascii="Helvetica Neue" w:cs="Arial Unicode MS" w:hAnsi="Helvetica Neue" w:eastAsia="Arial Unicode MS" w:hint="default"/>
      <w:b w:val="0"/>
      <w:bCs w:val="0"/>
      <w:i w:val="1"/>
      <w:iCs w:val="1"/>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1">
    <w:name w:val="Hyperlink.1"/>
    <w:basedOn w:val="None"/>
    <w:next w:val="Hyperlink.1"/>
    <w:rPr>
      <w:outline w:val="0"/>
      <w:color w:val="0000ee"/>
      <w:u w:val="single"/>
      <w14:textFill>
        <w14:solidFill>
          <w14:srgbClr w14:val="0000EE"/>
        </w14:solidFill>
      </w14:textFill>
    </w:rPr>
  </w:style>
  <w:style w:type="character" w:styleId="Hyperlink.2">
    <w:name w:val="Hyperlink.2"/>
    <w:basedOn w:val="Hyperlink.0"/>
    <w:next w:val="Hyperlink.2"/>
    <w:rPr>
      <w:u w:color="0000ff"/>
    </w:rPr>
  </w:style>
  <w:style w:type="character" w:styleId="Hyperlink.3">
    <w:name w:val="Hyperlink.3"/>
    <w:basedOn w:val="None"/>
    <w:next w:val="Hyperlink.3"/>
    <w:rPr>
      <w:outline w:val="0"/>
      <w:color w:val="315f9f"/>
      <w14:textFill>
        <w14:solidFill>
          <w14:srgbClr w14:val="315FA0"/>
        </w14:solidFill>
      </w14:textFill>
    </w:r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355600" rtl="0" fontAlgn="auto" latinLnBrk="0" hangingPunct="0">
          <a:lnSpc>
            <a:spcPct val="12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