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b w:val="1"/>
          <w:bCs w:val="1"/>
          <w:rtl w:val="0"/>
        </w:rPr>
      </w:pPr>
      <w:r>
        <w:rPr>
          <w:rFonts w:ascii="Arial" w:hAnsi="Arial"/>
          <w:b w:val="1"/>
          <w:bCs w:val="1"/>
          <w:rtl w:val="0"/>
          <w:lang w:val="en-US"/>
        </w:rPr>
        <w:t>The collapse of the old and the struggle for the new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Still, none of this was new. The praxis was developed in the 1960s, within the United Nations Conference on Trade and Development (UNCTAD).</w:t>
      </w:r>
      <w:r>
        <w:rPr>
          <w:rFonts w:ascii="Arial" w:cs="Arial" w:hAnsi="Arial" w:eastAsia="Arial"/>
          <w:vertAlign w:val="superscript"/>
          <w:rtl w:val="0"/>
        </w:rPr>
        <w:footnoteReference w:id="1"/>
      </w:r>
      <w:r>
        <w:rPr>
          <w:rFonts w:ascii="Arial" w:hAnsi="Arial"/>
          <w:rtl w:val="0"/>
          <w:lang w:val="en-US"/>
        </w:rPr>
        <w:t xml:space="preserve"> It was there, in the first joint declaration of the G77, that calls were made for '</w:t>
      </w:r>
      <w:r>
        <w:rPr>
          <w:rFonts w:ascii="Arial" w:hAnsi="Arial"/>
          <w:rtl w:val="0"/>
          <w:lang w:val="en-US"/>
        </w:rPr>
        <w:t>creating a new and just world economic order</w:t>
      </w:r>
      <w:r>
        <w:rPr>
          <w:rFonts w:ascii="Arial" w:hAnsi="Arial"/>
          <w:rtl w:val="0"/>
          <w:lang w:val="en-US"/>
        </w:rPr>
        <w:t>'.</w:t>
      </w:r>
      <w:r>
        <w:rPr>
          <w:rFonts w:ascii="Arial" w:cs="Arial" w:hAnsi="Arial" w:eastAsia="Arial"/>
          <w:vertAlign w:val="superscript"/>
          <w:rtl w:val="0"/>
        </w:rPr>
        <w:footnoteReference w:id="2"/>
      </w:r>
      <w:r>
        <w:rPr>
          <w:rFonts w:ascii="Arial" w:hAnsi="Arial"/>
          <w:rtl w:val="0"/>
          <w:lang w:val="en-US"/>
        </w:rPr>
        <w:t xml:space="preserve"> What changed in the early 1970s was the collapse of the post-WWII Bretton Woods system. Thanks to declining US industrial productivity, and massive spending on genocidal imperialism in Vietnam, US elites could no longer afford to exchange dollars for a fixed quantity of gold, which was the basis of Bretton Woods system of fixed exchange rates. In 1971 Nixon decided </w:t>
      </w:r>
      <w:r>
        <w:rPr>
          <w:rFonts w:ascii="Arial" w:hAnsi="Arial" w:hint="default"/>
          <w:rtl w:val="0"/>
          <w:lang w:val="en-US"/>
        </w:rPr>
        <w:t xml:space="preserve">–– </w:t>
      </w:r>
      <w:r>
        <w:rPr>
          <w:rFonts w:ascii="Arial" w:hAnsi="Arial"/>
          <w:rtl w:val="0"/>
          <w:lang w:val="en-US"/>
        </w:rPr>
        <w:t xml:space="preserve">unilaterally </w:t>
      </w:r>
      <w:r>
        <w:rPr>
          <w:rFonts w:ascii="Arial" w:hAnsi="Arial" w:hint="default"/>
          <w:rtl w:val="0"/>
          <w:lang w:val="en-US"/>
        </w:rPr>
        <w:t xml:space="preserve">–– </w:t>
      </w:r>
      <w:r>
        <w:rPr>
          <w:rFonts w:ascii="Arial" w:hAnsi="Arial"/>
          <w:rtl w:val="0"/>
          <w:lang w:val="en-US"/>
        </w:rPr>
        <w:t>to delink the dollar from gold. This kickstarted an attempt by global elites to create a new international monetary system.</w:t>
      </w:r>
      <w:r>
        <w:rPr>
          <w:rFonts w:ascii="Arial" w:cs="Arial" w:hAnsi="Arial" w:eastAsia="Arial"/>
          <w:vertAlign w:val="superscript"/>
          <w:rtl w:val="0"/>
        </w:rPr>
        <w:footnoteReference w:id="3"/>
      </w:r>
      <w:r>
        <w:rPr>
          <w:rFonts w:ascii="Arial" w:hAnsi="Arial"/>
          <w:rtl w:val="0"/>
          <w:lang w:val="en-US"/>
        </w:rPr>
        <w:t xml:space="preserve"> Beginning with Smithsonian Agreement in 1971, global elites agreed on a new, temporary system of fixed-but-adjustable exchange rates. In the meantime, the IMF tried to design a new system, one which addressed the massive imbalances of trade that had brought down the original Bretton Woods.</w:t>
      </w:r>
      <w:r>
        <w:rPr>
          <w:rFonts w:ascii="Arial" w:hAnsi="Arial"/>
          <w:b w:val="1"/>
          <w:bCs w:val="1"/>
          <w:rtl w:val="0"/>
          <w:lang w:val="en-US"/>
        </w:rPr>
        <w:t xml:space="preserve"> </w:t>
      </w:r>
      <w:r>
        <w:rPr>
          <w:rFonts w:ascii="Arial" w:hAnsi="Arial"/>
          <w:rtl w:val="0"/>
          <w:lang w:val="en-US"/>
        </w:rPr>
        <w:t>As the IMF then recognised, the global monetary system required wholesale change: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i w:val="1"/>
          <w:iCs w:val="1"/>
          <w:rtl w:val="0"/>
        </w:rPr>
      </w:pPr>
      <w:r>
        <w:rPr>
          <w:rFonts w:ascii="Arial" w:hAnsi="Arial"/>
          <w:i w:val="1"/>
          <w:iCs w:val="1"/>
          <w:rtl w:val="0"/>
          <w:lang w:val="en-US"/>
        </w:rPr>
        <w:t>'The reform of the system, if it is to be worthwhile, will have to be radical. It will have to involve a quantum jump into a new system, not merely attempts at improvement of certain features of the present system. A reform of so wide a scope is, of course, difficult to envisage. It will entail changes in existing practices, the need for which may not seem obvious in itself but that are necessary from the point of view of the system as a whole. The reform will also have to take into account the diverse positions and interests of different groups of Fund members.'</w:t>
      </w:r>
      <w:r>
        <w:rPr>
          <w:rFonts w:ascii="Arial" w:cs="Arial" w:hAnsi="Arial" w:eastAsia="Arial"/>
          <w:i w:val="1"/>
          <w:iCs w:val="1"/>
          <w:vertAlign w:val="superscript"/>
          <w:rtl w:val="0"/>
        </w:rPr>
        <w:footnoteReference w:id="4"/>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i w:val="1"/>
          <w:iCs w:val="1"/>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Representatives from the Global South played a key part in these negotiations, acting within the IMF's Committee of 20 (C20).</w:t>
      </w:r>
      <w:r>
        <w:rPr>
          <w:rFonts w:ascii="Arial" w:cs="Arial" w:hAnsi="Arial" w:eastAsia="Arial"/>
          <w:vertAlign w:val="superscript"/>
          <w:rtl w:val="0"/>
        </w:rPr>
        <w:footnoteReference w:id="5"/>
      </w:r>
      <w:r>
        <w:rPr>
          <w:rFonts w:ascii="Arial" w:hAnsi="Arial"/>
          <w:rtl w:val="0"/>
          <w:lang w:val="en-US"/>
        </w:rPr>
        <w:t xml:space="preserve"> They agreed with elites in Europe and Japan that the new system should displace the dollar as the international reserve asset.</w:t>
      </w:r>
      <w:r>
        <w:rPr>
          <w:rFonts w:ascii="Arial" w:cs="Arial" w:hAnsi="Arial" w:eastAsia="Arial"/>
          <w:vertAlign w:val="superscript"/>
          <w:rtl w:val="0"/>
        </w:rPr>
        <w:footnoteReference w:id="6"/>
      </w:r>
      <w:r>
        <w:rPr>
          <w:rFonts w:ascii="Arial" w:hAnsi="Arial"/>
          <w:rtl w:val="0"/>
          <w:lang w:val="en-US"/>
        </w:rPr>
        <w:t xml:space="preserve"> In its place would stand the IMF's Special Drawing Rights (SDR). By being managed by international agreement, it was hoped the SDR could be designed to mitigate against international trade imbalances.</w:t>
      </w:r>
      <w:r>
        <w:rPr>
          <w:rFonts w:ascii="Arial" w:cs="Arial" w:hAnsi="Arial" w:eastAsia="Arial"/>
          <w:vertAlign w:val="superscript"/>
          <w:rtl w:val="0"/>
        </w:rPr>
        <w:footnoteReference w:id="7"/>
      </w:r>
      <w:r>
        <w:rPr>
          <w:rFonts w:ascii="Arial" w:hAnsi="Arial"/>
          <w:rtl w:val="0"/>
          <w:lang w:val="en-US"/>
        </w:rPr>
        <w:t xml:space="preserve"> Representatives from the G77 agreed, but wanted new issues of SDRs to flow directly to those developing states in need of balance of trade financing.</w:t>
      </w:r>
      <w:r>
        <w:rPr>
          <w:rFonts w:ascii="Arial" w:cs="Arial" w:hAnsi="Arial" w:eastAsia="Arial"/>
          <w:vertAlign w:val="superscript"/>
          <w:rtl w:val="0"/>
        </w:rPr>
        <w:footnoteReference w:id="8"/>
      </w:r>
      <w:r>
        <w:rPr>
          <w:rFonts w:ascii="Arial" w:hAnsi="Arial"/>
          <w:rtl w:val="0"/>
          <w:lang w:val="en-US"/>
        </w:rPr>
        <w:t xml:space="preserve"> These reform efforts reflected the continued dominance of a Keynesian-esque 'embedded liberal' consensus amongst global elites. The majority of central bankers, finance ministers, and world leaders associated floating exchange rates with 1930s-style</w:t>
      </w:r>
      <w:r>
        <w:rPr>
          <w:rFonts w:ascii="Arial" w:hAnsi="Arial"/>
          <w:b w:val="1"/>
          <w:bCs w:val="1"/>
          <w:i w:val="1"/>
          <w:iCs w:val="1"/>
          <w:rtl w:val="0"/>
          <w:lang w:val="en-US"/>
        </w:rPr>
        <w:t xml:space="preserve"> </w:t>
      </w:r>
      <w:r>
        <w:rPr>
          <w:rFonts w:ascii="Arial" w:hAnsi="Arial"/>
          <w:rtl w:val="0"/>
          <w:lang w:val="en-US"/>
        </w:rPr>
        <w:t>financial chaos.</w:t>
      </w:r>
      <w:r>
        <w:rPr>
          <w:rFonts w:ascii="Arial" w:cs="Arial" w:hAnsi="Arial" w:eastAsia="Arial"/>
          <w:vertAlign w:val="superscript"/>
          <w:rtl w:val="0"/>
        </w:rPr>
        <w:footnoteReference w:id="9"/>
      </w:r>
      <w:r>
        <w:rPr>
          <w:rFonts w:ascii="Arial" w:hAnsi="Arial"/>
          <w:b w:val="1"/>
          <w:bCs w:val="1"/>
          <w:i w:val="1"/>
          <w:iCs w:val="1"/>
          <w:rtl w:val="0"/>
          <w:lang w:val="en-US"/>
        </w:rPr>
        <w:t xml:space="preserve"> </w:t>
      </w:r>
      <w:r>
        <w:rPr>
          <w:rFonts w:ascii="Arial" w:hAnsi="Arial"/>
          <w:rtl w:val="0"/>
          <w:lang w:val="en-US"/>
        </w:rPr>
        <w:t xml:space="preserve">What's more, the breakdown of global embedded liberalism was wreaking havoc on domestic economies. Even those US elites who supported floating rates required some form of international cooperation, and so proposed trilateral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coordination of fiscal and monetary policy with Germany and Japan.</w:t>
      </w:r>
      <w:r>
        <w:rPr>
          <w:rFonts w:ascii="Arial" w:cs="Arial" w:hAnsi="Arial" w:eastAsia="Arial"/>
          <w:vertAlign w:val="superscript"/>
          <w:rtl w:val="0"/>
        </w:rPr>
        <w:footnoteReference w:id="10"/>
      </w:r>
      <w:r>
        <w:rPr>
          <w:rFonts w:ascii="Arial" w:hAnsi="Arial"/>
          <w:rtl w:val="0"/>
          <w:lang w:val="en-US"/>
        </w:rPr>
        <w:t xml:space="preserve"> Like good Leninists, all global elites knew that there could be no Keynesianism, nor capitalism, in one country.</w:t>
      </w:r>
      <w:r>
        <w:rPr>
          <w:rFonts w:ascii="Arial" w:cs="Arial" w:hAnsi="Arial" w:eastAsia="Arial"/>
          <w:vertAlign w:val="superscript"/>
          <w:rtl w:val="0"/>
        </w:rPr>
        <w:footnoteReference w:id="11"/>
      </w:r>
      <w:r>
        <w:rPr>
          <w:rFonts w:ascii="Arial" w:hAnsi="Arial"/>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r>
        <w:rPr>
          <w:rFonts w:ascii="Arial" w:hAnsi="Arial"/>
          <w:rtl w:val="0"/>
          <w:lang w:val="en-US"/>
        </w:rPr>
        <w:t xml:space="preserve">This context is important. It shows that the NIEO was not some utopian plea that G77 elites tried to ram through the United Nations. It was an intervention into a global reform effort that was already taking place. Indeed, it was taking place because </w:t>
      </w:r>
      <w:r>
        <w:rPr>
          <w:rFonts w:ascii="Arial" w:hAnsi="Arial" w:hint="default"/>
          <w:rtl w:val="0"/>
          <w:lang w:val="en-US"/>
        </w:rPr>
        <w:t xml:space="preserve">–– </w:t>
      </w:r>
      <w:r>
        <w:rPr>
          <w:rFonts w:ascii="Arial" w:hAnsi="Arial"/>
          <w:rtl w:val="0"/>
          <w:lang w:val="en-US"/>
        </w:rPr>
        <w:t xml:space="preserve">at the time </w:t>
      </w:r>
      <w:r>
        <w:rPr>
          <w:rFonts w:ascii="Arial" w:hAnsi="Arial" w:hint="default"/>
          <w:rtl w:val="0"/>
          <w:lang w:val="en-US"/>
        </w:rPr>
        <w:t xml:space="preserve">–– </w:t>
      </w:r>
      <w:r>
        <w:rPr>
          <w:rFonts w:ascii="Arial" w:hAnsi="Arial"/>
          <w:rtl w:val="0"/>
          <w:lang w:val="en-US"/>
        </w:rPr>
        <w:t>elites from all states believed in the need for some form of new international economic order. This had a direct bearing on the founding declarations of the NIEO, which stated that the '</w:t>
      </w:r>
      <w:r>
        <w:rPr>
          <w:rFonts w:ascii="Arial" w:hAnsi="Arial"/>
          <w:rtl w:val="0"/>
          <w:lang w:val="en-US"/>
        </w:rPr>
        <w:t>present international economic order is in direct conflict with current developments in international political and economic relations.</w:t>
      </w:r>
      <w:r>
        <w:rPr>
          <w:rFonts w:ascii="Arial" w:hAnsi="Arial"/>
          <w:rtl w:val="0"/>
          <w:lang w:val="en-US"/>
        </w:rPr>
        <w:t>'</w:t>
      </w:r>
      <w:r>
        <w:rPr>
          <w:rFonts w:ascii="Arial" w:cs="Arial" w:hAnsi="Arial" w:eastAsia="Arial"/>
          <w:vertAlign w:val="superscript"/>
          <w:rtl w:val="0"/>
        </w:rPr>
        <w:footnoteReference w:id="12"/>
      </w:r>
      <w:r>
        <w:rPr>
          <w:rFonts w:ascii="Arial" w:hAnsi="Arial"/>
          <w:rtl w:val="0"/>
          <w:lang w:val="en-US"/>
        </w:rPr>
        <w:t xml:space="preserve"> Thus, while the G77's focus was on overthrowing neo-colonialism and the declining terms of trade, the NIEO also had urgent, and immediate goals. It was envisioned as a means of solving the global economic crisis, as it affected all economies, including those in the so-called advanced industrial core. This was stated explicitly in the NIEO's founding declarations: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567" w:right="0" w:firstLine="0"/>
        <w:jc w:val="left"/>
        <w:rPr>
          <w:rFonts w:ascii="Arial" w:cs="Arial" w:hAnsi="Arial" w:eastAsia="Arial"/>
          <w:rtl w:val="0"/>
        </w:rPr>
      </w:pPr>
      <w:r>
        <w:rPr>
          <w:rFonts w:ascii="Arial" w:hAnsi="Arial"/>
          <w:rtl w:val="0"/>
          <w:lang w:val="en-US"/>
        </w:rPr>
        <w:t>'</w:t>
      </w:r>
      <w:r>
        <w:rPr>
          <w:rFonts w:ascii="Arial" w:hAnsi="Arial"/>
          <w:rtl w:val="0"/>
          <w:lang w:val="en-US"/>
        </w:rPr>
        <w:t>All these changes have thrust into prominence the reality of interdependence of all the members of the world community. Current events have brought into sharp focus the realization that the interests of the developed countries and those of the developing countries can no longer be isolated from each other, that there is a close interrelationship between the prosperity of the developed countries and the growth and development of the developing countries, and that the prosperity of the international community as a whole depends upon the prosperity of its constituent parts. International co-operation for development is the shared goal and common duty of all countries.</w:t>
      </w:r>
      <w:r>
        <w:rPr>
          <w:rFonts w:ascii="Arial" w:hAnsi="Arial"/>
          <w:rtl w:val="0"/>
          <w:lang w:val="en-US"/>
        </w:rPr>
        <w:t>'</w:t>
      </w:r>
      <w:r>
        <w:rPr>
          <w:rFonts w:ascii="Arial" w:cs="Arial" w:hAnsi="Arial" w:eastAsia="Arial"/>
          <w:vertAlign w:val="superscript"/>
          <w:rtl w:val="0"/>
        </w:rPr>
        <w:footnoteReference w:id="13"/>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Fonts w:ascii="Arial" w:cs="Arial" w:hAnsi="Arial" w:eastAsia="Arial"/>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ind w:left="0" w:right="0" w:firstLine="0"/>
        <w:jc w:val="left"/>
        <w:rPr>
          <w:rtl w:val="0"/>
        </w:rPr>
      </w:pPr>
      <w:r>
        <w:rPr>
          <w:rFonts w:ascii="Arial" w:hAnsi="Arial"/>
          <w:rtl w:val="0"/>
          <w:lang w:val="en-US"/>
        </w:rPr>
        <w:t>The problem for the G77 was that by late 1973 negotiations within the IMF had broken down.</w:t>
      </w:r>
      <w:r>
        <w:rPr>
          <w:rFonts w:ascii="Arial" w:cs="Arial" w:hAnsi="Arial" w:eastAsia="Arial"/>
          <w:vertAlign w:val="superscript"/>
          <w:rtl w:val="0"/>
        </w:rPr>
        <w:footnoteReference w:id="14"/>
      </w:r>
      <w:r>
        <w:rPr>
          <w:rFonts w:ascii="Arial" w:hAnsi="Arial"/>
          <w:rtl w:val="0"/>
          <w:lang w:val="en-US"/>
        </w:rPr>
        <w:t xml:space="preserve"> The reforms designed by the Committee of 20 were intended to support the new system of fixed exchange rates established with the Smithsonian Agreement in 1971.</w:t>
      </w:r>
      <w:r>
        <w:rPr>
          <w:rFonts w:ascii="Arial" w:cs="Arial" w:hAnsi="Arial" w:eastAsia="Arial"/>
          <w:vertAlign w:val="superscript"/>
          <w:rtl w:val="0"/>
        </w:rPr>
        <w:footnoteReference w:id="15"/>
      </w:r>
      <w:r>
        <w:rPr>
          <w:rFonts w:ascii="Arial" w:hAnsi="Arial"/>
          <w:rtl w:val="0"/>
          <w:lang w:val="en-US"/>
        </w:rPr>
        <w:t xml:space="preserve"> When this system of fixed-but-adjustable rates broke down, key European states were forced to float their currencies.</w:t>
      </w:r>
      <w:r>
        <w:rPr>
          <w:rFonts w:ascii="Arial" w:cs="Arial" w:hAnsi="Arial" w:eastAsia="Arial"/>
          <w:vertAlign w:val="superscript"/>
          <w:rtl w:val="0"/>
        </w:rPr>
        <w:footnoteReference w:id="16"/>
      </w:r>
      <w:r>
        <w:rPr>
          <w:rFonts w:ascii="Arial" w:hAnsi="Arial"/>
          <w:rtl w:val="0"/>
          <w:lang w:val="en-US"/>
        </w:rPr>
        <w:t xml:space="preserve"> In response, the IMF shifted its focus from 'radical' reform to an 'evolutionary' approach.</w:t>
      </w:r>
      <w:r>
        <w:rPr>
          <w:rFonts w:ascii="Arial" w:cs="Arial" w:hAnsi="Arial" w:eastAsia="Arial"/>
          <w:vertAlign w:val="superscript"/>
          <w:rtl w:val="0"/>
        </w:rPr>
        <w:footnoteReference w:id="17"/>
      </w:r>
      <w:r>
        <w:rPr>
          <w:rFonts w:ascii="Arial" w:hAnsi="Arial"/>
          <w:rtl w:val="0"/>
          <w:lang w:val="en-US"/>
        </w:rPr>
        <w:t xml:space="preserve"> Most world leaders still supported the establishment of a new, Bretton-Woods-style system of fixed exchange rates, but now believed it should be achieved gradually. It would emerge, they said, from temporary experimentation with floating exchange rates.</w:t>
      </w:r>
      <w:r>
        <w:rPr>
          <w:rFonts w:ascii="Arial" w:cs="Arial" w:hAnsi="Arial" w:eastAsia="Arial"/>
          <w:vertAlign w:val="superscript"/>
          <w:rtl w:val="0"/>
        </w:rPr>
        <w:footnoteReference w:id="18"/>
      </w:r>
      <w:r>
        <w:rPr>
          <w:rFonts w:ascii="Arial" w:hAnsi="Arial"/>
          <w:rtl w:val="0"/>
          <w:lang w:val="en-US"/>
        </w:rPr>
        <w:t xml:space="preserve"> Leaders from the Global South were not convinced. As noted by the IMF's official historian, they feared that '</w:t>
      </w:r>
      <w:r>
        <w:rPr>
          <w:rFonts w:ascii="Arial" w:hAnsi="Arial"/>
          <w:rtl w:val="0"/>
          <w:lang w:val="en-US"/>
        </w:rPr>
        <w:t>industrial members, facilitated by floating exchange rates, were pursuing highly inflationary policies and that when these members applied the brakes to such policies the worst recession since World War II would occur.</w:t>
      </w:r>
      <w:r>
        <w:rPr>
          <w:rFonts w:ascii="Arial" w:hAnsi="Arial" w:hint="default"/>
          <w:rtl w:val="1"/>
        </w:rPr>
        <w:t>’</w:t>
      </w:r>
      <w:r>
        <w:rPr>
          <w:rFonts w:ascii="Arial" w:cs="Arial" w:hAnsi="Arial" w:eastAsia="Arial"/>
          <w:vertAlign w:val="superscript"/>
          <w:rtl w:val="0"/>
        </w:rPr>
        <w:footnoteReference w:id="19"/>
      </w:r>
      <w:r>
        <w:rPr>
          <w:rFonts w:ascii="Arial" w:cs="Arial" w:hAnsi="Arial" w:eastAsia="Arial"/>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Group of 77, "</w:t>
      </w:r>
      <w:r>
        <w:rPr>
          <w:sz w:val="16"/>
          <w:szCs w:val="16"/>
          <w:rtl w:val="0"/>
          <w:lang w:val="en-US"/>
        </w:rPr>
        <w:t>Joint Declaration of the Seventy-Seven</w:t>
      </w:r>
      <w:r>
        <w:rPr>
          <w:sz w:val="16"/>
          <w:szCs w:val="16"/>
          <w:rtl w:val="0"/>
          <w:lang w:val="en-US"/>
        </w:rPr>
        <w:t xml:space="preserve">", </w:t>
      </w:r>
      <w:r>
        <w:rPr>
          <w:sz w:val="16"/>
          <w:szCs w:val="16"/>
          <w:rtl w:val="0"/>
          <w:lang w:val="en-US"/>
        </w:rPr>
        <w:t>June 15 1964</w:t>
      </w:r>
      <w:r>
        <w:rPr>
          <w:sz w:val="16"/>
          <w:szCs w:val="16"/>
          <w:rtl w:val="0"/>
          <w:lang w:val="en-US"/>
        </w:rPr>
        <w:t xml:space="preserve">. </w:t>
      </w:r>
      <w:r>
        <w:rPr>
          <w:sz w:val="16"/>
          <w:szCs w:val="16"/>
          <w:rtl w:val="0"/>
          <w:lang w:val="en-US"/>
        </w:rPr>
        <w:t>[http://www.g77.org/doc/Joint%20Declaration.html]</w:t>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 xml:space="preserve">Also see: </w:t>
      </w:r>
      <w:r>
        <w:rPr>
          <w:sz w:val="16"/>
          <w:szCs w:val="16"/>
          <w:rtl w:val="0"/>
          <w:lang w:val="en-US"/>
        </w:rPr>
        <w:t xml:space="preserve">Sauvant, Karl P. "The early days of the Group of 77." </w:t>
      </w:r>
      <w:r>
        <w:rPr>
          <w:i w:val="1"/>
          <w:iCs w:val="1"/>
          <w:sz w:val="16"/>
          <w:szCs w:val="16"/>
          <w:rtl w:val="0"/>
          <w:lang w:val="en-US"/>
        </w:rPr>
        <w:t>UN Chronicle: The Magazine of the United Nations</w:t>
      </w:r>
      <w:r>
        <w:rPr>
          <w:i w:val="1"/>
          <w:iCs w:val="1"/>
          <w:sz w:val="16"/>
          <w:szCs w:val="16"/>
          <w:rtl w:val="0"/>
          <w:lang w:val="en-US"/>
        </w:rPr>
        <w:t>,</w:t>
      </w:r>
      <w:r>
        <w:rPr>
          <w:sz w:val="16"/>
          <w:szCs w:val="16"/>
          <w:rtl w:val="0"/>
        </w:rPr>
        <w:t xml:space="preserve"> 51, no. 1 (2014): 27-33.</w:t>
      </w:r>
      <w:r>
        <w:rPr>
          <w:sz w:val="16"/>
          <w:szCs w:val="16"/>
          <w:rtl w:val="0"/>
          <w:lang w:val="en-US"/>
        </w:rPr>
        <w:t xml:space="preserve"> [</w:t>
      </w:r>
      <w:r>
        <w:rPr>
          <w:rStyle w:val="Hyperlink.0"/>
          <w:sz w:val="16"/>
          <w:szCs w:val="16"/>
        </w:rPr>
        <w:fldChar w:fldCharType="begin" w:fldLock="0"/>
      </w:r>
      <w:r>
        <w:rPr>
          <w:rStyle w:val="Hyperlink.0"/>
          <w:sz w:val="16"/>
          <w:szCs w:val="16"/>
        </w:rPr>
        <w:instrText xml:space="preserve"> HYPERLINK "https://www.un.org/en/chronicle/article/early-days-group-77"</w:instrText>
      </w:r>
      <w:r>
        <w:rPr>
          <w:rStyle w:val="Hyperlink.0"/>
          <w:sz w:val="16"/>
          <w:szCs w:val="16"/>
        </w:rPr>
        <w:fldChar w:fldCharType="separate" w:fldLock="0"/>
      </w:r>
      <w:r>
        <w:rPr>
          <w:rStyle w:val="Hyperlink.0"/>
          <w:sz w:val="16"/>
          <w:szCs w:val="16"/>
          <w:rtl w:val="0"/>
          <w:lang w:val="en-US"/>
        </w:rPr>
        <w:t>https://www.un.org/en/chronicle/article/early-days-group-77</w:t>
      </w:r>
      <w:r>
        <w:rPr>
          <w:sz w:val="16"/>
          <w:szCs w:val="16"/>
        </w:rPr>
        <w:fldChar w:fldCharType="end" w:fldLock="0"/>
      </w:r>
      <w:r>
        <w:rPr>
          <w:sz w:val="16"/>
          <w:szCs w:val="16"/>
          <w:rtl w:val="0"/>
          <w:lang w:val="en-US"/>
        </w:rPr>
        <w:t>]:</w:t>
      </w:r>
    </w:p>
    <w:p>
      <w:pPr>
        <w:pStyle w:val="Footnote"/>
        <w:rPr>
          <w:sz w:val="16"/>
          <w:szCs w:val="16"/>
        </w:rPr>
      </w:pPr>
    </w:p>
    <w:p>
      <w:pPr>
        <w:pStyle w:val="Footnote"/>
      </w:pPr>
      <w:r>
        <w:rPr>
          <w:sz w:val="16"/>
          <w:szCs w:val="16"/>
          <w:rtl w:val="0"/>
          <w:lang w:val="en-US"/>
        </w:rPr>
        <w:t>'</w:t>
      </w:r>
      <w:r>
        <w:rPr>
          <w:sz w:val="16"/>
          <w:szCs w:val="16"/>
          <w:rtl w:val="0"/>
          <w:lang w:val="en-US"/>
        </w:rPr>
        <w:t>UNCTAD I met in Geneva between 23rd March and the 16th June 1964. It was the first major North-South conference on development questions. During the negotiations at that conference, economic interests clearly</w:t>
      </w:r>
      <w:r>
        <w:rPr>
          <w:sz w:val="16"/>
          <w:szCs w:val="16"/>
          <w:rtl w:val="0"/>
        </w:rPr>
        <w:t> </w:t>
      </w:r>
      <w:r>
        <w:rPr>
          <w:sz w:val="16"/>
          <w:szCs w:val="16"/>
          <w:rtl w:val="0"/>
          <w:lang w:val="en-US"/>
        </w:rPr>
        <w:t>crystallized</w:t>
      </w:r>
      <w:r>
        <w:rPr>
          <w:sz w:val="16"/>
          <w:szCs w:val="16"/>
          <w:rtl w:val="0"/>
        </w:rPr>
        <w:t> </w:t>
      </w:r>
      <w:r>
        <w:rPr>
          <w:sz w:val="16"/>
          <w:szCs w:val="16"/>
          <w:rtl w:val="0"/>
          <w:lang w:val="en-US"/>
        </w:rPr>
        <w:t>along geo-political-group lines and the developing countries emerged as a</w:t>
      </w:r>
      <w:r>
        <w:rPr>
          <w:sz w:val="16"/>
          <w:szCs w:val="16"/>
          <w:rtl w:val="0"/>
        </w:rPr>
        <w:t> </w:t>
      </w:r>
      <w:r>
        <w:rPr>
          <w:sz w:val="16"/>
          <w:szCs w:val="16"/>
          <w:rtl w:val="0"/>
          <w:lang w:val="fr-FR"/>
        </w:rPr>
        <w:t>group</w:t>
      </w:r>
      <w:r>
        <w:rPr>
          <w:sz w:val="16"/>
          <w:szCs w:val="16"/>
          <w:rtl w:val="0"/>
        </w:rPr>
        <w:t> </w:t>
      </w:r>
      <w:r>
        <w:rPr>
          <w:sz w:val="16"/>
          <w:szCs w:val="16"/>
          <w:rtl w:val="0"/>
          <w:lang w:val="en-US"/>
        </w:rPr>
        <w:t>that</w:t>
      </w:r>
      <w:r>
        <w:rPr>
          <w:sz w:val="16"/>
          <w:szCs w:val="16"/>
          <w:rtl w:val="0"/>
        </w:rPr>
        <w:t> </w:t>
      </w:r>
      <w:r>
        <w:rPr>
          <w:sz w:val="16"/>
          <w:szCs w:val="16"/>
          <w:rtl w:val="0"/>
          <w:lang w:val="en-US"/>
        </w:rPr>
        <w:t>was</w:t>
      </w:r>
      <w:r>
        <w:rPr>
          <w:sz w:val="16"/>
          <w:szCs w:val="16"/>
          <w:rtl w:val="0"/>
        </w:rPr>
        <w:t> </w:t>
      </w:r>
      <w:r>
        <w:rPr>
          <w:sz w:val="16"/>
          <w:szCs w:val="16"/>
          <w:rtl w:val="0"/>
          <w:lang w:val="en-US"/>
        </w:rPr>
        <w:t>beginning to find its own identity.</w:t>
      </w:r>
      <w:r>
        <w:rPr>
          <w:sz w:val="16"/>
          <w:szCs w:val="16"/>
          <w:rtl w:val="0"/>
          <w:lang w:val="en-US"/>
        </w:rPr>
        <w:t>'</w:t>
      </w:r>
    </w:p>
  </w:footnote>
  <w:footnote w:id="2">
    <w:p>
      <w:pPr>
        <w:pStyle w:val="Footnote"/>
      </w:pPr>
      <w:r>
        <w:rPr>
          <w:sz w:val="16"/>
          <w:szCs w:val="16"/>
          <w:vertAlign w:val="superscript"/>
        </w:rPr>
        <w:footnoteRef/>
      </w:r>
      <w:r>
        <w:rPr>
          <w:sz w:val="16"/>
          <w:szCs w:val="16"/>
          <w:rtl w:val="0"/>
        </w:rPr>
        <w:t xml:space="preserve"> </w:t>
      </w:r>
      <w:r>
        <w:rPr>
          <w:sz w:val="16"/>
          <w:szCs w:val="16"/>
          <w:rtl w:val="0"/>
          <w:lang w:val="en-US"/>
        </w:rPr>
        <w:t>Ibid.</w:t>
      </w:r>
    </w:p>
  </w:footnote>
  <w:footnote w:id="3">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This began with the Smithsonian Agreement. See: Federal Reserve History, 'The Smithsonian Agreement', November 22, 2013. [</w:t>
      </w:r>
      <w:r>
        <w:rPr>
          <w:rStyle w:val="Hyperlink.0"/>
          <w:sz w:val="16"/>
          <w:szCs w:val="16"/>
        </w:rPr>
        <w:fldChar w:fldCharType="begin" w:fldLock="0"/>
      </w:r>
      <w:r>
        <w:rPr>
          <w:rStyle w:val="Hyperlink.0"/>
          <w:sz w:val="16"/>
          <w:szCs w:val="16"/>
        </w:rPr>
        <w:instrText xml:space="preserve"> HYPERLINK "https://www.federalreservehistory.org/essays/smithsonian-agreement"</w:instrText>
      </w:r>
      <w:r>
        <w:rPr>
          <w:rStyle w:val="Hyperlink.0"/>
          <w:sz w:val="16"/>
          <w:szCs w:val="16"/>
        </w:rPr>
        <w:fldChar w:fldCharType="separate" w:fldLock="0"/>
      </w:r>
      <w:r>
        <w:rPr>
          <w:rStyle w:val="Hyperlink.0"/>
          <w:sz w:val="16"/>
          <w:szCs w:val="16"/>
          <w:rtl w:val="0"/>
          <w:lang w:val="en-US"/>
        </w:rPr>
        <w:t>https://www.federalreservehistory.org/essays/smithsonian-agreement</w:t>
      </w:r>
      <w:r>
        <w:rPr>
          <w:sz w:val="16"/>
          <w:szCs w:val="16"/>
        </w:rPr>
        <w:fldChar w:fldCharType="end" w:fldLock="0"/>
      </w:r>
      <w:r>
        <w:rPr>
          <w:sz w:val="16"/>
          <w:szCs w:val="16"/>
          <w:rtl w:val="0"/>
          <w:lang w:val="en-US"/>
        </w:rPr>
        <w:t xml:space="preserve">]; </w:t>
      </w:r>
      <w:r>
        <w:rPr>
          <w:sz w:val="16"/>
          <w:szCs w:val="16"/>
          <w:rtl w:val="0"/>
          <w:lang w:val="nl-NL"/>
        </w:rPr>
        <w:t xml:space="preserve">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 p. 123:</w:t>
      </w:r>
    </w:p>
    <w:p>
      <w:pPr>
        <w:pStyle w:val="Footnote"/>
        <w:rPr>
          <w:sz w:val="16"/>
          <w:szCs w:val="16"/>
        </w:rPr>
      </w:pPr>
    </w:p>
    <w:p>
      <w:pPr>
        <w:pStyle w:val="Footnote"/>
      </w:pPr>
      <w:r>
        <w:rPr>
          <w:sz w:val="16"/>
          <w:szCs w:val="16"/>
          <w:rtl w:val="1"/>
        </w:rPr>
        <w:t>‘</w:t>
      </w:r>
      <w:r>
        <w:rPr>
          <w:sz w:val="16"/>
          <w:szCs w:val="16"/>
          <w:rtl w:val="0"/>
          <w:lang w:val="en-US"/>
        </w:rPr>
        <w:t>REFORMING THE INTERNATIONAL MONETARY SYSTEM presented monetary officials with an unusual challenge. They sensed that they were entering a new era and that, like those who had planned and negotiated the Bretton Woods system three decades earlier, they had an unusual opportunity to write a new monetary constitution for the world.</w:t>
      </w:r>
      <w:r>
        <w:rPr>
          <w:sz w:val="16"/>
          <w:szCs w:val="16"/>
          <w:rtl w:val="1"/>
        </w:rPr>
        <w:t xml:space="preserve">’ </w:t>
      </w:r>
      <w:r>
        <w:rPr>
          <w:sz w:val="16"/>
          <w:szCs w:val="16"/>
          <w:rtl w:val="0"/>
        </w:rPr>
        <w:t>p. 123.</w:t>
      </w:r>
    </w:p>
  </w:footnote>
  <w:footnote w:id="4">
    <w:p>
      <w:pPr>
        <w:pStyle w:val="Footnote"/>
      </w:pPr>
      <w:r>
        <w:rPr>
          <w:sz w:val="16"/>
          <w:szCs w:val="16"/>
          <w:vertAlign w:val="superscript"/>
        </w:rPr>
        <w:footnoteRef/>
      </w:r>
      <w:r>
        <w:rPr>
          <w:sz w:val="16"/>
          <w:szCs w:val="16"/>
          <w:rtl w:val="0"/>
        </w:rPr>
        <w:t xml:space="preserve"> </w:t>
      </w:r>
      <w:r>
        <w:rPr>
          <w:sz w:val="16"/>
          <w:szCs w:val="16"/>
          <w:rtl w:val="0"/>
          <w:lang w:val="en-US"/>
        </w:rPr>
        <w:t xml:space="preserve">IMF Executive Board, "Reform of the International Monetary System: A Sketch of Its Scope and Content", Ed. J. J. Polak, March 7, 1972. As Published in: IMF, </w:t>
      </w:r>
      <w:r>
        <w:rPr>
          <w:i w:val="1"/>
          <w:iCs w:val="1"/>
          <w:sz w:val="16"/>
          <w:szCs w:val="16"/>
          <w:rtl w:val="0"/>
          <w:lang w:val="en-US"/>
        </w:rPr>
        <w:t>The International Monetary Fund 1972-1978, Volume III: Documents</w:t>
      </w:r>
      <w:r>
        <w:rPr>
          <w:sz w:val="16"/>
          <w:szCs w:val="16"/>
          <w:rtl w:val="0"/>
          <w:lang w:val="en-US"/>
        </w:rPr>
        <w:t xml:space="preserve">, ed. </w:t>
      </w:r>
      <w:r>
        <w:rPr>
          <w:sz w:val="16"/>
          <w:szCs w:val="16"/>
          <w:rtl w:val="0"/>
          <w:lang w:val="nl-NL"/>
        </w:rPr>
        <w:t>Margaret Garritsen de Vries</w:t>
      </w:r>
      <w:r>
        <w:rPr>
          <w:sz w:val="16"/>
          <w:szCs w:val="16"/>
          <w:rtl w:val="0"/>
          <w:lang w:val="en-US"/>
        </w:rPr>
        <w:t>, (Washington DC, IMF, 1985), p. 4. [</w:t>
      </w:r>
      <w:r>
        <w:rPr>
          <w:rStyle w:val="Hyperlink.0"/>
          <w:sz w:val="16"/>
          <w:szCs w:val="16"/>
        </w:rPr>
        <w:fldChar w:fldCharType="begin" w:fldLock="0"/>
      </w:r>
      <w:r>
        <w:rPr>
          <w:rStyle w:val="Hyperlink.0"/>
          <w:sz w:val="16"/>
          <w:szCs w:val="16"/>
        </w:rPr>
        <w:instrText xml:space="preserve"> HYPERLINK "https://www.elibrary.imf.org/display/book/9781451940220/9781451940220.xml"</w:instrText>
      </w:r>
      <w:r>
        <w:rPr>
          <w:rStyle w:val="Hyperlink.0"/>
          <w:sz w:val="16"/>
          <w:szCs w:val="16"/>
        </w:rPr>
        <w:fldChar w:fldCharType="separate" w:fldLock="0"/>
      </w:r>
      <w:r>
        <w:rPr>
          <w:rStyle w:val="Hyperlink.0"/>
          <w:sz w:val="16"/>
          <w:szCs w:val="16"/>
          <w:rtl w:val="0"/>
          <w:lang w:val="en-US"/>
        </w:rPr>
        <w:t>https://www.elibrary.imf.org/display/book/9781451940220/9781451940220.xml</w:t>
      </w:r>
      <w:r>
        <w:rPr>
          <w:sz w:val="16"/>
          <w:szCs w:val="16"/>
        </w:rPr>
        <w:fldChar w:fldCharType="end" w:fldLock="0"/>
      </w:r>
      <w:r>
        <w:rPr>
          <w:sz w:val="16"/>
          <w:szCs w:val="16"/>
          <w:rtl w:val="0"/>
          <w:lang w:val="en-US"/>
        </w:rPr>
        <w:t xml:space="preserve">] </w:t>
      </w:r>
    </w:p>
  </w:footnote>
  <w:footnote w:id="5">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IMF, </w:t>
      </w:r>
      <w:r>
        <w:rPr>
          <w:sz w:val="16"/>
          <w:szCs w:val="16"/>
          <w:rtl w:val="0"/>
          <w:lang w:val="en-US"/>
        </w:rPr>
        <w:t xml:space="preserve">"Committee on Reform of the International Monetary System and Related Issues1". In </w:t>
      </w:r>
      <w:r>
        <w:rPr>
          <w:i w:val="1"/>
          <w:iCs w:val="1"/>
          <w:sz w:val="16"/>
          <w:szCs w:val="16"/>
          <w:rtl w:val="0"/>
          <w:lang w:val="en-US"/>
        </w:rPr>
        <w:t>Summary Proceedings of the Twenty-Seventh Annual Meeting of the Board of Governors 1972</w:t>
      </w:r>
      <w:r>
        <w:rPr>
          <w:sz w:val="16"/>
          <w:szCs w:val="16"/>
          <w:rtl w:val="0"/>
          <w:lang w:val="en-US"/>
        </w:rPr>
        <w:t xml:space="preserve">, (USA: International Monetary Fund, </w:t>
      </w:r>
      <w:r>
        <w:rPr>
          <w:sz w:val="16"/>
          <w:szCs w:val="16"/>
          <w:rtl w:val="0"/>
          <w:lang w:val="en-US"/>
        </w:rPr>
        <w:t xml:space="preserve">18 September, </w:t>
      </w:r>
      <w:r>
        <w:rPr>
          <w:sz w:val="16"/>
          <w:szCs w:val="16"/>
          <w:rtl w:val="0"/>
          <w:lang w:val="en-US"/>
        </w:rPr>
        <w:t>1972) accessed Jan 15, 2024, https://www.elibrary.imf.org/display/book/9781475576467/ch013.xml</w:t>
      </w:r>
    </w:p>
    <w:p>
      <w:pPr>
        <w:pStyle w:val="Footnote"/>
        <w:rPr>
          <w:sz w:val="16"/>
          <w:szCs w:val="16"/>
        </w:rPr>
      </w:pPr>
    </w:p>
    <w:p>
      <w:pPr>
        <w:pStyle w:val="Footnote"/>
        <w:rPr>
          <w:sz w:val="16"/>
          <w:szCs w:val="16"/>
        </w:rPr>
      </w:pPr>
      <w:r>
        <w:rPr>
          <w:sz w:val="16"/>
          <w:szCs w:val="16"/>
          <w:rtl w:val="0"/>
          <w:lang w:val="nl-NL"/>
        </w:rPr>
        <w:t xml:space="preserve">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 p. 151, 153:</w:t>
      </w:r>
    </w:p>
    <w:p>
      <w:pPr>
        <w:pStyle w:val="Footnote"/>
        <w:rPr>
          <w:sz w:val="16"/>
          <w:szCs w:val="16"/>
        </w:rPr>
      </w:pPr>
    </w:p>
    <w:p>
      <w:pPr>
        <w:pStyle w:val="Footnote"/>
      </w:pPr>
      <w:r>
        <w:rPr>
          <w:sz w:val="16"/>
          <w:szCs w:val="16"/>
          <w:rtl w:val="1"/>
        </w:rPr>
        <w:t>‘</w:t>
      </w:r>
      <w:r>
        <w:rPr>
          <w:sz w:val="16"/>
          <w:szCs w:val="16"/>
          <w:rtl w:val="0"/>
          <w:lang w:val="en-US"/>
        </w:rPr>
        <w:t>Mr. Volcker's views on the nature of a new group to negotiate reform collided with the ideas of the Fund management and staff. The Fund management and staff were convinced that the best way to organize a high-level group was to establish a committee of 20 Fund Governors based on the 20 constituencies that made up the Executive Board so that all Fund members would be able to regard themselves as represented. To include officials who would represent all the numerous developing members of the Fund was especially important since developing members were becoming an effective force in international monetary affairs and their consent to the shape of any reformed system was indispensable. Reform would require amendment of the Articles of Agreement, and collectively the developing members had more than enough votes to prevent ratification of any amendments they did not endorse.</w:t>
      </w:r>
      <w:r>
        <w:rPr>
          <w:sz w:val="16"/>
          <w:szCs w:val="16"/>
          <w:rtl w:val="1"/>
        </w:rPr>
        <w:t xml:space="preserve">’ </w:t>
      </w:r>
      <w:r>
        <w:rPr>
          <w:sz w:val="16"/>
          <w:szCs w:val="16"/>
          <w:rtl w:val="0"/>
        </w:rPr>
        <w:t>p. 151.</w:t>
      </w:r>
    </w:p>
  </w:footnote>
  <w:footnote w:id="6">
    <w:p>
      <w:pPr>
        <w:pStyle w:val="Footnote"/>
        <w:rPr>
          <w:sz w:val="16"/>
          <w:szCs w:val="16"/>
        </w:rPr>
      </w:pPr>
      <w:r>
        <w:rPr>
          <w:sz w:val="16"/>
          <w:szCs w:val="16"/>
          <w:vertAlign w:val="superscript"/>
        </w:rPr>
        <w:footnoteRef/>
      </w:r>
      <w:r>
        <w:rPr>
          <w:sz w:val="16"/>
          <w:szCs w:val="16"/>
          <w:rtl w:val="0"/>
          <w:lang w:val="nl-NL"/>
        </w:rPr>
        <w:t xml:space="preserve"> 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w:t>
      </w:r>
    </w:p>
    <w:p>
      <w:pPr>
        <w:pStyle w:val="Footnote"/>
        <w:rPr>
          <w:sz w:val="16"/>
          <w:szCs w:val="16"/>
        </w:rPr>
      </w:pPr>
    </w:p>
    <w:p>
      <w:pPr>
        <w:pStyle w:val="Footnote"/>
      </w:pPr>
      <w:r>
        <w:rPr>
          <w:sz w:val="16"/>
          <w:szCs w:val="16"/>
          <w:rtl w:val="1"/>
        </w:rPr>
        <w:t>‘</w:t>
      </w:r>
      <w:r>
        <w:rPr>
          <w:sz w:val="16"/>
          <w:szCs w:val="16"/>
          <w:rtl w:val="0"/>
          <w:lang w:val="en-US"/>
        </w:rPr>
        <w:t>Clearly after August 15, 1971, "reform" of the international monetary system meant something quite different from what it had meant before. In the second half of the 1960s and through 1970, reform meant improving the Bretton Woods system by, for example, introducing a new reserve asset (the SDR) or by making relatively minor modifications in the par value system so that large industrial countries could more easily change the par values for their currencies. After August 15, 1971, reform meant radically altering the Bretton Woods system by constructing a wholly new international monetary system with arrangements for convertibility, reserves, and reserve currencies different from what had existed in the Bretton Woods system, as well as a substantially altered exchange rate mechanism.</w:t>
      </w:r>
      <w:r>
        <w:rPr>
          <w:sz w:val="16"/>
          <w:szCs w:val="16"/>
          <w:rtl w:val="1"/>
        </w:rPr>
        <w:t>’</w:t>
      </w:r>
      <w:r>
        <w:rPr>
          <w:sz w:val="16"/>
          <w:szCs w:val="16"/>
          <w:rtl w:val="0"/>
          <w:lang w:val="en-US"/>
        </w:rPr>
        <w:t xml:space="preserve"> p. 123.</w:t>
      </w:r>
    </w:p>
  </w:footnote>
  <w:footnote w:id="7">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Ibid. p. 131, and:</w:t>
      </w:r>
    </w:p>
    <w:p>
      <w:pPr>
        <w:pStyle w:val="Footnote"/>
        <w:rPr>
          <w:sz w:val="16"/>
          <w:szCs w:val="16"/>
        </w:rPr>
      </w:pPr>
    </w:p>
    <w:p>
      <w:pPr>
        <w:pStyle w:val="Footnote"/>
        <w:rPr>
          <w:sz w:val="16"/>
          <w:szCs w:val="16"/>
        </w:rPr>
      </w:pPr>
      <w:r>
        <w:rPr>
          <w:sz w:val="16"/>
          <w:szCs w:val="16"/>
          <w:rtl w:val="1"/>
        </w:rPr>
        <w:t>‘</w:t>
      </w:r>
      <w:r>
        <w:rPr>
          <w:sz w:val="16"/>
          <w:szCs w:val="16"/>
          <w:rtl w:val="0"/>
          <w:lang w:val="en-US"/>
        </w:rPr>
        <w:t xml:space="preserve">To reduce the use of national currencies, especially the dollar, as reserves, the sketch discussed "consolidation arrangements." Large outstanding balances of dollars held by central banks as reserves would be consolidated in the Fund or somehow converted into an alternative asset, such as the SDR. This would reduce liquidity in the international monetary system. That liquidity, widely regarded as excessive, was heavily in the form of dollars. </w:t>
      </w:r>
    </w:p>
    <w:p>
      <w:pPr>
        <w:pStyle w:val="Footnote"/>
        <w:rPr>
          <w:sz w:val="16"/>
          <w:szCs w:val="16"/>
        </w:rPr>
      </w:pPr>
    </w:p>
    <w:p>
      <w:pPr>
        <w:pStyle w:val="Footnote"/>
        <w:rPr>
          <w:sz w:val="16"/>
          <w:szCs w:val="16"/>
        </w:rPr>
      </w:pPr>
      <w:r>
        <w:rPr>
          <w:sz w:val="16"/>
          <w:szCs w:val="16"/>
          <w:rtl w:val="0"/>
          <w:lang w:val="en-US"/>
        </w:rPr>
        <w:t>The sketch described arrangements for the Fund to distribute special issues of SDRs against balances of reserve currencies tendered to it by its members. (Later on, the term "substitution account" was used to describe arrangements of this type.) In this way the SDR would become the primary reserve asset of the international monetary system. Questions still to be settled concerned the scope of such consolidation-whether all existing holdings of dollar balances would be exchange able for SDRs-and the changes needed to make the SDR a sufficiently attractive reserve asset, such as increasing its rate of interest, enlarging the number of official bodies that could hold SDRs, broadening the transactions in which SDRs could be used, and relaxing the rules for reconstitution so that financial officials would be willing to exchange dollars for SDRs.</w:t>
      </w:r>
      <w:r>
        <w:rPr>
          <w:sz w:val="16"/>
          <w:szCs w:val="16"/>
          <w:rtl w:val="1"/>
        </w:rPr>
        <w:t xml:space="preserve">’ </w:t>
      </w:r>
      <w:r>
        <w:rPr>
          <w:sz w:val="16"/>
          <w:szCs w:val="16"/>
          <w:rtl w:val="0"/>
        </w:rPr>
        <w:t>pp. 126-127.</w:t>
      </w:r>
    </w:p>
    <w:p>
      <w:pPr>
        <w:pStyle w:val="Footnote"/>
        <w:rPr>
          <w:sz w:val="16"/>
          <w:szCs w:val="16"/>
        </w:rPr>
      </w:pPr>
    </w:p>
    <w:p>
      <w:pPr>
        <w:pStyle w:val="Footnote"/>
      </w:pPr>
      <w:r>
        <w:rPr>
          <w:sz w:val="16"/>
          <w:szCs w:val="16"/>
          <w:rtl w:val="0"/>
        </w:rPr>
        <w:t>C. Fred</w:t>
      </w:r>
      <w:r>
        <w:rPr>
          <w:sz w:val="16"/>
          <w:szCs w:val="16"/>
          <w:rtl w:val="0"/>
          <w:lang w:val="en-US"/>
        </w:rPr>
        <w:t xml:space="preserve"> Bergsten</w:t>
      </w:r>
      <w:r>
        <w:rPr>
          <w:sz w:val="16"/>
          <w:szCs w:val="16"/>
          <w:rtl w:val="0"/>
          <w:lang w:val="en-US"/>
        </w:rPr>
        <w:t xml:space="preserve">. "New urgency for international monetary reform." </w:t>
      </w:r>
      <w:r>
        <w:rPr>
          <w:i w:val="1"/>
          <w:iCs w:val="1"/>
          <w:sz w:val="16"/>
          <w:szCs w:val="16"/>
          <w:rtl w:val="0"/>
          <w:lang w:val="en-US"/>
        </w:rPr>
        <w:t>Foreign Policy</w:t>
      </w:r>
      <w:r>
        <w:rPr>
          <w:sz w:val="16"/>
          <w:szCs w:val="16"/>
          <w:rtl w:val="0"/>
        </w:rPr>
        <w:t xml:space="preserve"> 19 (1975): </w:t>
      </w:r>
      <w:r>
        <w:rPr>
          <w:sz w:val="16"/>
          <w:szCs w:val="16"/>
          <w:rtl w:val="0"/>
          <w:lang w:val="en-US"/>
        </w:rPr>
        <w:t xml:space="preserve">pp. </w:t>
      </w:r>
      <w:r>
        <w:rPr>
          <w:sz w:val="16"/>
          <w:szCs w:val="16"/>
          <w:rtl w:val="0"/>
        </w:rPr>
        <w:t>79-</w:t>
      </w:r>
      <w:r>
        <w:rPr>
          <w:sz w:val="16"/>
          <w:szCs w:val="16"/>
          <w:rtl w:val="0"/>
          <w:lang w:val="en-US"/>
        </w:rPr>
        <w:t>80</w:t>
      </w:r>
      <w:r>
        <w:rPr>
          <w:sz w:val="16"/>
          <w:szCs w:val="16"/>
          <w:rtl w:val="0"/>
        </w:rPr>
        <w:t>.</w:t>
      </w:r>
    </w:p>
  </w:footnote>
  <w:footnote w:id="8">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Ibid., pp. 139-140, 202-203, 205-207: </w:t>
      </w:r>
    </w:p>
    <w:p>
      <w:pPr>
        <w:pStyle w:val="Footnote"/>
        <w:rPr>
          <w:sz w:val="16"/>
          <w:szCs w:val="16"/>
        </w:rPr>
      </w:pPr>
    </w:p>
    <w:p>
      <w:pPr>
        <w:pStyle w:val="Footnote"/>
      </w:pPr>
      <w:r>
        <w:rPr>
          <w:sz w:val="16"/>
          <w:szCs w:val="16"/>
          <w:rtl w:val="0"/>
          <w:lang w:val="en-US"/>
        </w:rPr>
        <w:t>'</w:t>
      </w:r>
      <w:r>
        <w:rPr>
          <w:sz w:val="16"/>
          <w:szCs w:val="16"/>
          <w:rtl w:val="0"/>
          <w:lang w:val="en-US"/>
        </w:rPr>
        <w:t>Developing countries had been emphasizing how the disruption in the Bretton Woods system, especially in the second half of 1971, had affected them adversely and why it was essential for them to participate fully in the formulation and negotiation of any proposals to reform the system and in any associated proposals relating to international trade. This chapter of the report gave recognition to these needs and noted that officials of developing countries favored some of the particular features in a reformed system, such as a system of par values with maintenance of narrow margins around parities. In addition, it pointed out that the developing countries continued to be especially interested in a link between the creation of SDRs and the provision of finance for development purposes and spelled out four possible ways in which some such link could be established. This chapter also put the public on notice that a study of the link was already under way in the Fund.</w:t>
      </w:r>
      <w:r>
        <w:rPr>
          <w:sz w:val="16"/>
          <w:szCs w:val="16"/>
          <w:rtl w:val="1"/>
        </w:rPr>
        <w:t xml:space="preserve">’ </w:t>
      </w:r>
      <w:r>
        <w:rPr>
          <w:sz w:val="16"/>
          <w:szCs w:val="16"/>
          <w:rtl w:val="0"/>
          <w:lang w:val="it-IT"/>
        </w:rPr>
        <w:t>pp. 139-140.</w:t>
      </w:r>
    </w:p>
  </w:footnote>
  <w:footnote w:id="9">
    <w:p>
      <w:pPr>
        <w:pStyle w:val="Footnote"/>
        <w:rPr>
          <w:sz w:val="16"/>
          <w:szCs w:val="16"/>
        </w:rPr>
      </w:pPr>
      <w:r>
        <w:rPr>
          <w:sz w:val="16"/>
          <w:szCs w:val="16"/>
          <w:vertAlign w:val="superscript"/>
        </w:rPr>
        <w:footnoteRef/>
      </w:r>
      <w:r>
        <w:rPr>
          <w:sz w:val="16"/>
          <w:szCs w:val="16"/>
          <w:rtl w:val="0"/>
          <w:lang w:val="en-US"/>
        </w:rPr>
        <w:t xml:space="preserve"> </w:t>
      </w:r>
      <w:r>
        <w:rPr>
          <w:sz w:val="16"/>
          <w:szCs w:val="16"/>
          <w:rtl w:val="0"/>
          <w:lang w:val="de-DE"/>
        </w:rPr>
        <w:t>Eric</w:t>
      </w:r>
      <w:r>
        <w:rPr>
          <w:sz w:val="16"/>
          <w:szCs w:val="16"/>
          <w:rtl w:val="0"/>
          <w:lang w:val="en-US"/>
        </w:rPr>
        <w:t xml:space="preserve"> </w:t>
      </w:r>
      <w:r>
        <w:rPr>
          <w:sz w:val="16"/>
          <w:szCs w:val="16"/>
          <w:rtl w:val="0"/>
        </w:rPr>
        <w:t xml:space="preserve">Helleiner. </w:t>
      </w:r>
      <w:r>
        <w:rPr>
          <w:i w:val="1"/>
          <w:iCs w:val="1"/>
          <w:sz w:val="16"/>
          <w:szCs w:val="16"/>
          <w:rtl w:val="0"/>
          <w:lang w:val="en-US"/>
        </w:rPr>
        <w:t xml:space="preserve">States and the </w:t>
      </w:r>
      <w:r>
        <w:rPr>
          <w:i w:val="1"/>
          <w:iCs w:val="1"/>
          <w:sz w:val="16"/>
          <w:szCs w:val="16"/>
          <w:rtl w:val="0"/>
          <w:lang w:val="en-US"/>
        </w:rPr>
        <w:t>R</w:t>
      </w:r>
      <w:r>
        <w:rPr>
          <w:i w:val="1"/>
          <w:iCs w:val="1"/>
          <w:sz w:val="16"/>
          <w:szCs w:val="16"/>
          <w:rtl w:val="0"/>
          <w:lang w:val="en-US"/>
        </w:rPr>
        <w:t xml:space="preserve">eemergence of </w:t>
      </w:r>
      <w:r>
        <w:rPr>
          <w:i w:val="1"/>
          <w:iCs w:val="1"/>
          <w:sz w:val="16"/>
          <w:szCs w:val="16"/>
          <w:rtl w:val="0"/>
          <w:lang w:val="en-US"/>
        </w:rPr>
        <w:t>G</w:t>
      </w:r>
      <w:r>
        <w:rPr>
          <w:i w:val="1"/>
          <w:iCs w:val="1"/>
          <w:sz w:val="16"/>
          <w:szCs w:val="16"/>
          <w:rtl w:val="0"/>
        </w:rPr>
        <w:t xml:space="preserve">lobal </w:t>
      </w:r>
      <w:r>
        <w:rPr>
          <w:i w:val="1"/>
          <w:iCs w:val="1"/>
          <w:sz w:val="16"/>
          <w:szCs w:val="16"/>
          <w:rtl w:val="0"/>
          <w:lang w:val="en-US"/>
        </w:rPr>
        <w:t>F</w:t>
      </w:r>
      <w:r>
        <w:rPr>
          <w:i w:val="1"/>
          <w:iCs w:val="1"/>
          <w:sz w:val="16"/>
          <w:szCs w:val="16"/>
          <w:rtl w:val="0"/>
          <w:lang w:val="en-US"/>
        </w:rPr>
        <w:t>inance: from Bretton Woods to the 1990s</w:t>
      </w:r>
      <w:r>
        <w:rPr>
          <w:sz w:val="16"/>
          <w:szCs w:val="16"/>
          <w:rtl w:val="0"/>
          <w:lang w:val="en-US"/>
        </w:rPr>
        <w:t>. Cornell university press, 1996</w:t>
      </w:r>
      <w:r>
        <w:rPr>
          <w:sz w:val="16"/>
          <w:szCs w:val="16"/>
          <w:rtl w:val="0"/>
          <w:lang w:val="en-US"/>
        </w:rPr>
        <w:t>:</w:t>
      </w:r>
    </w:p>
    <w:p>
      <w:pPr>
        <w:pStyle w:val="Footnote"/>
        <w:rPr>
          <w:sz w:val="16"/>
          <w:szCs w:val="16"/>
        </w:rPr>
      </w:pPr>
    </w:p>
    <w:p>
      <w:pPr>
        <w:pStyle w:val="Footnote"/>
        <w:rPr>
          <w:sz w:val="16"/>
          <w:szCs w:val="16"/>
        </w:rPr>
      </w:pPr>
      <w:r>
        <w:rPr>
          <w:sz w:val="16"/>
          <w:szCs w:val="16"/>
          <w:rtl w:val="0"/>
          <w:lang w:val="en-US"/>
        </w:rPr>
        <w:t>'</w:t>
      </w:r>
      <w:r>
        <w:rPr>
          <w:sz w:val="16"/>
          <w:szCs w:val="16"/>
          <w:rtl w:val="0"/>
          <w:lang w:val="en-US"/>
        </w:rPr>
        <w:t>Friedman's followers predicted that floating exchange rates would smoothly adjust to changing underlying conditions, but most central bankers feared that such rates would prove volatile, disrupt trade patterns, and lead to widespread resource misallocation. On the whole, they favored stricter controls on speculative capital movements in the interest of preserving a stable exchange rate system and liberal trading order, for they viewed these as more important aspects of a liberal international economic order than a liberal financial system. Hans Kloss, the general manager of the Austrian National Bank counseled that "we should have the courage to say that the idea of liberalized capital movements cannot be upheld in all respects and at all times. Rather if monetary and economic damage is to be avoided, it is an ideal which can only be applied with extreme caution."61' p. 118.</w:t>
      </w:r>
    </w:p>
    <w:p>
      <w:pPr>
        <w:pStyle w:val="Footnote"/>
        <w:rPr>
          <w:sz w:val="16"/>
          <w:szCs w:val="16"/>
        </w:rPr>
      </w:pPr>
    </w:p>
    <w:p>
      <w:pPr>
        <w:pStyle w:val="Footnote"/>
        <w:rPr>
          <w:sz w:val="16"/>
          <w:szCs w:val="16"/>
        </w:rPr>
      </w:pPr>
    </w:p>
    <w:p>
      <w:pPr>
        <w:pStyle w:val="Footnote"/>
        <w:rPr>
          <w:sz w:val="16"/>
          <w:szCs w:val="16"/>
        </w:rPr>
      </w:pPr>
      <w:r>
        <w:rPr>
          <w:sz w:val="16"/>
          <w:szCs w:val="16"/>
          <w:rtl w:val="0"/>
          <w:lang w:val="da-DK"/>
        </w:rPr>
        <w:t>Harold</w:t>
      </w:r>
      <w:r>
        <w:rPr>
          <w:sz w:val="16"/>
          <w:szCs w:val="16"/>
          <w:rtl w:val="0"/>
          <w:lang w:val="en-US"/>
        </w:rPr>
        <w:t xml:space="preserve"> James</w:t>
      </w:r>
      <w:r>
        <w:rPr>
          <w:sz w:val="16"/>
          <w:szCs w:val="16"/>
          <w:rtl w:val="0"/>
          <w:lang w:val="en-US"/>
        </w:rPr>
        <w:t xml:space="preserve">. "CHAPTER 9 Reform of the International Monetary System, or Nonsystem?". In </w:t>
      </w:r>
      <w:r>
        <w:rPr>
          <w:i w:val="1"/>
          <w:iCs w:val="1"/>
          <w:sz w:val="16"/>
          <w:szCs w:val="16"/>
          <w:rtl w:val="0"/>
          <w:lang w:val="en-US"/>
        </w:rPr>
        <w:t>International Monetary Cooperation Since Bretton Woods</w:t>
      </w:r>
      <w:r>
        <w:rPr>
          <w:sz w:val="16"/>
          <w:szCs w:val="16"/>
          <w:rtl w:val="0"/>
          <w:lang w:val="en-US"/>
        </w:rPr>
        <w:t>, (USA: Oxford University Press, 1996) accessed Jan 15, 2024, https://doi.org/10.5089/9781475506969.071.ch009</w:t>
      </w:r>
    </w:p>
    <w:p>
      <w:pPr>
        <w:pStyle w:val="Footnote"/>
        <w:rPr>
          <w:sz w:val="16"/>
          <w:szCs w:val="16"/>
        </w:rPr>
      </w:pPr>
    </w:p>
    <w:p>
      <w:pPr>
        <w:pStyle w:val="Footnote"/>
        <w:rPr>
          <w:sz w:val="16"/>
          <w:szCs w:val="16"/>
        </w:rPr>
      </w:pPr>
      <w:r>
        <w:rPr>
          <w:sz w:val="16"/>
          <w:szCs w:val="16"/>
          <w:rtl w:val="0"/>
          <w:lang w:val="en-US"/>
        </w:rPr>
        <w:t xml:space="preserve">'There were few significant political advocates of floating (although it commanded a substantial academic following) at the beginning of the </w:t>
      </w:r>
      <w:r>
        <w:rPr>
          <w:sz w:val="16"/>
          <w:szCs w:val="16"/>
          <w:rtl w:val="1"/>
          <w:lang w:val="ar-SA" w:bidi="ar-SA"/>
        </w:rPr>
        <w:t>“</w:t>
      </w:r>
      <w:r>
        <w:rPr>
          <w:sz w:val="16"/>
          <w:szCs w:val="16"/>
          <w:rtl w:val="0"/>
          <w:lang w:val="en-US"/>
        </w:rPr>
        <w:t>disintegration of Bretton Woods.</w:t>
      </w:r>
      <w:r>
        <w:rPr>
          <w:sz w:val="16"/>
          <w:szCs w:val="16"/>
          <w:rtl w:val="0"/>
        </w:rPr>
        <w:t xml:space="preserve">” </w:t>
      </w:r>
      <w:r>
        <w:rPr>
          <w:sz w:val="16"/>
          <w:szCs w:val="16"/>
          <w:rtl w:val="0"/>
          <w:lang w:val="en-US"/>
        </w:rPr>
        <w:t xml:space="preserve">Karl Schiller, the German Economics Minister and at first the only enthusiastic political </w:t>
      </w:r>
      <w:r>
        <w:rPr>
          <w:sz w:val="16"/>
          <w:szCs w:val="16"/>
          <w:rtl w:val="1"/>
          <w:lang w:val="ar-SA" w:bidi="ar-SA"/>
        </w:rPr>
        <w:t>“</w:t>
      </w:r>
      <w:r>
        <w:rPr>
          <w:sz w:val="16"/>
          <w:szCs w:val="16"/>
          <w:rtl w:val="0"/>
        </w:rPr>
        <w:t>floater</w:t>
      </w:r>
      <w:r>
        <w:rPr>
          <w:sz w:val="16"/>
          <w:szCs w:val="16"/>
          <w:rtl w:val="0"/>
        </w:rPr>
        <w:t xml:space="preserve">” </w:t>
      </w:r>
      <w:r>
        <w:rPr>
          <w:sz w:val="16"/>
          <w:szCs w:val="16"/>
          <w:rtl w:val="0"/>
          <w:lang w:val="en-US"/>
        </w:rPr>
        <w:t xml:space="preserve">on the international stage, was outvoted in the German cabinet in a debate over the international position of the deutsche mark, and resigned in 1972. After 1972, the new U.S. Treasury Secretary, George Shultz, also believed that floating represented the best outcome, but he was at least at the outset unwilling to articulate this position in an international context which was looking for a </w:t>
      </w:r>
      <w:r>
        <w:rPr>
          <w:sz w:val="16"/>
          <w:szCs w:val="16"/>
          <w:rtl w:val="1"/>
          <w:lang w:val="ar-SA" w:bidi="ar-SA"/>
        </w:rPr>
        <w:t>“</w:t>
      </w:r>
      <w:r>
        <w:rPr>
          <w:sz w:val="16"/>
          <w:szCs w:val="16"/>
          <w:rtl w:val="0"/>
          <w:lang w:val="fr-FR"/>
        </w:rPr>
        <w:t>solution</w:t>
      </w:r>
      <w:r>
        <w:rPr>
          <w:sz w:val="16"/>
          <w:szCs w:val="16"/>
          <w:rtl w:val="0"/>
        </w:rPr>
        <w:t xml:space="preserve">” </w:t>
      </w:r>
      <w:r>
        <w:rPr>
          <w:sz w:val="16"/>
          <w:szCs w:val="16"/>
          <w:rtl w:val="0"/>
          <w:lang w:val="en-US"/>
        </w:rPr>
        <w:t xml:space="preserve">to the currency problem. In June 1972, the Chief Economist of the U.S. Office of Management and Budget, the Chicago economist Arthur Laffer, when discussing this issue with IMF officials merely argued not </w:t>
      </w:r>
      <w:r>
        <w:rPr>
          <w:sz w:val="16"/>
          <w:szCs w:val="16"/>
          <w:rtl w:val="1"/>
          <w:lang w:val="ar-SA" w:bidi="ar-SA"/>
        </w:rPr>
        <w:t>“</w:t>
      </w:r>
      <w:r>
        <w:rPr>
          <w:sz w:val="16"/>
          <w:szCs w:val="16"/>
          <w:rtl w:val="0"/>
          <w:lang w:val="en-US"/>
        </w:rPr>
        <w:t>that a floating rate system would be a preferred alternative but rather that it might not be such a bad alternative.</w:t>
      </w:r>
      <w:r>
        <w:rPr>
          <w:sz w:val="16"/>
          <w:szCs w:val="16"/>
          <w:rtl w:val="0"/>
        </w:rPr>
        <w:t>”</w:t>
      </w:r>
      <w:r>
        <w:rPr>
          <w:sz w:val="16"/>
          <w:szCs w:val="16"/>
          <w:rtl w:val="0"/>
          <w:lang w:val="ru-RU"/>
        </w:rPr>
        <w:t xml:space="preserve">9' </w:t>
      </w:r>
    </w:p>
    <w:p>
      <w:pPr>
        <w:pStyle w:val="Footnote"/>
        <w:rPr>
          <w:sz w:val="16"/>
          <w:szCs w:val="16"/>
        </w:rPr>
      </w:pPr>
    </w:p>
    <w:p>
      <w:pPr>
        <w:pStyle w:val="Footnote"/>
        <w:rPr>
          <w:sz w:val="16"/>
          <w:szCs w:val="16"/>
        </w:rPr>
      </w:pPr>
      <w:r>
        <w:rPr>
          <w:sz w:val="16"/>
          <w:szCs w:val="16"/>
          <w:rtl w:val="0"/>
          <w:lang w:val="nl-NL"/>
        </w:rPr>
        <w:t xml:space="preserve">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w:t>
      </w:r>
    </w:p>
    <w:p>
      <w:pPr>
        <w:pStyle w:val="Footnote"/>
        <w:rPr>
          <w:sz w:val="16"/>
          <w:szCs w:val="16"/>
        </w:rPr>
      </w:pPr>
    </w:p>
    <w:p>
      <w:pPr>
        <w:pStyle w:val="Footnote"/>
        <w:rPr>
          <w:sz w:val="16"/>
          <w:szCs w:val="16"/>
        </w:rPr>
      </w:pPr>
      <w:r>
        <w:rPr>
          <w:sz w:val="16"/>
          <w:szCs w:val="16"/>
          <w:rtl w:val="1"/>
        </w:rPr>
        <w:t>‘</w:t>
      </w:r>
      <w:r>
        <w:rPr>
          <w:sz w:val="16"/>
          <w:szCs w:val="16"/>
          <w:rtl w:val="0"/>
          <w:lang w:val="en-US"/>
        </w:rPr>
        <w:t>The push for a reformed system by these officials even after the emergence of floating rates in March 1973 reflected long-standing anxieties about floating rates. At the time, most public officials, as well as bankers and businessmen, looked upon the emergence of floating rates as an unfortunate development with potentially harmful consequences for international trade and investment and for monetary and financial relations between countries. As Mr. Volcker subsequently said, "many feared that resort to floating without clearly defined rules of behavior would undermine international economic integration and interfere with trade and investment. Some went further. They felt that what they saw as a total breakdown of the monetary order was responsible for much of the instability in the world economy and carried the seeds of political and economic chaos."2 Even in the most favorable light at the time, floating rates represented a vast departure from the fixed rates of the Bretton Woods system that had performed so well since World War II and were historically untested except in the hyperinflation period of the 1920s and the deep depression of the 1930s.</w:t>
      </w:r>
      <w:r>
        <w:rPr>
          <w:sz w:val="16"/>
          <w:szCs w:val="16"/>
          <w:rtl w:val="1"/>
        </w:rPr>
        <w:t xml:space="preserve">’ </w:t>
      </w:r>
      <w:r>
        <w:rPr>
          <w:sz w:val="16"/>
          <w:szCs w:val="16"/>
          <w:rtl w:val="0"/>
        </w:rPr>
        <w:t>p. 190.</w:t>
      </w:r>
    </w:p>
    <w:p>
      <w:pPr>
        <w:pStyle w:val="Footnote"/>
        <w:rPr>
          <w:sz w:val="16"/>
          <w:szCs w:val="16"/>
        </w:rPr>
      </w:pPr>
    </w:p>
    <w:p>
      <w:pPr>
        <w:pStyle w:val="Footnote"/>
        <w:rPr>
          <w:sz w:val="16"/>
          <w:szCs w:val="16"/>
        </w:rPr>
      </w:pPr>
      <w:r>
        <w:rPr>
          <w:sz w:val="16"/>
          <w:szCs w:val="16"/>
          <w:rtl w:val="0"/>
          <w:lang w:val="en-US"/>
        </w:rPr>
        <w:t>Also:</w:t>
      </w:r>
    </w:p>
    <w:p>
      <w:pPr>
        <w:pStyle w:val="Footnote"/>
      </w:pPr>
      <w:r>
        <w:rPr>
          <w:sz w:val="16"/>
          <w:szCs w:val="16"/>
          <w:rtl w:val="0"/>
          <w:lang w:val="en-US"/>
        </w:rPr>
        <w:t>'</w:t>
      </w:r>
      <w:r>
        <w:rPr>
          <w:sz w:val="16"/>
          <w:szCs w:val="16"/>
          <w:rtl w:val="0"/>
          <w:lang w:val="en-US"/>
        </w:rPr>
        <w:t>Like the French deputies, the deputies from other countries also had difficulty with the idea of legalizing the use of floating exchange rates even temporarily. When this topic was raised, the deputy from Belgium, the deputies from France, and the deputies from Japan, Koichi Inamura and Hitoshi Yukawa, objected to any use of floating rates.</w:t>
      </w:r>
      <w:r>
        <w:rPr>
          <w:sz w:val="16"/>
          <w:szCs w:val="16"/>
          <w:rtl w:val="1"/>
        </w:rPr>
        <w:t xml:space="preserve">’ </w:t>
      </w:r>
      <w:r>
        <w:rPr>
          <w:sz w:val="16"/>
          <w:szCs w:val="16"/>
          <w:rtl w:val="0"/>
        </w:rPr>
        <w:t>p. 172.</w:t>
      </w:r>
    </w:p>
  </w:footnote>
  <w:footnote w:id="10">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In 1972, US elites had even supported an SDR-based system:</w:t>
      </w:r>
    </w:p>
    <w:p>
      <w:pPr>
        <w:pStyle w:val="Footnote"/>
        <w:rPr>
          <w:sz w:val="16"/>
          <w:szCs w:val="16"/>
        </w:rPr>
      </w:pPr>
    </w:p>
    <w:p>
      <w:pPr>
        <w:pStyle w:val="Footnote"/>
        <w:rPr>
          <w:sz w:val="16"/>
          <w:szCs w:val="16"/>
        </w:rPr>
      </w:pPr>
      <w:r>
        <w:rPr>
          <w:sz w:val="16"/>
          <w:szCs w:val="16"/>
          <w:rtl w:val="0"/>
          <w:lang w:val="nl-NL"/>
        </w:rPr>
        <w:t xml:space="preserve">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w:t>
      </w:r>
    </w:p>
    <w:p>
      <w:pPr>
        <w:pStyle w:val="Footnote"/>
        <w:rPr>
          <w:sz w:val="16"/>
          <w:szCs w:val="16"/>
        </w:rPr>
      </w:pPr>
    </w:p>
    <w:p>
      <w:pPr>
        <w:pStyle w:val="Footnote"/>
        <w:rPr>
          <w:sz w:val="16"/>
          <w:szCs w:val="16"/>
        </w:rPr>
      </w:pPr>
      <w:r>
        <w:rPr>
          <w:sz w:val="16"/>
          <w:szCs w:val="16"/>
          <w:rtl w:val="1"/>
        </w:rPr>
        <w:t>‘</w:t>
      </w:r>
      <w:r>
        <w:rPr>
          <w:sz w:val="16"/>
          <w:szCs w:val="16"/>
          <w:rtl w:val="0"/>
          <w:lang w:val="en-US"/>
        </w:rPr>
        <w:t>At the 1972 Annual Meeting, Mr. Shultz made it clear that the United States would accept an exchange rate regime based on central or par values if provision was made for fairly wide margins around these values and for countries to float their currencies and if appropriate criteria were used to bring about changes in exchange rates, including changes for countries with balance of payments surpluses. The United States would also agree to making the dollar again convertible into primary reserve assets, although within defined limits. Part of the existing holdings of dollars by the central banks of other countries might also be exchanged for a special issue of SDRs at the option of the holder. The United States, moreover, would accept the SDR as the numeraire of a reformed system and would agree that the SDR could be made free of encumbrances, such as reconstitution obligations, designation procedures, and holding limits, which detracted from its use. In all these respects, the United States seemed to have accepted the proposals put forward by Mr. Barber a year earlier.</w:t>
      </w:r>
      <w:r>
        <w:rPr>
          <w:sz w:val="16"/>
          <w:szCs w:val="16"/>
          <w:rtl w:val="1"/>
        </w:rPr>
        <w:t xml:space="preserve">’ </w:t>
      </w:r>
      <w:r>
        <w:rPr>
          <w:sz w:val="16"/>
          <w:szCs w:val="16"/>
          <w:rtl w:val="0"/>
        </w:rPr>
        <w:t>p. 167.</w:t>
      </w:r>
    </w:p>
    <w:p>
      <w:pPr>
        <w:pStyle w:val="Footnote"/>
        <w:rPr>
          <w:sz w:val="16"/>
          <w:szCs w:val="16"/>
        </w:rPr>
      </w:pPr>
    </w:p>
    <w:p>
      <w:pPr>
        <w:pStyle w:val="Footnote"/>
        <w:rPr>
          <w:sz w:val="16"/>
          <w:szCs w:val="16"/>
        </w:rPr>
      </w:pPr>
      <w:r>
        <w:rPr>
          <w:sz w:val="16"/>
          <w:szCs w:val="16"/>
          <w:rtl w:val="0"/>
          <w:lang w:val="en-US"/>
        </w:rPr>
        <w:t>AND:</w:t>
      </w:r>
    </w:p>
    <w:p>
      <w:pPr>
        <w:pStyle w:val="Footnote"/>
        <w:rPr>
          <w:sz w:val="16"/>
          <w:szCs w:val="16"/>
        </w:rPr>
      </w:pPr>
    </w:p>
    <w:p>
      <w:pPr>
        <w:pStyle w:val="Footnote"/>
        <w:rPr>
          <w:sz w:val="16"/>
          <w:szCs w:val="16"/>
        </w:rPr>
      </w:pPr>
      <w:r>
        <w:rPr>
          <w:sz w:val="16"/>
          <w:szCs w:val="16"/>
          <w:rtl w:val="1"/>
        </w:rPr>
        <w:t>‘</w:t>
      </w:r>
      <w:r>
        <w:rPr>
          <w:sz w:val="16"/>
          <w:szCs w:val="16"/>
          <w:rtl w:val="0"/>
          <w:lang w:val="en-US"/>
        </w:rPr>
        <w:t>The deputies were able to agree relatively readily at their meeting in January 1973 that the SDR should become the principal reserve asset of the reformed system. This agreement was quite an achievement in that the first SDRs had been allocated only three years before. Acceptance of the SDR as the principal reserve asset of the reformed system, however, resulted in large part because of the absence of any suitable alternative. Only G. W.G. Browne, the deputy from South Africa, and Mr. Pierre-Brossolette were willing to make any case for gold. And all deputies, even those from the United States, were willing to agree, or at least concede, that no national currency, such as the dollar, could be the prime reserve asset.</w:t>
      </w:r>
      <w:r>
        <w:rPr>
          <w:sz w:val="16"/>
          <w:szCs w:val="16"/>
          <w:rtl w:val="1"/>
        </w:rPr>
        <w:t xml:space="preserve">’ </w:t>
      </w:r>
      <w:r>
        <w:rPr>
          <w:sz w:val="16"/>
          <w:szCs w:val="16"/>
          <w:rtl w:val="0"/>
        </w:rPr>
        <w:t>p. 178.</w:t>
      </w:r>
    </w:p>
    <w:p>
      <w:pPr>
        <w:pStyle w:val="Footnote"/>
        <w:rPr>
          <w:sz w:val="16"/>
          <w:szCs w:val="16"/>
        </w:rPr>
      </w:pPr>
      <w:r>
        <w:rPr>
          <w:sz w:val="16"/>
          <w:szCs w:val="16"/>
          <w:rtl w:val="0"/>
          <w:lang w:val="en-US"/>
        </w:rPr>
        <w:t>...</w:t>
      </w:r>
    </w:p>
    <w:p>
      <w:pPr>
        <w:pStyle w:val="Footnote"/>
      </w:pPr>
      <w:r>
        <w:rPr>
          <w:sz w:val="16"/>
          <w:szCs w:val="16"/>
          <w:rtl w:val="1"/>
        </w:rPr>
        <w:t>‘</w:t>
      </w:r>
      <w:r>
        <w:rPr>
          <w:sz w:val="16"/>
          <w:szCs w:val="16"/>
          <w:rtl w:val="0"/>
          <w:lang w:val="en-US"/>
        </w:rPr>
        <w:t>The deputies were also able to agree quite readily that reserve creation and the volume of international liquidity ought to be subject to international control. Otherwise the supply of global reserves would continue to be affected by the injection of reserve currencies into the system when reserve centers had deficits or by the withdrawal of reserve currencies from the system when they had surpluses. But this alternative was unacceptable: all the deputies agreed that global reserves should not be influenced to any significant extent by the balance of payments positions of reserve center countries. Deputies from Western European members used the word "control" of reserve creation to stress that the creation of dollar liabilities as a source of reserves should be done away with in the reformed system. The deputies from the United Kingdom, Christopher W. McMahon and Derek J. Mitchell, suggested the word "management" of reserve creation, leaving the way open for some use of dollars as reserves. All deputies agreed, too, that international control or management of reserve creation should be achieved primarily through decisions to allocate or cancel SDRs.</w:t>
      </w:r>
      <w:r>
        <w:rPr>
          <w:sz w:val="16"/>
          <w:szCs w:val="16"/>
          <w:rtl w:val="1"/>
        </w:rPr>
        <w:t xml:space="preserve">’ </w:t>
      </w:r>
      <w:r>
        <w:rPr>
          <w:sz w:val="16"/>
          <w:szCs w:val="16"/>
          <w:rtl w:val="0"/>
        </w:rPr>
        <w:t>p. 178.</w:t>
      </w:r>
    </w:p>
  </w:footnote>
  <w:footnote w:id="11">
    <w:p>
      <w:pPr>
        <w:pStyle w:val="Footnote"/>
      </w:pPr>
      <w:r>
        <w:rPr>
          <w:sz w:val="16"/>
          <w:szCs w:val="16"/>
          <w:vertAlign w:val="superscript"/>
        </w:rPr>
        <w:footnoteRef/>
      </w:r>
      <w:r>
        <w:rPr>
          <w:sz w:val="16"/>
          <w:szCs w:val="16"/>
          <w:rtl w:val="0"/>
          <w:lang w:val="en-US"/>
        </w:rPr>
        <w:t xml:space="preserve"> He argued in 1944 that a US-dollar reserve system would lead to massive imbalances of global trade. This is precisely what led to Nixon de-linking the dollar from gold.</w:t>
      </w:r>
    </w:p>
  </w:footnote>
  <w:footnote w:id="12">
    <w:p>
      <w:pPr>
        <w:pStyle w:val="Footnote"/>
      </w:pPr>
      <w:r>
        <w:rPr>
          <w:sz w:val="16"/>
          <w:szCs w:val="16"/>
          <w:vertAlign w:val="superscript"/>
        </w:rPr>
        <w:footnoteRef/>
      </w:r>
      <w:r>
        <w:rPr>
          <w:sz w:val="16"/>
          <w:szCs w:val="16"/>
          <w:rtl w:val="0"/>
        </w:rPr>
        <w:t xml:space="preserve"> </w:t>
      </w:r>
      <w:r>
        <w:rPr>
          <w:sz w:val="16"/>
          <w:szCs w:val="16"/>
          <w:rtl w:val="0"/>
          <w:lang w:val="en-US"/>
        </w:rPr>
        <w:t>United Nations General Assembly, "Declaration on the Establishment of a NIEO," (1974), Para. 2. [[</w:t>
      </w:r>
      <w:r>
        <w:rPr>
          <w:rStyle w:val="Hyperlink.0"/>
          <w:sz w:val="16"/>
          <w:szCs w:val="16"/>
        </w:rPr>
        <w:fldChar w:fldCharType="begin" w:fldLock="0"/>
      </w:r>
      <w:r>
        <w:rPr>
          <w:rStyle w:val="Hyperlink.0"/>
          <w:sz w:val="16"/>
          <w:szCs w:val="16"/>
        </w:rPr>
        <w:instrText xml:space="preserve"> HYPERLINK "https://digitallibrary.un.org/record/218450?ln=en"</w:instrText>
      </w:r>
      <w:r>
        <w:rPr>
          <w:rStyle w:val="Hyperlink.0"/>
          <w:sz w:val="16"/>
          <w:szCs w:val="16"/>
        </w:rPr>
        <w:fldChar w:fldCharType="separate" w:fldLock="0"/>
      </w:r>
      <w:r>
        <w:rPr>
          <w:rStyle w:val="Hyperlink.0"/>
          <w:sz w:val="16"/>
          <w:szCs w:val="16"/>
          <w:rtl w:val="0"/>
          <w:lang w:val="en-US"/>
        </w:rPr>
        <w:t>https://digitallibrary.un.org/record/218450?ln=en</w:t>
      </w:r>
      <w:r>
        <w:rPr>
          <w:sz w:val="16"/>
          <w:szCs w:val="16"/>
        </w:rPr>
        <w:fldChar w:fldCharType="end" w:fldLock="0"/>
      </w:r>
      <w:r>
        <w:rPr>
          <w:sz w:val="16"/>
          <w:szCs w:val="16"/>
          <w:rtl w:val="0"/>
          <w:lang w:val="en-US"/>
        </w:rPr>
        <w:t>]:</w:t>
      </w:r>
    </w:p>
  </w:footnote>
  <w:footnote w:id="13">
    <w:p>
      <w:pPr>
        <w:pStyle w:val="Footnote"/>
        <w:rPr>
          <w:sz w:val="16"/>
          <w:szCs w:val="16"/>
        </w:rPr>
      </w:pPr>
      <w:r>
        <w:rPr>
          <w:sz w:val="16"/>
          <w:szCs w:val="16"/>
          <w:vertAlign w:val="superscript"/>
        </w:rPr>
        <w:footnoteRef/>
      </w:r>
      <w:r>
        <w:rPr>
          <w:sz w:val="16"/>
          <w:szCs w:val="16"/>
          <w:rtl w:val="0"/>
          <w:lang w:val="en-US"/>
        </w:rPr>
        <w:t xml:space="preserve"> United Nations General Assembly, "Declaration on the Establishment of a NIEO," (1974), Para. 2. [[</w:t>
      </w:r>
      <w:r>
        <w:rPr>
          <w:rStyle w:val="Hyperlink.0"/>
          <w:sz w:val="16"/>
          <w:szCs w:val="16"/>
        </w:rPr>
        <w:fldChar w:fldCharType="begin" w:fldLock="0"/>
      </w:r>
      <w:r>
        <w:rPr>
          <w:rStyle w:val="Hyperlink.0"/>
          <w:sz w:val="16"/>
          <w:szCs w:val="16"/>
        </w:rPr>
        <w:instrText xml:space="preserve"> HYPERLINK "https://digitallibrary.un.org/record/218450?ln=en"</w:instrText>
      </w:r>
      <w:r>
        <w:rPr>
          <w:rStyle w:val="Hyperlink.0"/>
          <w:sz w:val="16"/>
          <w:szCs w:val="16"/>
        </w:rPr>
        <w:fldChar w:fldCharType="separate" w:fldLock="0"/>
      </w:r>
      <w:r>
        <w:rPr>
          <w:rStyle w:val="Hyperlink.0"/>
          <w:sz w:val="16"/>
          <w:szCs w:val="16"/>
          <w:rtl w:val="0"/>
          <w:lang w:val="en-US"/>
        </w:rPr>
        <w:t>https://digitallibrary.un.org/record/218450?ln=en</w:t>
      </w:r>
      <w:r>
        <w:rPr>
          <w:sz w:val="16"/>
          <w:szCs w:val="16"/>
        </w:rPr>
        <w:fldChar w:fldCharType="end" w:fldLock="0"/>
      </w:r>
      <w:r>
        <w:rPr>
          <w:sz w:val="16"/>
          <w:szCs w:val="16"/>
          <w:rtl w:val="0"/>
          <w:lang w:val="en-US"/>
        </w:rPr>
        <w:t xml:space="preserve">]; The same sentiment can be found in Bedjaoui, who expresses this so eloquently in </w:t>
      </w:r>
      <w:r>
        <w:rPr>
          <w:i w:val="1"/>
          <w:iCs w:val="1"/>
          <w:sz w:val="16"/>
          <w:szCs w:val="16"/>
          <w:rtl w:val="0"/>
          <w:lang w:val="en-US"/>
        </w:rPr>
        <w:t xml:space="preserve">Towards a New International Economic Order </w:t>
      </w:r>
      <w:r>
        <w:rPr>
          <w:sz w:val="16"/>
          <w:szCs w:val="16"/>
          <w:rtl w:val="0"/>
          <w:lang w:val="en-US"/>
        </w:rPr>
        <w:t xml:space="preserve">(1979): </w:t>
      </w:r>
    </w:p>
    <w:p>
      <w:pPr>
        <w:pStyle w:val="Footnote"/>
        <w:rPr>
          <w:sz w:val="16"/>
          <w:szCs w:val="16"/>
        </w:rPr>
      </w:pPr>
    </w:p>
    <w:p>
      <w:pPr>
        <w:pStyle w:val="Footnote"/>
      </w:pPr>
      <w:r>
        <w:rPr>
          <w:sz w:val="16"/>
          <w:szCs w:val="16"/>
          <w:rtl w:val="0"/>
          <w:lang w:val="en-US"/>
        </w:rPr>
        <w:t xml:space="preserve">'The underdeveloped countries, too long excluded from international relations by an inegalitarian and inequitable system, do not hanker after its converse, which would favour them and make the privileged of the past and the present the outcasts of the future. That would be neither just nor possible, neither desirable nor realistic. The right to development is something which brings life to countries hitherto excluded from that development. But the underdeveloped countries are aware that peace and progress cannot be served by obstructing or destroying the development of the advanced countries. All the fundamental structural changes that the activities of the Third World countries are gradually working towards, aim at the </w:t>
      </w:r>
      <w:r>
        <w:rPr>
          <w:sz w:val="16"/>
          <w:szCs w:val="16"/>
          <w:rtl w:val="1"/>
        </w:rPr>
        <w:t>‘</w:t>
      </w:r>
      <w:r>
        <w:rPr>
          <w:sz w:val="16"/>
          <w:szCs w:val="16"/>
          <w:rtl w:val="0"/>
          <w:lang w:val="en-US"/>
        </w:rPr>
        <w:t>integrated development</w:t>
      </w:r>
      <w:r>
        <w:rPr>
          <w:sz w:val="16"/>
          <w:szCs w:val="16"/>
          <w:rtl w:val="1"/>
        </w:rPr>
        <w:t xml:space="preserve">’ </w:t>
      </w:r>
      <w:r>
        <w:rPr>
          <w:sz w:val="16"/>
          <w:szCs w:val="16"/>
          <w:rtl w:val="0"/>
          <w:lang w:val="en-US"/>
        </w:rPr>
        <w:t>of the whole world. Resources must be used as efficiently as possible to foster the development of all human societies; and it is there that the reserves of growth lie.</w:t>
      </w:r>
      <w:r>
        <w:rPr>
          <w:sz w:val="16"/>
          <w:szCs w:val="16"/>
          <w:rtl w:val="1"/>
        </w:rPr>
        <w:t xml:space="preserve">’ </w:t>
      </w:r>
      <w:r>
        <w:rPr>
          <w:sz w:val="16"/>
          <w:szCs w:val="16"/>
          <w:rtl w:val="0"/>
        </w:rPr>
        <w:t>p. 72.</w:t>
      </w:r>
    </w:p>
  </w:footnote>
  <w:footnote w:id="14">
    <w:p>
      <w:pPr>
        <w:pStyle w:val="Footnote"/>
      </w:pPr>
      <w:r>
        <w:rPr>
          <w:sz w:val="16"/>
          <w:szCs w:val="16"/>
          <w:vertAlign w:val="superscript"/>
        </w:rPr>
        <w:footnoteRef/>
      </w:r>
      <w:r>
        <w:rPr>
          <w:sz w:val="16"/>
          <w:szCs w:val="16"/>
          <w:rtl w:val="0"/>
          <w:lang w:val="nl-NL"/>
        </w:rPr>
        <w:t xml:space="preserve"> 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 pp. 270, 289.</w:t>
      </w:r>
    </w:p>
  </w:footnote>
  <w:footnote w:id="15">
    <w:p>
      <w:pPr>
        <w:pStyle w:val="Footnote"/>
        <w:rPr>
          <w:sz w:val="16"/>
          <w:szCs w:val="16"/>
        </w:rPr>
      </w:pPr>
      <w:r>
        <w:rPr>
          <w:sz w:val="16"/>
          <w:szCs w:val="16"/>
          <w:vertAlign w:val="superscript"/>
        </w:rPr>
        <w:footnoteRef/>
      </w:r>
      <w:r>
        <w:rPr>
          <w:sz w:val="16"/>
          <w:szCs w:val="16"/>
          <w:rtl w:val="0"/>
          <w:lang w:val="nl-NL"/>
        </w:rPr>
        <w:t xml:space="preserve"> 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 pp. 11-12.</w:t>
      </w:r>
    </w:p>
    <w:p>
      <w:pPr>
        <w:pStyle w:val="Footnote"/>
        <w:rPr>
          <w:sz w:val="16"/>
          <w:szCs w:val="16"/>
        </w:rPr>
      </w:pPr>
    </w:p>
    <w:p>
      <w:pPr>
        <w:pStyle w:val="Footnote"/>
      </w:pPr>
      <w:r>
        <w:rPr>
          <w:sz w:val="16"/>
          <w:szCs w:val="16"/>
          <w:rtl w:val="0"/>
          <w:lang w:val="en-US"/>
        </w:rPr>
        <w:t>'Their first objective was to develop confidence in the new pattern of exchange rates until these rates had time to reduce the large imbalances in international payments that had existed at least since 1966. These imbalances consisted primarily of a deficit by the United States and substantial surpluses by most other industrial countries. Their second objective was to negotiate a long-term reform of the international monetary system to replace the Bretton Woods system set up in 1944. The objectives of developing confidence in the new exchange rates and of planning a reformed system were interconnected. Confidence in the exchange rates would make it more likely that these rates would correct the chronic payments imbalances. Overcoming these imbalances would in turn facilitate negotiations for reforming the system. Positive steps toward a reformed system would also make the exchange markets more confident of the new rates.' pp. 11-12.</w:t>
      </w:r>
    </w:p>
  </w:footnote>
  <w:footnote w:id="16">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Ibid., p. 191; </w:t>
      </w:r>
      <w:r>
        <w:rPr>
          <w:sz w:val="16"/>
          <w:szCs w:val="16"/>
          <w:rtl w:val="0"/>
          <w:lang w:val="en-US"/>
        </w:rPr>
        <w:t>Barry</w:t>
      </w:r>
      <w:r>
        <w:rPr>
          <w:sz w:val="16"/>
          <w:szCs w:val="16"/>
          <w:rtl w:val="0"/>
          <w:lang w:val="en-US"/>
        </w:rPr>
        <w:t xml:space="preserve"> </w:t>
      </w:r>
      <w:r>
        <w:rPr>
          <w:sz w:val="16"/>
          <w:szCs w:val="16"/>
          <w:rtl w:val="0"/>
          <w:lang w:val="de-DE"/>
        </w:rPr>
        <w:t xml:space="preserve">Eichengreen. </w:t>
      </w:r>
      <w:r>
        <w:rPr>
          <w:i w:val="1"/>
          <w:iCs w:val="1"/>
          <w:sz w:val="16"/>
          <w:szCs w:val="16"/>
          <w:rtl w:val="0"/>
          <w:lang w:val="en-US"/>
        </w:rPr>
        <w:t xml:space="preserve">Globalizing </w:t>
      </w:r>
      <w:r>
        <w:rPr>
          <w:i w:val="1"/>
          <w:iCs w:val="1"/>
          <w:sz w:val="16"/>
          <w:szCs w:val="16"/>
          <w:rtl w:val="0"/>
          <w:lang w:val="en-US"/>
        </w:rPr>
        <w:t>C</w:t>
      </w:r>
      <w:r>
        <w:rPr>
          <w:i w:val="1"/>
          <w:iCs w:val="1"/>
          <w:sz w:val="16"/>
          <w:szCs w:val="16"/>
          <w:rtl w:val="0"/>
        </w:rPr>
        <w:t xml:space="preserve">apital: a </w:t>
      </w:r>
      <w:r>
        <w:rPr>
          <w:i w:val="1"/>
          <w:iCs w:val="1"/>
          <w:sz w:val="16"/>
          <w:szCs w:val="16"/>
          <w:rtl w:val="0"/>
          <w:lang w:val="en-US"/>
        </w:rPr>
        <w:t>H</w:t>
      </w:r>
      <w:r>
        <w:rPr>
          <w:i w:val="1"/>
          <w:iCs w:val="1"/>
          <w:sz w:val="16"/>
          <w:szCs w:val="16"/>
          <w:rtl w:val="0"/>
          <w:lang w:val="en-US"/>
        </w:rPr>
        <w:t xml:space="preserve">istory of the </w:t>
      </w:r>
      <w:r>
        <w:rPr>
          <w:i w:val="1"/>
          <w:iCs w:val="1"/>
          <w:sz w:val="16"/>
          <w:szCs w:val="16"/>
          <w:rtl w:val="0"/>
          <w:lang w:val="en-US"/>
        </w:rPr>
        <w:t>I</w:t>
      </w:r>
      <w:r>
        <w:rPr>
          <w:i w:val="1"/>
          <w:iCs w:val="1"/>
          <w:sz w:val="16"/>
          <w:szCs w:val="16"/>
          <w:rtl w:val="0"/>
          <w:lang w:val="fr-FR"/>
        </w:rPr>
        <w:t xml:space="preserve">nternational </w:t>
      </w:r>
      <w:r>
        <w:rPr>
          <w:i w:val="1"/>
          <w:iCs w:val="1"/>
          <w:sz w:val="16"/>
          <w:szCs w:val="16"/>
          <w:rtl w:val="0"/>
          <w:lang w:val="en-US"/>
        </w:rPr>
        <w:t>M</w:t>
      </w:r>
      <w:r>
        <w:rPr>
          <w:i w:val="1"/>
          <w:iCs w:val="1"/>
          <w:sz w:val="16"/>
          <w:szCs w:val="16"/>
          <w:rtl w:val="0"/>
          <w:lang w:val="en-US"/>
        </w:rPr>
        <w:t xml:space="preserve">onetary </w:t>
      </w:r>
      <w:r>
        <w:rPr>
          <w:i w:val="1"/>
          <w:iCs w:val="1"/>
          <w:sz w:val="16"/>
          <w:szCs w:val="16"/>
          <w:rtl w:val="0"/>
          <w:lang w:val="en-US"/>
        </w:rPr>
        <w:t>S</w:t>
      </w:r>
      <w:r>
        <w:rPr>
          <w:i w:val="1"/>
          <w:iCs w:val="1"/>
          <w:sz w:val="16"/>
          <w:szCs w:val="16"/>
          <w:rtl w:val="0"/>
        </w:rPr>
        <w:t>ystem</w:t>
      </w:r>
      <w:r>
        <w:rPr>
          <w:sz w:val="16"/>
          <w:szCs w:val="16"/>
          <w:rtl w:val="0"/>
          <w:lang w:val="en-US"/>
        </w:rPr>
        <w:t>. Princeton University Press, 2019</w:t>
      </w:r>
      <w:r>
        <w:rPr>
          <w:sz w:val="16"/>
          <w:szCs w:val="16"/>
          <w:rtl w:val="0"/>
          <w:lang w:val="en-US"/>
        </w:rPr>
        <w:t>:</w:t>
      </w:r>
    </w:p>
    <w:p>
      <w:pPr>
        <w:pStyle w:val="Footnote"/>
        <w:rPr>
          <w:sz w:val="16"/>
          <w:szCs w:val="16"/>
        </w:rPr>
      </w:pPr>
    </w:p>
    <w:p>
      <w:pPr>
        <w:pStyle w:val="Footnote"/>
      </w:pPr>
      <w:r>
        <w:rPr>
          <w:sz w:val="16"/>
          <w:szCs w:val="16"/>
          <w:rtl w:val="0"/>
          <w:lang w:val="en-US"/>
        </w:rPr>
        <w:t>'Another attack on sterling, prompted by the inflationary policies of British prime minister Edward Heath, forced Britain to float the currency out of its Smithsonian band in 1972. This set the stage for the final act. Flight from the dollar in early 1973 led Switzerland and others to float their currencies. A second devaluation of the dollar, by 10 percent against the major European currencies and a larger amount against the yen, was negotiated, but without assuring the markets that the underlying imbalance had been removed. Flight from the dollar resumed, and this time Germany and its partners in the EEC jointly floated their currencies upward. The Bretton Woods international monetary system was no more.' pp. 131-132.</w:t>
      </w:r>
    </w:p>
  </w:footnote>
  <w:footnote w:id="17">
    <w:p>
      <w:pPr>
        <w:pStyle w:val="Footnote"/>
        <w:rPr>
          <w:sz w:val="16"/>
          <w:szCs w:val="16"/>
        </w:rPr>
      </w:pPr>
      <w:r>
        <w:rPr>
          <w:sz w:val="16"/>
          <w:szCs w:val="16"/>
          <w:vertAlign w:val="superscript"/>
        </w:rPr>
        <w:footnoteRef/>
      </w:r>
      <w:r>
        <w:rPr>
          <w:sz w:val="16"/>
          <w:szCs w:val="16"/>
          <w:rtl w:val="1"/>
        </w:rPr>
        <w:t xml:space="preserve"> ‘</w:t>
      </w:r>
      <w:r>
        <w:rPr>
          <w:sz w:val="16"/>
          <w:szCs w:val="16"/>
          <w:rtl w:val="0"/>
          <w:lang w:val="en-US"/>
        </w:rPr>
        <w:t>In a perceptive statement, Mr. Whitelaw took the view that the best outcome was that the international monetary system would reform itself. As time progressed, the deputies might be able, in Mr. Whitelaw's words, "to divine what was practical and what was not, rather than to reason it out around a conference table." He underscored his point by noting that Australian authorities saw adjustment of the disequilibria in world payments at the heart of the reform exercise and that in practice such an adjustment was currently taking place as a result of the changes in exchange rates. Accordingly, the major change needed in the international monetary system would soon occur even without reform negotiations.</w:t>
      </w:r>
      <w:r>
        <w:rPr>
          <w:sz w:val="16"/>
          <w:szCs w:val="16"/>
          <w:rtl w:val="1"/>
        </w:rPr>
        <w:t xml:space="preserve">’ </w:t>
      </w:r>
      <w:r>
        <w:rPr>
          <w:sz w:val="16"/>
          <w:szCs w:val="16"/>
          <w:rtl w:val="0"/>
          <w:lang w:val="pt-PT"/>
        </w:rPr>
        <w:t>p. 238.</w:t>
      </w:r>
    </w:p>
    <w:p>
      <w:pPr>
        <w:pStyle w:val="Footnote"/>
        <w:rPr>
          <w:sz w:val="16"/>
          <w:szCs w:val="16"/>
        </w:rPr>
      </w:pPr>
      <w:r>
        <w:rPr>
          <w:sz w:val="16"/>
          <w:szCs w:val="16"/>
          <w:rtl w:val="0"/>
          <w:lang w:val="en-US"/>
        </w:rPr>
        <w:t>...</w:t>
      </w:r>
    </w:p>
    <w:p>
      <w:pPr>
        <w:pStyle w:val="Footnote"/>
        <w:rPr>
          <w:sz w:val="16"/>
          <w:szCs w:val="16"/>
        </w:rPr>
      </w:pPr>
      <w:r>
        <w:rPr>
          <w:sz w:val="16"/>
          <w:szCs w:val="16"/>
          <w:rtl w:val="1"/>
        </w:rPr>
        <w:t>‘</w:t>
      </w:r>
      <w:r>
        <w:rPr>
          <w:sz w:val="16"/>
          <w:szCs w:val="16"/>
          <w:rtl w:val="0"/>
          <w:lang w:val="en-US"/>
        </w:rPr>
        <w:t>In these circumstances the Committee of Twenty in effect decided to shift to a step-by-step, or evolutionary, approach to changing the international monetary system. In other words, instead of the reformed international monetary system coming into being all at once, or even having the features of the reformed system agreed all at once, a new international monetary system would be permitted to evolve out of existing arrangements. What the members of the Committee said in their communique following their Rome meeting was that "priority should be given to certain important aspects of reform . . . with a view to their early implementation. Other aspects of reform could be agreed with the understanding that their operational provisions would be developed and implemented at a later date."4 What they were saying was that reform was not being given up; rather a reformed system was to evolve on a piecemeal basis. For its remaining months, the Committee of Twenty would turn to the topics needing early implementation.</w:t>
      </w:r>
      <w:r>
        <w:rPr>
          <w:sz w:val="16"/>
          <w:szCs w:val="16"/>
          <w:rtl w:val="1"/>
        </w:rPr>
        <w:t xml:space="preserve">’ </w:t>
      </w:r>
      <w:r>
        <w:rPr>
          <w:sz w:val="16"/>
          <w:szCs w:val="16"/>
          <w:rtl w:val="0"/>
        </w:rPr>
        <w:t>p. 242-243.</w:t>
      </w:r>
    </w:p>
    <w:p>
      <w:pPr>
        <w:pStyle w:val="Footnote"/>
      </w:pPr>
      <w:r>
        <w:rPr>
          <w:sz w:val="16"/>
          <w:szCs w:val="16"/>
          <w:rtl w:val="0"/>
          <w:lang w:val="en-US"/>
        </w:rPr>
        <w:t>... p. 289.</w:t>
      </w:r>
    </w:p>
  </w:footnote>
  <w:footnote w:id="18">
    <w:p>
      <w:pPr>
        <w:pStyle w:val="Footnote"/>
        <w:rPr>
          <w:sz w:val="16"/>
          <w:szCs w:val="16"/>
        </w:rPr>
      </w:pPr>
      <w:r>
        <w:rPr>
          <w:sz w:val="16"/>
          <w:szCs w:val="16"/>
          <w:vertAlign w:val="superscript"/>
        </w:rPr>
        <w:footnoteRef/>
      </w:r>
      <w:r>
        <w:rPr>
          <w:sz w:val="16"/>
          <w:szCs w:val="16"/>
          <w:rtl w:val="0"/>
          <w:lang w:val="nl-NL"/>
        </w:rPr>
        <w:t xml:space="preserve"> Margaret Garritsen De Vries. </w:t>
      </w:r>
      <w:r>
        <w:rPr>
          <w:i w:val="1"/>
          <w:iCs w:val="1"/>
          <w:sz w:val="16"/>
          <w:szCs w:val="16"/>
          <w:rtl w:val="0"/>
          <w:lang w:val="en-US"/>
        </w:rPr>
        <w:t>The International Monetary Fund, 1972-1978: Cooperation on Trial</w:t>
      </w:r>
      <w:r>
        <w:rPr>
          <w:sz w:val="16"/>
          <w:szCs w:val="16"/>
          <w:rtl w:val="0"/>
          <w:lang w:val="en-US"/>
        </w:rPr>
        <w:t>,  Vol 1: Narrative and Analysis (Washington, D.C., IMF, 1985)</w:t>
      </w:r>
      <w:r>
        <w:rPr>
          <w:sz w:val="16"/>
          <w:szCs w:val="16"/>
          <w:rtl w:val="0"/>
          <w:lang w:val="en-US"/>
        </w:rPr>
        <w:t>:</w:t>
      </w:r>
    </w:p>
    <w:p>
      <w:pPr>
        <w:pStyle w:val="Footnote"/>
        <w:rPr>
          <w:sz w:val="16"/>
          <w:szCs w:val="16"/>
        </w:rPr>
      </w:pPr>
      <w:r>
        <w:rPr>
          <w:sz w:val="16"/>
          <w:szCs w:val="16"/>
          <w:rtl w:val="1"/>
        </w:rPr>
        <w:t>‘</w:t>
      </w:r>
      <w:r>
        <w:rPr>
          <w:sz w:val="16"/>
          <w:szCs w:val="16"/>
          <w:rtl w:val="0"/>
          <w:lang w:val="en-US"/>
        </w:rPr>
        <w:t>In these circumstances the Committee of Twenty in effect decided to shift to a step-by-step, or evolutionary, approach to changing the international monetary system. In other words, instead of the reformed international monetary system coming into being all at once, or even having the features of the reformed system agreed all at once, a new international monetary system would be permitted to evolve out of existing arrangements. What the members of the Committee said in their communique following their Rome meeting was that "priority should be given to certain important aspects of reform . . . with a view to their early implementation. Other aspects of reform could be agreed with the understanding that their operational provisions would be developed and implemented at a later date."4 What they were saying was that reform was not being given up; rather a reformed system was to evolve on a piecemeal basis. For its remaining months, the Committee of Twenty would turn to the topics needing early implementation. By concentrating on these topics monetary authorities hoped that existing international monetary arrangements might evolve without excessive disorder. While the members of the Committee of Twenty and their deputies were to discuss these topics, the Executive Board of the Fund was to take decisions, assisted in the usual way by the Managing Director and the staff. The Fund's regular policymaking bodies were thus brought back into the fold on the discussions and decisions concerning the international monetary system.</w:t>
      </w:r>
      <w:r>
        <w:rPr>
          <w:sz w:val="16"/>
          <w:szCs w:val="16"/>
          <w:rtl w:val="1"/>
        </w:rPr>
        <w:t xml:space="preserve">’ </w:t>
      </w:r>
      <w:r>
        <w:rPr>
          <w:sz w:val="16"/>
          <w:szCs w:val="16"/>
          <w:rtl w:val="0"/>
        </w:rPr>
        <w:t>p. 242-243.</w:t>
      </w:r>
    </w:p>
    <w:p>
      <w:pPr>
        <w:pStyle w:val="Footnote"/>
        <w:rPr>
          <w:sz w:val="16"/>
          <w:szCs w:val="16"/>
        </w:rPr>
      </w:pPr>
    </w:p>
    <w:p>
      <w:pPr>
        <w:pStyle w:val="Footnote"/>
      </w:pPr>
      <w:r>
        <w:rPr>
          <w:sz w:val="16"/>
          <w:szCs w:val="16"/>
          <w:rtl w:val="1"/>
        </w:rPr>
        <w:t>‘</w:t>
      </w:r>
      <w:r>
        <w:rPr>
          <w:sz w:val="16"/>
          <w:szCs w:val="16"/>
          <w:rtl w:val="0"/>
          <w:lang w:val="en-US"/>
        </w:rPr>
        <w:t>The report of the Committee to the Board of Governors first explained why the Committee switched its priority from planning an overall reformed international monetary system to working out immediate measures under which existing international monetary arrangements would evolve into a system. Essentially, "the uncertainties affecting the world economic outlook, related to inflation, the energy situation, and other unsettled conditions" had increased since the Nairobi meeting. The world's balance of payments structure was changing radically, and it was not yet clear to what extent the positions of individual countries would be altered or how adjustment would be achieved. It might be some time before there would be a return to a system based on stable but adjustable par values or to general convertibility. Nor would the full arrangements for management of the adjustment process and of global liquidity necessarily be feasible in the period immediately ahead. At the same time, the Committee regarded it "as of the highest importance that immediate steps should be taken to begin an evolutionary process of reform." There was, for example, a particular need to maintain close international consultation and surveillance of countries' balance of payments policies in the Fund and to develop orderly means of financing imbalances, including means of meeting the financial needs of many developing countries.</w:t>
      </w:r>
      <w:r>
        <w:rPr>
          <w:sz w:val="16"/>
          <w:szCs w:val="16"/>
          <w:rtl w:val="1"/>
        </w:rPr>
        <w:t xml:space="preserve">’ </w:t>
      </w:r>
      <w:r>
        <w:rPr>
          <w:sz w:val="16"/>
          <w:szCs w:val="16"/>
          <w:rtl w:val="0"/>
        </w:rPr>
        <w:t>p. 255-256.</w:t>
      </w:r>
    </w:p>
  </w:footnote>
  <w:footnote w:id="19">
    <w:p>
      <w:pPr>
        <w:pStyle w:val="Footnote"/>
        <w:rPr>
          <w:sz w:val="16"/>
          <w:szCs w:val="16"/>
        </w:rPr>
      </w:pPr>
      <w:r>
        <w:rPr>
          <w:sz w:val="16"/>
          <w:szCs w:val="16"/>
          <w:vertAlign w:val="superscript"/>
        </w:rPr>
        <w:footnoteRef/>
      </w:r>
      <w:r>
        <w:rPr>
          <w:sz w:val="16"/>
          <w:szCs w:val="16"/>
          <w:rtl w:val="0"/>
        </w:rPr>
        <w:t xml:space="preserve"> </w:t>
      </w:r>
      <w:r>
        <w:rPr>
          <w:sz w:val="16"/>
          <w:szCs w:val="16"/>
          <w:rtl w:val="0"/>
          <w:lang w:val="en-US"/>
        </w:rPr>
        <w:t xml:space="preserve">Ibid. </w:t>
      </w:r>
      <w:r>
        <w:rPr>
          <w:sz w:val="16"/>
          <w:szCs w:val="16"/>
          <w:rtl w:val="0"/>
        </w:rPr>
        <w:t>pp. 240-241.</w:t>
      </w:r>
    </w:p>
    <w:p>
      <w:pPr>
        <w:pStyle w:val="Footnote"/>
        <w:rPr>
          <w:sz w:val="16"/>
          <w:szCs w:val="16"/>
        </w:rPr>
      </w:pPr>
    </w:p>
    <w:p>
      <w:pPr>
        <w:pStyle w:val="Footnote"/>
        <w:rPr>
          <w:sz w:val="16"/>
          <w:szCs w:val="16"/>
        </w:rPr>
      </w:pPr>
      <w:r>
        <w:rPr>
          <w:sz w:val="16"/>
          <w:szCs w:val="16"/>
          <w:rtl w:val="0"/>
          <w:lang w:val="en-US"/>
        </w:rPr>
        <w:t xml:space="preserve">Here, Algeria was expressing a concern of all developing states, because the effects of a freely floating system, and reliance on US dollar as international reserve, were especially bad for them. The freely floating system had effectively come into play as the default posittion, something that US negotiators used to their advantage, by claiming that they much preferred doing nothing and allowing a system of floating rates. When even France and Germany decided to float, it was now up to the leaders whose states would be most severely effected by the breakdown in negotiations. See: </w:t>
      </w:r>
      <w:r>
        <w:rPr>
          <w:sz w:val="16"/>
          <w:szCs w:val="16"/>
          <w:rtl w:val="0"/>
          <w:lang w:val="en-US"/>
        </w:rPr>
        <w:t>Stephany</w:t>
      </w:r>
      <w:r>
        <w:rPr>
          <w:sz w:val="16"/>
          <w:szCs w:val="16"/>
          <w:rtl w:val="0"/>
          <w:lang w:val="en-US"/>
        </w:rPr>
        <w:t xml:space="preserve"> </w:t>
      </w:r>
      <w:r>
        <w:rPr>
          <w:sz w:val="16"/>
          <w:szCs w:val="16"/>
          <w:rtl w:val="0"/>
          <w:lang w:val="en-US"/>
        </w:rPr>
        <w:t>Griffith-Jones, and Jose A. Ocampo. "Compensatory financing for shocks: what changes are needed?." (2008).</w:t>
      </w:r>
    </w:p>
    <w:p>
      <w:pPr>
        <w:pStyle w:val="Footnote"/>
        <w:rPr>
          <w:sz w:val="16"/>
          <w:szCs w:val="16"/>
        </w:rPr>
      </w:pPr>
    </w:p>
    <w:p>
      <w:pPr>
        <w:pStyle w:val="Footnote"/>
      </w:pPr>
      <w:r>
        <w:rPr>
          <w:sz w:val="16"/>
          <w:szCs w:val="16"/>
          <w:rtl w:val="0"/>
          <w:lang w:val="en-US"/>
        </w:rPr>
        <w:t xml:space="preserve">'These shocks are very costly both for low- and middle-income countries. Low-income countries have more limited room to build cushions of reserves and fiscal resources as a buffer against shocks. Such "self-insurance" in the form of higher reserves may have a particularly high opportunity cost for low-income countries, but also have high costs for middle-income countries.1 These costs are both the opportunity costs of not using such reserves for higher investment or consumption as well as direct financial ones. The latter include both the social losses incurred by countries associated to the difference between interest rates earned on reserves and the average cost of external liabilities, as well as, for central banks, the difference between the former and the costs of open market operations (to the extent that the monetary effect of reserve accumulation is sterilized using this policy instrument). The decline of the U.S. dollar, in which these reserves are mainly held, has further added to these financial costs of holding reserves (see Rodrik, 2006 and Cortez, Izurieta and Vos, 2008). As a result, effective official compensatory flows can play a crucial role in avoiding unnecessary costs to developing countries and poor people, both by reducing the need to hold such high levels of reserves and </w:t>
      </w:r>
      <w:r>
        <w:rPr>
          <w:sz w:val="16"/>
          <w:szCs w:val="16"/>
          <w:rtl w:val="0"/>
        </w:rPr>
        <w:t xml:space="preserve">– </w:t>
      </w:r>
      <w:r>
        <w:rPr>
          <w:sz w:val="16"/>
          <w:szCs w:val="16"/>
          <w:rtl w:val="0"/>
          <w:lang w:val="en-US"/>
        </w:rPr>
        <w:t xml:space="preserve">more importantly </w:t>
      </w:r>
      <w:r>
        <w:rPr>
          <w:sz w:val="16"/>
          <w:szCs w:val="16"/>
          <w:rtl w:val="0"/>
        </w:rPr>
        <w:t xml:space="preserve">– </w:t>
      </w:r>
      <w:r>
        <w:rPr>
          <w:sz w:val="16"/>
          <w:szCs w:val="16"/>
          <w:rtl w:val="0"/>
          <w:lang w:val="en-US"/>
        </w:rPr>
        <w:t xml:space="preserve">by helping avoid unnecessary adjustment. As regards the former, the existence of adequate and reliable official compensatory facilities would reduce </w:t>
      </w:r>
      <w:r>
        <w:rPr>
          <w:sz w:val="16"/>
          <w:szCs w:val="16"/>
          <w:rtl w:val="0"/>
        </w:rPr>
        <w:t xml:space="preserve">– </w:t>
      </w:r>
      <w:r>
        <w:rPr>
          <w:sz w:val="16"/>
          <w:szCs w:val="16"/>
          <w:rtl w:val="0"/>
          <w:lang w:val="en-US"/>
        </w:rPr>
        <w:t xml:space="preserve">but clearly not eliminate </w:t>
      </w:r>
      <w:r>
        <w:rPr>
          <w:sz w:val="16"/>
          <w:szCs w:val="16"/>
          <w:rtl w:val="0"/>
        </w:rPr>
        <w:t xml:space="preserve">– </w:t>
      </w:r>
      <w:r>
        <w:rPr>
          <w:sz w:val="16"/>
          <w:szCs w:val="16"/>
          <w:rtl w:val="0"/>
          <w:lang w:val="en-US"/>
        </w:rPr>
        <w:t>the need for a minimum prudent level of countries</w:t>
      </w:r>
      <w:r>
        <w:rPr>
          <w:sz w:val="16"/>
          <w:szCs w:val="16"/>
          <w:rtl w:val="1"/>
        </w:rPr>
        <w:t xml:space="preserve">’ </w:t>
      </w:r>
      <w:r>
        <w:rPr>
          <w:sz w:val="16"/>
          <w:szCs w:val="16"/>
          <w:rtl w:val="0"/>
          <w:lang w:val="en-US"/>
        </w:rPr>
        <w:t>foreign exchange reserves.' p. 1.</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