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ПРАЙС-ЛИСТ УСЛУГ И ЦИФРОВЫХ ПРОДУКТОВ</w:t>
      </w:r>
    </w:p>
    <w:p>
      <w:pPr>
        <w:spacing w:after="280"/>
        <w:jc w:val="center"/>
      </w:pPr>
      <w:r>
        <w:rPr>
          <w:rFonts w:ascii="Calibri" w:hAnsi="Calibri"/>
          <w:i/>
          <w:color w:val="555555"/>
          <w:sz w:val="22"/>
        </w:rPr>
        <w:t>Исполнитель: Федоров Анатолий Игоревич (ИНН 164803784216, плательщик НПД)</w:t>
        <w:br/>
        <w:t>Дата публикации: «29» июня 2026 г.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1. ПРОХОЖДЕНИЕ ТЕСТА И АНАЛИТИЧЕСКИЕ ОТЧЕТЫ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Бесплатный вариант теста — </w:t>
      </w:r>
      <w:r>
        <w:rPr>
          <w:rFonts w:ascii="Calibri" w:hAnsi="Calibri"/>
          <w:b/>
          <w:color w:val="0E6E5D"/>
          <w:sz w:val="23"/>
        </w:rPr>
        <w:t>0 ₽ (Бесплатно)</w:t>
      </w:r>
      <w:r>
        <w:rPr>
          <w:rFonts w:ascii="Calibri" w:hAnsi="Calibri"/>
          <w:i/>
          <w:color w:val="666666"/>
          <w:sz w:val="20"/>
        </w:rPr>
        <w:t xml:space="preserve"> (онлайн-формат)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Краткий ознакомительный отчет с учетом двух ключевых пунктов и первичными рекомендациями (объем 2–3 страницы в электронном виде).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Индивидуальный анализ — </w:t>
      </w:r>
      <w:r>
        <w:rPr>
          <w:rFonts w:ascii="Calibri" w:hAnsi="Calibri"/>
          <w:b/>
          <w:color w:val="0E6E5D"/>
          <w:sz w:val="23"/>
        </w:rPr>
        <w:t>300 ₽</w:t>
      </w:r>
      <w:r>
        <w:rPr>
          <w:rFonts w:ascii="Calibri" w:hAnsi="Calibri"/>
          <w:i/>
          <w:color w:val="666666"/>
          <w:sz w:val="20"/>
        </w:rPr>
        <w:t xml:space="preserve"> (PDF-файл)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Полный автоматизированный анализ с генерацией персонального PDF-документа, включающего все 14 диагностических пунктов, подробное описание сценариев и практические рекомендации (объем от 18 до 25 страниц).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Парный анализ отношений — </w:t>
      </w:r>
      <w:r>
        <w:rPr>
          <w:rFonts w:ascii="Calibri" w:hAnsi="Calibri"/>
          <w:b/>
          <w:color w:val="0E6E5D"/>
          <w:sz w:val="23"/>
        </w:rPr>
        <w:t>1 000 ₽</w:t>
      </w:r>
      <w:r>
        <w:rPr>
          <w:rFonts w:ascii="Calibri" w:hAnsi="Calibri"/>
          <w:i/>
          <w:color w:val="666666"/>
          <w:sz w:val="20"/>
        </w:rPr>
        <w:t xml:space="preserve"> (PDF-файл)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Комплексный анализ пары: включает в себя два полноценных индивидуальных анализа партнеров + сравнительный парный анализ совместимости и точек напряжения (общий объем до 60 страниц).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2. ПРАКТИЧЕСКИЕ ОНЛАЙН-КУРСЫ (ПОШАГОВЫЕ ПРОГРАММЫ)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Курс «Мы вместе» (Перезагрузка зрелых отношений) — </w:t>
      </w:r>
      <w:r>
        <w:rPr>
          <w:rFonts w:ascii="Calibri" w:hAnsi="Calibri"/>
          <w:b/>
          <w:color w:val="0E6E5D"/>
          <w:sz w:val="23"/>
        </w:rPr>
        <w:t>2 400 ₽</w:t>
      </w:r>
      <w:r>
        <w:rPr>
          <w:rFonts w:ascii="Calibri" w:hAnsi="Calibri"/>
          <w:i/>
          <w:color w:val="666666"/>
          <w:sz w:val="20"/>
        </w:rPr>
        <w:t xml:space="preserve"> (доступ 6 месяцев)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5 видеоуроков, 3 гипнотические аудиопрактики («Штиль в теле», «Амнистия обид», «Союз двух свободных»), интерактивные тренажеры + Пакет из 4 бонусов + Карта семейной опоры.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Курс «Я остаюсь собой» (Эмоциональный суверенитет) — </w:t>
      </w:r>
      <w:r>
        <w:rPr>
          <w:rFonts w:ascii="Calibri" w:hAnsi="Calibri"/>
          <w:b/>
          <w:color w:val="0E6E5D"/>
          <w:sz w:val="23"/>
        </w:rPr>
        <w:t>2 400 ₽</w:t>
      </w:r>
      <w:r>
        <w:rPr>
          <w:rFonts w:ascii="Calibri" w:hAnsi="Calibri"/>
          <w:i/>
          <w:color w:val="666666"/>
          <w:sz w:val="20"/>
        </w:rPr>
        <w:t xml:space="preserve"> (доступ 6 месяцев)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5 видеоуроков и соматических практик для остановки мысленной жвачки, тревоги от пауз и обретения устойчивой опоры на себя.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Курс «Я выбираю» (Сценарии выбора партнера) — </w:t>
      </w:r>
      <w:r>
        <w:rPr>
          <w:rFonts w:ascii="Calibri" w:hAnsi="Calibri"/>
          <w:b/>
          <w:color w:val="0E6E5D"/>
          <w:sz w:val="23"/>
        </w:rPr>
        <w:t>2 400 ₽</w:t>
      </w:r>
      <w:r>
        <w:rPr>
          <w:rFonts w:ascii="Calibri" w:hAnsi="Calibri"/>
          <w:i/>
          <w:color w:val="666666"/>
          <w:sz w:val="20"/>
        </w:rPr>
        <w:t xml:space="preserve"> (доступ 6 месяцев)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Пошаговая программа выхода из повторяющегося сценария выбора холодных партнеров и эмоциональных качелей.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3. МЕДИТАЦИИ И АУДИОПРАКТИКИ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Аудиопрактика «Штиль в теле: сброс вечернего перегруза» — </w:t>
      </w:r>
      <w:r>
        <w:rPr>
          <w:rFonts w:ascii="Calibri" w:hAnsi="Calibri"/>
          <w:b/>
          <w:color w:val="0E6E5D"/>
          <w:sz w:val="23"/>
        </w:rPr>
        <w:t>990 ₽</w:t>
      </w:r>
      <w:r>
        <w:rPr>
          <w:rFonts w:ascii="Calibri" w:hAnsi="Calibri"/>
          <w:i/>
          <w:color w:val="666666"/>
          <w:sz w:val="20"/>
        </w:rPr>
        <w:t xml:space="preserve"> (аудиофайл)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12-минутная соматическая аудиосессия на снятие мышечных зажимов с шеи и челюстей, снижение кортизола и восстановление сна.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Аудиопрактика «Амнистия обид: оставляем прошлое за порогом» — </w:t>
      </w:r>
      <w:r>
        <w:rPr>
          <w:rFonts w:ascii="Calibri" w:hAnsi="Calibri"/>
          <w:b/>
          <w:color w:val="0E6E5D"/>
          <w:sz w:val="23"/>
        </w:rPr>
        <w:t>990 ₽</w:t>
      </w:r>
      <w:r>
        <w:rPr>
          <w:rFonts w:ascii="Calibri" w:hAnsi="Calibri"/>
          <w:i/>
          <w:color w:val="666666"/>
          <w:sz w:val="20"/>
        </w:rPr>
        <w:t xml:space="preserve"> (аудиофайл)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11-минутная сессия на освобождение от груза прошлых обид и претензий к партнеру.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4. ИНДИВИДУАЛЬНАЯ РАБОТА И КОНСУЛЬТАЦИИ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Индивидуальная психологическая сессия / Диагностика — </w:t>
      </w:r>
      <w:r>
        <w:rPr>
          <w:rFonts w:ascii="Calibri" w:hAnsi="Calibri"/>
          <w:b/>
          <w:color w:val="0E6E5D"/>
          <w:sz w:val="23"/>
        </w:rPr>
        <w:t>10 000 ₽</w:t>
      </w:r>
      <w:r>
        <w:rPr>
          <w:rFonts w:ascii="Calibri" w:hAnsi="Calibri"/>
          <w:i/>
          <w:color w:val="666666"/>
          <w:sz w:val="20"/>
        </w:rPr>
        <w:t xml:space="preserve"> (онлайн, 60–80 минут)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Глубокий разбор ситуации, определение системного корня проблемы, гипнотерапевтическая коррекция и персональный план решений с Анатолием Фёдоровым.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Пакет из 3-х индивидуальных сессий — </w:t>
      </w:r>
      <w:r>
        <w:rPr>
          <w:rFonts w:ascii="Calibri" w:hAnsi="Calibri"/>
          <w:b/>
          <w:color w:val="0E6E5D"/>
          <w:sz w:val="23"/>
        </w:rPr>
        <w:t>27 000 ₽</w:t>
      </w:r>
      <w:r>
        <w:rPr>
          <w:rFonts w:ascii="Calibri" w:hAnsi="Calibri"/>
          <w:i/>
          <w:color w:val="666666"/>
          <w:sz w:val="20"/>
        </w:rPr>
        <w:t xml:space="preserve"> (онлайн, 3 сессии)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Полный цикл глубокой проработки запроса: диагностика ➔ гипнотерапия и перепрошивка сценария ➔ закрепление новых реакций и защита от откатов.</w:t>
      </w:r>
    </w:p>
    <w:p>
      <w:pPr>
        <w:spacing w:before="320"/>
      </w:pPr>
      <w:r>
        <w:rPr>
          <w:rFonts w:ascii="Calibri" w:hAnsi="Calibri"/>
          <w:b/>
          <w:color w:val="1F4E5B"/>
          <w:sz w:val="20"/>
        </w:rPr>
        <w:t>ПРИМЕЧАНИЕ К ПРАЙС-ЛИСТУ:</w:t>
        <w:br/>
      </w:r>
      <w:r>
        <w:rPr>
          <w:rFonts w:ascii="Calibri" w:hAnsi="Calibri"/>
          <w:color w:val="555555"/>
          <w:sz w:val="19"/>
        </w:rPr>
        <w:t>1. Все цены указаны в российских рублях. НДС не облагается в связи с применением специального налогового режима НПД (самозанятый, Федеральный закон № 422-ФЗ).</w:t>
        <w:br/>
        <w:t>2. Оплата производится на условиях 100% предоплаты в безналичном порядке через уполномоченные платежные сервисы (Robokassa и др.).</w:t>
        <w:br/>
        <w:t>3. Услуги профессионального образования в Академии МАГиГ оформляются отдельными договорами через Академию.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