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2025-2026第一学期基础会计复习题（一）</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一、单选</w:t>
      </w:r>
      <w:bookmarkEnd w:id="1"/>
    </w:p>
    <w:p>
      <w:pPr>
        <w:numPr>
          <w:numId w:val="1"/>
        </w:numPr>
        <w:spacing w:before="120" w:after="120" w:line="288" w:lineRule="auto"/>
        <w:ind w:left="0"/>
        <w:jc w:val="left"/>
      </w:pPr>
      <w:r>
        <w:rPr>
          <w:rFonts w:eastAsia="等线" w:ascii="Arial" w:cs="Arial" w:hAnsi="Arial"/>
          <w:sz w:val="22"/>
        </w:rPr>
        <w:t>下列选项中能引起资产和权益同时减少的业务是（</w:t>
      </w:r>
      <w:r>
        <w:rPr>
          <w:rFonts w:eastAsia="等线" w:ascii="Arial" w:cs="Arial" w:hAnsi="Arial"/>
          <w:b w:val="true"/>
          <w:sz w:val="22"/>
        </w:rPr>
        <w:t>C</w:t>
      </w:r>
      <w:r>
        <w:rPr>
          <w:rFonts w:eastAsia="等线" w:ascii="Arial" w:cs="Arial" w:hAnsi="Arial"/>
          <w:sz w:val="22"/>
        </w:rPr>
        <w:t>）</w:t>
        <w:br/>
        <w:t>A.工资计入产品成本但暂未支付</w:t>
        <w:br/>
        <w:t>B.向银行借款直接偿还应付账款</w:t>
        <w:br/>
        <w:t>C.用银行存款偿还应付账款</w:t>
        <w:br/>
      </w:r>
      <w:r>
        <w:rPr>
          <w:rFonts w:eastAsia="等线" w:ascii="Arial" w:cs="Arial" w:hAnsi="Arial"/>
          <w:sz w:val="22"/>
        </w:rPr>
        <w:t>D.购买材料货款暂未支付</w:t>
      </w:r>
    </w:p>
    <w:p>
      <w:pPr>
        <w:numPr>
          <w:numId w:val="2"/>
        </w:numPr>
        <w:spacing w:before="120" w:after="120" w:line="288" w:lineRule="auto"/>
        <w:ind w:left="0"/>
        <w:jc w:val="left"/>
      </w:pPr>
      <w:r>
        <w:rPr>
          <w:rFonts w:eastAsia="等线" w:ascii="Arial" w:cs="Arial" w:hAnsi="Arial"/>
          <w:sz w:val="22"/>
        </w:rPr>
        <w:t>会计的反映职能不具有（</w:t>
      </w:r>
      <w:r>
        <w:rPr>
          <w:rFonts w:eastAsia="等线" w:ascii="Arial" w:cs="Arial" w:hAnsi="Arial"/>
          <w:b w:val="true"/>
          <w:sz w:val="22"/>
        </w:rPr>
        <w:t>B</w:t>
      </w:r>
      <w:r>
        <w:rPr>
          <w:rFonts w:eastAsia="等线" w:ascii="Arial" w:cs="Arial" w:hAnsi="Arial"/>
          <w:sz w:val="22"/>
        </w:rPr>
        <w:t>）</w:t>
        <w:br/>
        <w:t>A.连续性</w:t>
        <w:br/>
        <w:t>B.主观性</w:t>
        <w:br/>
        <w:t>C.系统性</w:t>
        <w:br/>
      </w:r>
      <w:r>
        <w:rPr>
          <w:rFonts w:eastAsia="等线" w:ascii="Arial" w:cs="Arial" w:hAnsi="Arial"/>
          <w:sz w:val="22"/>
        </w:rPr>
        <w:t>D.全面性</w:t>
      </w:r>
    </w:p>
    <w:p>
      <w:pPr>
        <w:numPr>
          <w:numId w:val="3"/>
        </w:numPr>
        <w:spacing w:before="120" w:after="120" w:line="288" w:lineRule="auto"/>
        <w:ind w:left="0"/>
        <w:jc w:val="left"/>
      </w:pPr>
      <w:r>
        <w:rPr>
          <w:rFonts w:eastAsia="等线" w:ascii="Arial" w:cs="Arial" w:hAnsi="Arial"/>
          <w:sz w:val="22"/>
        </w:rPr>
        <w:t>下列选项中属于会计的基本职能的是（</w:t>
      </w:r>
      <w:r>
        <w:rPr>
          <w:rFonts w:eastAsia="等线" w:ascii="Arial" w:cs="Arial" w:hAnsi="Arial"/>
          <w:b w:val="true"/>
          <w:sz w:val="22"/>
        </w:rPr>
        <w:t>D</w:t>
      </w:r>
      <w:r>
        <w:rPr>
          <w:rFonts w:eastAsia="等线" w:ascii="Arial" w:cs="Arial" w:hAnsi="Arial"/>
          <w:sz w:val="22"/>
        </w:rPr>
        <w:t>）</w:t>
        <w:br/>
        <w:t>A.控制与监督</w:t>
        <w:br/>
        <w:t>B.反映与分析</w:t>
        <w:br/>
        <w:t>C.反映与核算</w:t>
        <w:br/>
      </w:r>
      <w:r>
        <w:rPr>
          <w:rFonts w:eastAsia="等线" w:ascii="Arial" w:cs="Arial" w:hAnsi="Arial"/>
          <w:sz w:val="22"/>
        </w:rPr>
        <w:t>D.反映与监督</w:t>
      </w:r>
    </w:p>
    <w:p>
      <w:pPr>
        <w:numPr>
          <w:numId w:val="4"/>
        </w:numPr>
        <w:spacing w:before="120" w:after="120" w:line="288" w:lineRule="auto"/>
        <w:ind w:left="0"/>
        <w:jc w:val="left"/>
      </w:pPr>
      <w:r>
        <w:rPr>
          <w:rFonts w:eastAsia="等线" w:ascii="Arial" w:cs="Arial" w:hAnsi="Arial"/>
          <w:sz w:val="22"/>
        </w:rPr>
        <w:t>会计的主要计量单位是（</w:t>
      </w:r>
      <w:r>
        <w:rPr>
          <w:rFonts w:eastAsia="等线" w:ascii="Arial" w:cs="Arial" w:hAnsi="Arial"/>
          <w:b w:val="true"/>
          <w:sz w:val="22"/>
        </w:rPr>
        <w:t>C</w:t>
      </w:r>
      <w:r>
        <w:rPr>
          <w:rFonts w:eastAsia="等线" w:ascii="Arial" w:cs="Arial" w:hAnsi="Arial"/>
          <w:sz w:val="22"/>
        </w:rPr>
        <w:t>）</w:t>
        <w:br/>
        <w:t>A.实物量度</w:t>
        <w:br/>
        <w:t>B.劳动量度</w:t>
        <w:br/>
        <w:t>C.货币量度</w:t>
        <w:br/>
      </w:r>
      <w:r>
        <w:rPr>
          <w:rFonts w:eastAsia="等线" w:ascii="Arial" w:cs="Arial" w:hAnsi="Arial"/>
          <w:sz w:val="22"/>
        </w:rPr>
        <w:t>D.时间量度</w:t>
      </w:r>
    </w:p>
    <w:p>
      <w:pPr>
        <w:numPr>
          <w:numId w:val="5"/>
        </w:numPr>
        <w:spacing w:before="120" w:after="120" w:line="288" w:lineRule="auto"/>
        <w:ind w:left="0"/>
        <w:jc w:val="left"/>
      </w:pPr>
      <w:r>
        <w:rPr>
          <w:rFonts w:eastAsia="等线" w:ascii="Arial" w:cs="Arial" w:hAnsi="Arial"/>
          <w:sz w:val="22"/>
        </w:rPr>
        <w:t>对应收账款在会计期末提取坏账准备金这一做法体现的原则是（</w:t>
      </w:r>
      <w:r>
        <w:rPr>
          <w:rFonts w:eastAsia="等线" w:ascii="Arial" w:cs="Arial" w:hAnsi="Arial"/>
          <w:b w:val="true"/>
          <w:sz w:val="22"/>
        </w:rPr>
        <w:t>C</w:t>
      </w:r>
      <w:r>
        <w:rPr>
          <w:rFonts w:eastAsia="等线" w:ascii="Arial" w:cs="Arial" w:hAnsi="Arial"/>
          <w:sz w:val="22"/>
        </w:rPr>
        <w:t>）</w:t>
        <w:br/>
        <w:t>A.配比原则</w:t>
        <w:br/>
        <w:t>B.重要性原则</w:t>
        <w:br/>
        <w:t>C.谨慎性原则</w:t>
        <w:br/>
      </w:r>
      <w:r>
        <w:rPr>
          <w:rFonts w:eastAsia="等线" w:ascii="Arial" w:cs="Arial" w:hAnsi="Arial"/>
          <w:sz w:val="22"/>
        </w:rPr>
        <w:t>D.可靠性原则</w:t>
      </w:r>
    </w:p>
    <w:p>
      <w:pPr>
        <w:numPr>
          <w:numId w:val="6"/>
        </w:numPr>
        <w:spacing w:before="120" w:after="120" w:line="288" w:lineRule="auto"/>
        <w:ind w:left="0"/>
        <w:jc w:val="left"/>
      </w:pPr>
      <w:r>
        <w:rPr>
          <w:rFonts w:eastAsia="等线" w:ascii="Arial" w:cs="Arial" w:hAnsi="Arial"/>
          <w:sz w:val="22"/>
        </w:rPr>
        <w:t>下列各项会计信息质量要求中，对相关性和可靠性起着制约作用的是（</w:t>
      </w:r>
      <w:r>
        <w:rPr>
          <w:rFonts w:eastAsia="等线" w:ascii="Arial" w:cs="Arial" w:hAnsi="Arial"/>
          <w:b w:val="true"/>
          <w:sz w:val="22"/>
        </w:rPr>
        <w:t>A</w:t>
      </w:r>
      <w:r>
        <w:rPr>
          <w:rFonts w:eastAsia="等线" w:ascii="Arial" w:cs="Arial" w:hAnsi="Arial"/>
          <w:sz w:val="22"/>
        </w:rPr>
        <w:t>）</w:t>
        <w:br/>
        <w:t>A.及时性</w:t>
        <w:br/>
        <w:t>B.谨慎性</w:t>
        <w:br/>
        <w:t>C.重要性</w:t>
        <w:br/>
      </w:r>
      <w:r>
        <w:rPr>
          <w:rFonts w:eastAsia="等线" w:ascii="Arial" w:cs="Arial" w:hAnsi="Arial"/>
          <w:sz w:val="22"/>
        </w:rPr>
        <w:t>D.实质重于形式</w:t>
      </w:r>
    </w:p>
    <w:p>
      <w:pPr>
        <w:numPr>
          <w:numId w:val="7"/>
        </w:numPr>
        <w:spacing w:before="120" w:after="120" w:line="288" w:lineRule="auto"/>
        <w:ind w:left="0"/>
        <w:jc w:val="left"/>
      </w:pPr>
      <w:r>
        <w:rPr>
          <w:rFonts w:eastAsia="等线" w:ascii="Arial" w:cs="Arial" w:hAnsi="Arial"/>
          <w:sz w:val="22"/>
        </w:rPr>
        <w:t>各企业单位处理会计业务的方法和程序在不同会计期间要保持前后一致，不得随意变更，这符合（</w:t>
      </w:r>
      <w:r>
        <w:rPr>
          <w:rFonts w:eastAsia="等线" w:ascii="Arial" w:cs="Arial" w:hAnsi="Arial"/>
          <w:b w:val="true"/>
          <w:sz w:val="22"/>
        </w:rPr>
        <w:t>C</w:t>
      </w:r>
      <w:r>
        <w:rPr>
          <w:rFonts w:eastAsia="等线" w:ascii="Arial" w:cs="Arial" w:hAnsi="Arial"/>
          <w:sz w:val="22"/>
        </w:rPr>
        <w:t>）</w:t>
        <w:br/>
        <w:t>A.相关性</w:t>
        <w:br/>
        <w:t>B.谨慎性</w:t>
        <w:br/>
        <w:t>C.可比性</w:t>
        <w:br/>
      </w:r>
      <w:r>
        <w:rPr>
          <w:rFonts w:eastAsia="等线" w:ascii="Arial" w:cs="Arial" w:hAnsi="Arial"/>
          <w:sz w:val="22"/>
        </w:rPr>
        <w:t>D.实质重于形式</w:t>
      </w:r>
    </w:p>
    <w:p>
      <w:pPr>
        <w:numPr>
          <w:numId w:val="8"/>
        </w:numPr>
        <w:spacing w:before="120" w:after="120" w:line="288" w:lineRule="auto"/>
        <w:ind w:left="0"/>
        <w:jc w:val="left"/>
      </w:pPr>
      <w:r>
        <w:rPr>
          <w:rFonts w:eastAsia="等线" w:ascii="Arial" w:cs="Arial" w:hAnsi="Arial"/>
          <w:sz w:val="22"/>
        </w:rPr>
        <w:t>在利润表中，对主营业务和其他业务合并列示，而将各项利润单独列示，这一做法体现的是（</w:t>
      </w:r>
      <w:r>
        <w:rPr>
          <w:rFonts w:eastAsia="等线" w:ascii="Arial" w:cs="Arial" w:hAnsi="Arial"/>
          <w:b w:val="true"/>
          <w:sz w:val="22"/>
        </w:rPr>
        <w:t>B</w:t>
      </w:r>
      <w:r>
        <w:rPr>
          <w:rFonts w:eastAsia="等线" w:ascii="Arial" w:cs="Arial" w:hAnsi="Arial"/>
          <w:sz w:val="22"/>
        </w:rPr>
        <w:t>）</w:t>
        <w:br/>
        <w:t>A.真实性原则</w:t>
        <w:br/>
        <w:t>B.重要性原则</w:t>
        <w:br/>
        <w:t>C.配比原则</w:t>
        <w:br/>
      </w:r>
      <w:r>
        <w:rPr>
          <w:rFonts w:eastAsia="等线" w:ascii="Arial" w:cs="Arial" w:hAnsi="Arial"/>
          <w:sz w:val="22"/>
        </w:rPr>
        <w:t>D.权责发生制原则</w:t>
      </w:r>
    </w:p>
    <w:p>
      <w:pPr>
        <w:numPr>
          <w:numId w:val="9"/>
        </w:numPr>
        <w:spacing w:before="120" w:after="120" w:line="288" w:lineRule="auto"/>
        <w:ind w:left="0"/>
        <w:jc w:val="left"/>
      </w:pPr>
      <w:r>
        <w:rPr>
          <w:rFonts w:eastAsia="等线" w:ascii="Arial" w:cs="Arial" w:hAnsi="Arial"/>
          <w:sz w:val="22"/>
        </w:rPr>
        <w:t>下列说法中，正确的是（</w:t>
      </w:r>
      <w:r>
        <w:rPr>
          <w:rFonts w:eastAsia="等线" w:ascii="Arial" w:cs="Arial" w:hAnsi="Arial"/>
          <w:b w:val="true"/>
          <w:sz w:val="22"/>
        </w:rPr>
        <w:t>C</w:t>
      </w:r>
      <w:r>
        <w:rPr>
          <w:rFonts w:eastAsia="等线" w:ascii="Arial" w:cs="Arial" w:hAnsi="Arial"/>
          <w:sz w:val="22"/>
        </w:rPr>
        <w:t>）</w:t>
        <w:br/>
        <w:t>A. 企业对外出售固定资产时，获得的出售收入应记入“其他业务收入”账户。</w:t>
        <w:br/>
        <w:t>B. 账簿即会计账户。</w:t>
        <w:br/>
        <w:t>C. 管理费用、财务费用、销售费用均属于企业的期间费用。</w:t>
        <w:br/>
        <w:t>D. 定期汇总的全部账户发生额的借贷方合计数平衡说明账户记录完全正确。</w:t>
        <w:br/>
      </w:r>
      <w:r>
        <w:rPr>
          <w:rFonts w:eastAsia="等线" w:ascii="Arial" w:cs="Arial" w:hAnsi="Arial"/>
          <w:sz w:val="22"/>
        </w:rPr>
        <w:t>E. 同一企业不同时期发生的相同或相似交易，应当采用一致的会计政策，不得随意变更，这体现了可比性中的横向可比。</w:t>
      </w:r>
    </w:p>
    <w:p>
      <w:pPr>
        <w:numPr>
          <w:numId w:val="10"/>
        </w:numPr>
        <w:spacing w:before="120" w:after="120" w:line="288" w:lineRule="auto"/>
        <w:ind w:left="0"/>
        <w:jc w:val="left"/>
      </w:pPr>
      <w:r>
        <w:rPr>
          <w:rFonts w:eastAsia="等线" w:ascii="Arial" w:cs="Arial" w:hAnsi="Arial"/>
          <w:sz w:val="22"/>
        </w:rPr>
        <w:t>企业的原材料是（</w:t>
      </w:r>
      <w:r>
        <w:rPr>
          <w:rFonts w:eastAsia="等线" w:ascii="Arial" w:cs="Arial" w:hAnsi="Arial"/>
          <w:b w:val="true"/>
          <w:sz w:val="22"/>
        </w:rPr>
        <w:t>B</w:t>
      </w:r>
      <w:r>
        <w:rPr>
          <w:rFonts w:eastAsia="等线" w:ascii="Arial" w:cs="Arial" w:hAnsi="Arial"/>
          <w:sz w:val="22"/>
        </w:rPr>
        <w:t>）</w:t>
        <w:br/>
        <w:t>A.权益</w:t>
        <w:br/>
        <w:t>B.资产</w:t>
        <w:br/>
        <w:t>C.负债</w:t>
        <w:br/>
      </w:r>
      <w:r>
        <w:rPr>
          <w:rFonts w:eastAsia="等线" w:ascii="Arial" w:cs="Arial" w:hAnsi="Arial"/>
          <w:sz w:val="22"/>
        </w:rPr>
        <w:t>D.所有者权益</w:t>
      </w:r>
    </w:p>
    <w:p>
      <w:pPr>
        <w:numPr>
          <w:numId w:val="11"/>
        </w:numPr>
        <w:spacing w:before="120" w:after="120" w:line="288" w:lineRule="auto"/>
        <w:ind w:left="0"/>
        <w:jc w:val="left"/>
      </w:pPr>
      <w:r>
        <w:rPr>
          <w:rFonts w:eastAsia="等线" w:ascii="Arial" w:cs="Arial" w:hAnsi="Arial"/>
          <w:sz w:val="22"/>
        </w:rPr>
        <w:t>某企业负债总额 100 万元，所有者权益 50 万元，用银行存款归还短期借款 30 万元后，权益总额为（</w:t>
      </w:r>
      <w:r>
        <w:rPr>
          <w:rFonts w:eastAsia="等线" w:ascii="Arial" w:cs="Arial" w:hAnsi="Arial"/>
          <w:b w:val="true"/>
          <w:sz w:val="22"/>
        </w:rPr>
        <w:t>C</w:t>
      </w:r>
      <w:r>
        <w:rPr>
          <w:rFonts w:eastAsia="等线" w:ascii="Arial" w:cs="Arial" w:hAnsi="Arial"/>
          <w:sz w:val="22"/>
        </w:rPr>
        <w:t>）</w:t>
        <w:br/>
        <w:t>A.100万元</w:t>
        <w:br/>
        <w:t>B.70万元</w:t>
        <w:br/>
        <w:t>C.120万元</w:t>
        <w:br/>
      </w:r>
      <w:r>
        <w:rPr>
          <w:rFonts w:eastAsia="等线" w:ascii="Arial" w:cs="Arial" w:hAnsi="Arial"/>
          <w:sz w:val="22"/>
        </w:rPr>
        <w:t>D.160万元</w:t>
      </w:r>
    </w:p>
    <w:p>
      <w:pPr>
        <w:numPr>
          <w:numId w:val="12"/>
        </w:numPr>
        <w:spacing w:before="120" w:after="120" w:line="288" w:lineRule="auto"/>
        <w:ind w:left="0"/>
        <w:jc w:val="left"/>
      </w:pPr>
      <w:r>
        <w:rPr>
          <w:rFonts w:eastAsia="等线" w:ascii="Arial" w:cs="Arial" w:hAnsi="Arial"/>
          <w:sz w:val="22"/>
        </w:rPr>
        <w:t>强调经营成果计算的企业适合采用（</w:t>
      </w:r>
      <w:r>
        <w:rPr>
          <w:rFonts w:eastAsia="等线" w:ascii="Arial" w:cs="Arial" w:hAnsi="Arial"/>
          <w:b w:val="true"/>
          <w:sz w:val="22"/>
        </w:rPr>
        <w:t>B</w:t>
      </w:r>
      <w:r>
        <w:rPr>
          <w:rFonts w:eastAsia="等线" w:ascii="Arial" w:cs="Arial" w:hAnsi="Arial"/>
          <w:sz w:val="22"/>
        </w:rPr>
        <w:t>）</w:t>
        <w:br/>
        <w:t>A.收付实现制</w:t>
        <w:br/>
        <w:t>B.权责发生制</w:t>
        <w:br/>
        <w:t>C.永续盘存制</w:t>
        <w:br/>
      </w:r>
      <w:r>
        <w:rPr>
          <w:rFonts w:eastAsia="等线" w:ascii="Arial" w:cs="Arial" w:hAnsi="Arial"/>
          <w:sz w:val="22"/>
        </w:rPr>
        <w:t>D.实地盘存制</w:t>
      </w:r>
    </w:p>
    <w:p>
      <w:pPr>
        <w:numPr>
          <w:numId w:val="13"/>
        </w:numPr>
        <w:spacing w:before="120" w:after="120" w:line="288" w:lineRule="auto"/>
        <w:ind w:left="0"/>
        <w:jc w:val="left"/>
      </w:pPr>
      <w:r>
        <w:rPr>
          <w:rFonts w:eastAsia="等线" w:ascii="Arial" w:cs="Arial" w:hAnsi="Arial"/>
          <w:sz w:val="22"/>
        </w:rPr>
        <w:t>企业于4月初用银行存款1200元支付第二季度房租，4月末仅将其中的400元计入本月费用，这符合（</w:t>
      </w:r>
      <w:r>
        <w:rPr>
          <w:rFonts w:eastAsia="等线" w:ascii="Arial" w:cs="Arial" w:hAnsi="Arial"/>
          <w:b w:val="true"/>
          <w:sz w:val="22"/>
        </w:rPr>
        <w:t>B</w:t>
      </w:r>
      <w:r>
        <w:rPr>
          <w:rFonts w:eastAsia="等线" w:ascii="Arial" w:cs="Arial" w:hAnsi="Arial"/>
          <w:sz w:val="22"/>
        </w:rPr>
        <w:t>）</w:t>
        <w:br/>
        <w:t>A.配比原则</w:t>
        <w:br/>
        <w:t>B.权责发生制原则</w:t>
        <w:br/>
        <w:t>C.收付实现制原则</w:t>
        <w:br/>
      </w:r>
      <w:r>
        <w:rPr>
          <w:rFonts w:eastAsia="等线" w:ascii="Arial" w:cs="Arial" w:hAnsi="Arial"/>
          <w:sz w:val="22"/>
        </w:rPr>
        <w:t>D.历史成本计价原则</w:t>
      </w:r>
    </w:p>
    <w:p>
      <w:pPr>
        <w:numPr>
          <w:numId w:val="14"/>
        </w:numPr>
        <w:spacing w:before="120" w:after="120" w:line="288" w:lineRule="auto"/>
        <w:ind w:left="0"/>
        <w:jc w:val="left"/>
      </w:pPr>
      <w:r>
        <w:rPr>
          <w:rFonts w:eastAsia="等线" w:ascii="Arial" w:cs="Arial" w:hAnsi="Arial"/>
          <w:sz w:val="22"/>
        </w:rPr>
        <w:t>按照收付实现制的要求，确定各项收入和费用归属期的标准是（</w:t>
      </w:r>
      <w:r>
        <w:rPr>
          <w:rFonts w:eastAsia="等线" w:ascii="Arial" w:cs="Arial" w:hAnsi="Arial"/>
          <w:b w:val="true"/>
          <w:sz w:val="22"/>
        </w:rPr>
        <w:t>C</w:t>
      </w:r>
      <w:r>
        <w:rPr>
          <w:rFonts w:eastAsia="等线" w:ascii="Arial" w:cs="Arial" w:hAnsi="Arial"/>
          <w:sz w:val="22"/>
        </w:rPr>
        <w:t>）</w:t>
        <w:br/>
        <w:t>A.实际发生的收支</w:t>
        <w:br/>
        <w:t>B.实际收付的业务</w:t>
        <w:br/>
        <w:t>C.实际款项的收付</w:t>
        <w:br/>
      </w:r>
      <w:r>
        <w:rPr>
          <w:rFonts w:eastAsia="等线" w:ascii="Arial" w:cs="Arial" w:hAnsi="Arial"/>
          <w:sz w:val="22"/>
        </w:rPr>
        <w:t>D.实现的经营成果</w:t>
      </w:r>
    </w:p>
    <w:p>
      <w:pPr>
        <w:numPr>
          <w:numId w:val="15"/>
        </w:numPr>
        <w:spacing w:before="120" w:after="120" w:line="288" w:lineRule="auto"/>
        <w:ind w:left="0"/>
        <w:jc w:val="left"/>
      </w:pPr>
      <w:r>
        <w:rPr>
          <w:rFonts w:eastAsia="等线" w:ascii="Arial" w:cs="Arial" w:hAnsi="Arial"/>
          <w:sz w:val="22"/>
        </w:rPr>
        <w:t>对会计对象的具体划分称为（</w:t>
      </w:r>
      <w:r>
        <w:rPr>
          <w:rFonts w:eastAsia="等线" w:ascii="Arial" w:cs="Arial" w:hAnsi="Arial"/>
          <w:b w:val="true"/>
          <w:sz w:val="22"/>
        </w:rPr>
        <w:t>C</w:t>
      </w:r>
      <w:r>
        <w:rPr>
          <w:rFonts w:eastAsia="等线" w:ascii="Arial" w:cs="Arial" w:hAnsi="Arial"/>
          <w:sz w:val="22"/>
        </w:rPr>
        <w:t>）</w:t>
        <w:br/>
        <w:t>A.会计科目</w:t>
        <w:br/>
        <w:t>B.会计原则</w:t>
        <w:br/>
        <w:t>C.会计要素</w:t>
        <w:br/>
      </w:r>
      <w:r>
        <w:rPr>
          <w:rFonts w:eastAsia="等线" w:ascii="Arial" w:cs="Arial" w:hAnsi="Arial"/>
          <w:sz w:val="22"/>
        </w:rPr>
        <w:t>D.会计方法</w:t>
      </w:r>
    </w:p>
    <w:p>
      <w:pPr>
        <w:numPr>
          <w:numId w:val="16"/>
        </w:numPr>
        <w:spacing w:before="120" w:after="120" w:line="288" w:lineRule="auto"/>
        <w:ind w:left="0"/>
        <w:jc w:val="left"/>
      </w:pPr>
      <w:r>
        <w:rPr>
          <w:rFonts w:eastAsia="等线" w:ascii="Arial" w:cs="Arial" w:hAnsi="Arial"/>
          <w:sz w:val="22"/>
        </w:rPr>
        <w:t>下列关于会计科目说法错误的是（</w:t>
      </w:r>
      <w:r>
        <w:rPr>
          <w:rFonts w:eastAsia="等线" w:ascii="Arial" w:cs="Arial" w:hAnsi="Arial"/>
          <w:b w:val="true"/>
          <w:sz w:val="22"/>
        </w:rPr>
        <w:t>C</w:t>
      </w:r>
      <w:r>
        <w:rPr>
          <w:rFonts w:eastAsia="等线" w:ascii="Arial" w:cs="Arial" w:hAnsi="Arial"/>
          <w:sz w:val="22"/>
        </w:rPr>
        <w:t>）</w:t>
        <w:br/>
        <w:t>A.会计科目是对会计要素分类所形成的项目</w:t>
        <w:br/>
        <w:t>B.设置会计科目应遵循统一性和灵活性相结合的原则</w:t>
        <w:br/>
        <w:t>C.会计科目只有总分类科目一个级次</w:t>
        <w:br/>
      </w:r>
      <w:r>
        <w:rPr>
          <w:rFonts w:eastAsia="等线" w:ascii="Arial" w:cs="Arial" w:hAnsi="Arial"/>
          <w:sz w:val="22"/>
        </w:rPr>
        <w:t>D.会计科目是会计账户设置的依据</w:t>
      </w:r>
    </w:p>
    <w:p>
      <w:pPr>
        <w:numPr>
          <w:numId w:val="17"/>
        </w:numPr>
        <w:spacing w:before="120" w:after="120" w:line="288" w:lineRule="auto"/>
        <w:ind w:left="0"/>
        <w:jc w:val="left"/>
      </w:pPr>
      <w:r>
        <w:rPr>
          <w:rFonts w:eastAsia="等线" w:ascii="Arial" w:cs="Arial" w:hAnsi="Arial"/>
          <w:sz w:val="22"/>
        </w:rPr>
        <w:t>下列各项中属于流动负债的是（</w:t>
      </w:r>
      <w:r>
        <w:rPr>
          <w:rFonts w:eastAsia="等线" w:ascii="Arial" w:cs="Arial" w:hAnsi="Arial"/>
          <w:b w:val="true"/>
          <w:sz w:val="22"/>
        </w:rPr>
        <w:t>B</w:t>
      </w:r>
      <w:r>
        <w:rPr>
          <w:rFonts w:eastAsia="等线" w:ascii="Arial" w:cs="Arial" w:hAnsi="Arial"/>
          <w:sz w:val="22"/>
        </w:rPr>
        <w:t>）</w:t>
        <w:br/>
        <w:t>A.应付债券（1年以上到期）</w:t>
        <w:br/>
        <w:t>B.预收账款</w:t>
        <w:br/>
        <w:t>C.应收及预付款</w:t>
        <w:br/>
      </w:r>
      <w:r>
        <w:rPr>
          <w:rFonts w:eastAsia="等线" w:ascii="Arial" w:cs="Arial" w:hAnsi="Arial"/>
          <w:sz w:val="22"/>
        </w:rPr>
        <w:t>D.存货</w:t>
      </w:r>
    </w:p>
    <w:p>
      <w:pPr>
        <w:numPr>
          <w:numId w:val="18"/>
        </w:numPr>
        <w:spacing w:before="120" w:after="120" w:line="288" w:lineRule="auto"/>
        <w:ind w:left="0"/>
        <w:jc w:val="left"/>
      </w:pPr>
      <w:r>
        <w:rPr>
          <w:rFonts w:eastAsia="等线" w:ascii="Arial" w:cs="Arial" w:hAnsi="Arial"/>
          <w:sz w:val="22"/>
        </w:rPr>
        <w:t>下列选项中属于反映企业财务状况的会计要素是（</w:t>
      </w:r>
      <w:r>
        <w:rPr>
          <w:rFonts w:eastAsia="等线" w:ascii="Arial" w:cs="Arial" w:hAnsi="Arial"/>
          <w:b w:val="true"/>
          <w:sz w:val="22"/>
        </w:rPr>
        <w:t>B</w:t>
      </w:r>
      <w:r>
        <w:rPr>
          <w:rFonts w:eastAsia="等线" w:ascii="Arial" w:cs="Arial" w:hAnsi="Arial"/>
          <w:sz w:val="22"/>
        </w:rPr>
        <w:t>）</w:t>
        <w:br/>
        <w:t>A.收入</w:t>
        <w:br/>
        <w:t>B.所有者权益</w:t>
        <w:br/>
        <w:t>C.费用</w:t>
        <w:br/>
      </w:r>
      <w:r>
        <w:rPr>
          <w:rFonts w:eastAsia="等线" w:ascii="Arial" w:cs="Arial" w:hAnsi="Arial"/>
          <w:sz w:val="22"/>
        </w:rPr>
        <w:t>D.利润</w:t>
      </w:r>
    </w:p>
    <w:p>
      <w:pPr>
        <w:numPr>
          <w:numId w:val="19"/>
        </w:numPr>
        <w:spacing w:before="120" w:after="120" w:line="288" w:lineRule="auto"/>
        <w:ind w:left="0"/>
        <w:jc w:val="left"/>
      </w:pPr>
      <w:r>
        <w:rPr>
          <w:rFonts w:eastAsia="等线" w:ascii="Arial" w:cs="Arial" w:hAnsi="Arial"/>
          <w:sz w:val="22"/>
        </w:rPr>
        <w:t>下列选项中投资者按照企业章程等实际投入企业的是（</w:t>
      </w:r>
      <w:r>
        <w:rPr>
          <w:rFonts w:eastAsia="等线" w:ascii="Arial" w:cs="Arial" w:hAnsi="Arial"/>
          <w:b w:val="true"/>
          <w:sz w:val="22"/>
        </w:rPr>
        <w:t>C</w:t>
      </w:r>
      <w:r>
        <w:rPr>
          <w:rFonts w:eastAsia="等线" w:ascii="Arial" w:cs="Arial" w:hAnsi="Arial"/>
          <w:sz w:val="22"/>
        </w:rPr>
        <w:t>）</w:t>
        <w:br/>
        <w:t>A.盈余公积</w:t>
        <w:br/>
        <w:t>B.资本公积</w:t>
        <w:br/>
        <w:t>C.实收资本</w:t>
        <w:br/>
      </w:r>
      <w:r>
        <w:rPr>
          <w:rFonts w:eastAsia="等线" w:ascii="Arial" w:cs="Arial" w:hAnsi="Arial"/>
          <w:sz w:val="22"/>
        </w:rPr>
        <w:t>D.未分配利润</w:t>
      </w:r>
    </w:p>
    <w:p>
      <w:pPr>
        <w:numPr>
          <w:numId w:val="20"/>
        </w:numPr>
        <w:spacing w:before="120" w:after="120" w:line="288" w:lineRule="auto"/>
        <w:ind w:left="0"/>
        <w:jc w:val="left"/>
      </w:pPr>
      <w:r>
        <w:rPr>
          <w:rFonts w:eastAsia="等线" w:ascii="Arial" w:cs="Arial" w:hAnsi="Arial"/>
          <w:sz w:val="22"/>
        </w:rPr>
        <w:t>《企业会计准则第14号——收入》规定，企业的日常经营收入不包括（</w:t>
      </w:r>
      <w:r>
        <w:rPr>
          <w:rFonts w:eastAsia="等线" w:ascii="Arial" w:cs="Arial" w:hAnsi="Arial"/>
          <w:b w:val="true"/>
          <w:sz w:val="22"/>
        </w:rPr>
        <w:t>D</w:t>
      </w:r>
      <w:r>
        <w:rPr>
          <w:rFonts w:eastAsia="等线" w:ascii="Arial" w:cs="Arial" w:hAnsi="Arial"/>
          <w:sz w:val="22"/>
        </w:rPr>
        <w:t>）</w:t>
        <w:br/>
        <w:t>A.销售商品的收入</w:t>
        <w:br/>
        <w:t>B.提供劳务的收入</w:t>
        <w:br/>
        <w:t>C.他人使用本企业资产取得的收入</w:t>
        <w:br/>
      </w:r>
      <w:r>
        <w:rPr>
          <w:rFonts w:eastAsia="等线" w:ascii="Arial" w:cs="Arial" w:hAnsi="Arial"/>
          <w:sz w:val="22"/>
        </w:rPr>
        <w:t>D.捐赠获得的收入</w:t>
      </w:r>
    </w:p>
    <w:p>
      <w:pPr>
        <w:numPr>
          <w:numId w:val="21"/>
        </w:numPr>
        <w:spacing w:before="120" w:after="120" w:line="288" w:lineRule="auto"/>
        <w:ind w:left="0"/>
        <w:jc w:val="left"/>
      </w:pPr>
      <w:r>
        <w:rPr>
          <w:rFonts w:eastAsia="等线" w:ascii="Arial" w:cs="Arial" w:hAnsi="Arial"/>
          <w:sz w:val="22"/>
        </w:rPr>
        <w:t>经济业务发生仅涉及资产这一会计要素时，只引起该要素中某些项目发生（</w:t>
      </w:r>
      <w:r>
        <w:rPr>
          <w:rFonts w:eastAsia="等线" w:ascii="Arial" w:cs="Arial" w:hAnsi="Arial"/>
          <w:b w:val="true"/>
          <w:sz w:val="22"/>
        </w:rPr>
        <w:t>C</w:t>
      </w:r>
      <w:r>
        <w:rPr>
          <w:rFonts w:eastAsia="等线" w:ascii="Arial" w:cs="Arial" w:hAnsi="Arial"/>
          <w:sz w:val="22"/>
        </w:rPr>
        <w:t>）</w:t>
        <w:br/>
        <w:t>A.同增变动</w:t>
        <w:br/>
        <w:t>B.同减变动</w:t>
        <w:br/>
        <w:t>C.一增一减变动</w:t>
        <w:br/>
      </w:r>
      <w:r>
        <w:rPr>
          <w:rFonts w:eastAsia="等线" w:ascii="Arial" w:cs="Arial" w:hAnsi="Arial"/>
          <w:sz w:val="22"/>
        </w:rPr>
        <w:t>D.不变动</w:t>
      </w:r>
    </w:p>
    <w:p>
      <w:pPr>
        <w:numPr>
          <w:numId w:val="22"/>
        </w:numPr>
        <w:spacing w:before="120" w:after="120" w:line="288" w:lineRule="auto"/>
        <w:ind w:left="0"/>
        <w:jc w:val="left"/>
      </w:pPr>
      <w:r>
        <w:rPr>
          <w:rFonts w:eastAsia="等线" w:ascii="Arial" w:cs="Arial" w:hAnsi="Arial"/>
          <w:sz w:val="22"/>
        </w:rPr>
        <w:t>下列会计业务中会使企业月末资产总额发生变化的是（</w:t>
      </w:r>
      <w:r>
        <w:rPr>
          <w:rFonts w:eastAsia="等线" w:ascii="Arial" w:cs="Arial" w:hAnsi="Arial"/>
          <w:b w:val="true"/>
          <w:sz w:val="22"/>
        </w:rPr>
        <w:t>B</w:t>
      </w:r>
      <w:r>
        <w:rPr>
          <w:rFonts w:eastAsia="等线" w:ascii="Arial" w:cs="Arial" w:hAnsi="Arial"/>
          <w:sz w:val="22"/>
        </w:rPr>
        <w:t>）</w:t>
        <w:br/>
        <w:t>A.从银行提取现金</w:t>
        <w:br/>
        <w:t>B.购买原材料，货款未支付</w:t>
        <w:br/>
        <w:t>C.购买原材料，货款已支付</w:t>
        <w:br/>
      </w:r>
      <w:r>
        <w:rPr>
          <w:rFonts w:eastAsia="等线" w:ascii="Arial" w:cs="Arial" w:hAnsi="Arial"/>
          <w:sz w:val="22"/>
        </w:rPr>
        <w:t>D.现金存入银行</w:t>
      </w:r>
    </w:p>
    <w:p>
      <w:pPr>
        <w:numPr>
          <w:numId w:val="23"/>
        </w:numPr>
        <w:spacing w:before="120" w:after="120" w:line="288" w:lineRule="auto"/>
        <w:ind w:left="0"/>
        <w:jc w:val="left"/>
      </w:pPr>
      <w:r>
        <w:rPr>
          <w:rFonts w:eastAsia="等线" w:ascii="Arial" w:cs="Arial" w:hAnsi="Arial"/>
          <w:sz w:val="22"/>
        </w:rPr>
        <w:t>下列属于企业流动负债的是（</w:t>
      </w:r>
      <w:r>
        <w:rPr>
          <w:rFonts w:eastAsia="等线" w:ascii="Arial" w:cs="Arial" w:hAnsi="Arial"/>
          <w:b w:val="true"/>
          <w:sz w:val="22"/>
        </w:rPr>
        <w:t>C</w:t>
      </w:r>
      <w:r>
        <w:rPr>
          <w:rFonts w:eastAsia="等线" w:ascii="Arial" w:cs="Arial" w:hAnsi="Arial"/>
          <w:sz w:val="22"/>
        </w:rPr>
        <w:t>）</w:t>
        <w:br/>
        <w:t>A.应付债券</w:t>
        <w:br/>
        <w:t>B.预付账款</w:t>
        <w:br/>
        <w:t>C.应付票据</w:t>
        <w:br/>
      </w:r>
      <w:r>
        <w:rPr>
          <w:rFonts w:eastAsia="等线" w:ascii="Arial" w:cs="Arial" w:hAnsi="Arial"/>
          <w:sz w:val="22"/>
        </w:rPr>
        <w:t>D.交易性金融资产</w:t>
      </w:r>
    </w:p>
    <w:p>
      <w:pPr>
        <w:numPr>
          <w:numId w:val="24"/>
        </w:numPr>
        <w:spacing w:before="120" w:after="120" w:line="288" w:lineRule="auto"/>
        <w:ind w:left="0"/>
        <w:jc w:val="left"/>
      </w:pPr>
      <w:r>
        <w:rPr>
          <w:rFonts w:eastAsia="等线" w:ascii="Arial" w:cs="Arial" w:hAnsi="Arial"/>
          <w:sz w:val="22"/>
        </w:rPr>
        <w:t>“预付账款”属于的会计要素是（</w:t>
      </w:r>
      <w:r>
        <w:rPr>
          <w:rFonts w:eastAsia="等线" w:ascii="Arial" w:cs="Arial" w:hAnsi="Arial"/>
          <w:b w:val="true"/>
          <w:sz w:val="22"/>
        </w:rPr>
        <w:t>D</w:t>
      </w:r>
      <w:r>
        <w:rPr>
          <w:rFonts w:eastAsia="等线" w:ascii="Arial" w:cs="Arial" w:hAnsi="Arial"/>
          <w:sz w:val="22"/>
        </w:rPr>
        <w:t>）</w:t>
        <w:br/>
        <w:t>A.负债</w:t>
        <w:br/>
        <w:t>B.费用</w:t>
        <w:br/>
        <w:t>C.收入</w:t>
        <w:br/>
      </w:r>
      <w:r>
        <w:rPr>
          <w:rFonts w:eastAsia="等线" w:ascii="Arial" w:cs="Arial" w:hAnsi="Arial"/>
          <w:sz w:val="22"/>
        </w:rPr>
        <w:t>D.资产</w:t>
      </w:r>
    </w:p>
    <w:p>
      <w:pPr>
        <w:numPr>
          <w:numId w:val="25"/>
        </w:numPr>
        <w:spacing w:before="120" w:after="120" w:line="288" w:lineRule="auto"/>
        <w:ind w:left="0"/>
        <w:jc w:val="left"/>
      </w:pPr>
      <w:r>
        <w:rPr>
          <w:rFonts w:eastAsia="等线" w:ascii="Arial" w:cs="Arial" w:hAnsi="Arial"/>
          <w:sz w:val="22"/>
        </w:rPr>
        <w:t>某企业刚刚建立时，权益总额为100万元，现发生一笔以银行存款10万元偿还银行借款的经济业务，此时，该企业的资产总额为（</w:t>
      </w:r>
      <w:r>
        <w:rPr>
          <w:rFonts w:eastAsia="等线" w:ascii="Arial" w:cs="Arial" w:hAnsi="Arial"/>
          <w:b w:val="true"/>
          <w:sz w:val="22"/>
        </w:rPr>
        <w:t>C</w:t>
      </w:r>
      <w:r>
        <w:rPr>
          <w:rFonts w:eastAsia="等线" w:ascii="Arial" w:cs="Arial" w:hAnsi="Arial"/>
          <w:sz w:val="22"/>
        </w:rPr>
        <w:t>）</w:t>
        <w:br/>
        <w:t>A.70万元</w:t>
        <w:br/>
        <w:t>B.80万元</w:t>
        <w:br/>
        <w:t>C.90万元</w:t>
        <w:br/>
      </w:r>
      <w:r>
        <w:rPr>
          <w:rFonts w:eastAsia="等线" w:ascii="Arial" w:cs="Arial" w:hAnsi="Arial"/>
          <w:sz w:val="22"/>
        </w:rPr>
        <w:t>D.100万元</w:t>
      </w:r>
    </w:p>
    <w:p>
      <w:pPr>
        <w:numPr>
          <w:numId w:val="26"/>
        </w:numPr>
        <w:spacing w:before="120" w:after="120" w:line="288" w:lineRule="auto"/>
        <w:ind w:left="0"/>
        <w:jc w:val="left"/>
      </w:pPr>
      <w:r>
        <w:rPr>
          <w:rFonts w:eastAsia="等线" w:ascii="Arial" w:cs="Arial" w:hAnsi="Arial"/>
          <w:sz w:val="22"/>
        </w:rPr>
        <w:t>会计科目是对（</w:t>
      </w:r>
      <w:r>
        <w:rPr>
          <w:rFonts w:eastAsia="等线" w:ascii="Arial" w:cs="Arial" w:hAnsi="Arial"/>
          <w:b w:val="true"/>
          <w:sz w:val="22"/>
        </w:rPr>
        <w:t>B</w:t>
      </w:r>
      <w:r>
        <w:rPr>
          <w:rFonts w:eastAsia="等线" w:ascii="Arial" w:cs="Arial" w:hAnsi="Arial"/>
          <w:sz w:val="22"/>
        </w:rPr>
        <w:t>）</w:t>
        <w:br/>
        <w:t>A.会计对象分类所形成的项目</w:t>
        <w:br/>
        <w:t>B.会计要素分类所形成的项目</w:t>
        <w:br/>
        <w:t>C.会计方法分类所形成的项目</w:t>
        <w:br/>
      </w:r>
      <w:r>
        <w:rPr>
          <w:rFonts w:eastAsia="等线" w:ascii="Arial" w:cs="Arial" w:hAnsi="Arial"/>
          <w:sz w:val="22"/>
        </w:rPr>
        <w:t>D.会计账户分类所形成的项目</w:t>
      </w:r>
    </w:p>
    <w:p>
      <w:pPr>
        <w:numPr>
          <w:numId w:val="27"/>
        </w:numPr>
        <w:spacing w:before="120" w:after="120" w:line="288" w:lineRule="auto"/>
        <w:ind w:left="0"/>
        <w:jc w:val="left"/>
      </w:pPr>
      <w:r>
        <w:rPr>
          <w:rFonts w:eastAsia="等线" w:ascii="Arial" w:cs="Arial" w:hAnsi="Arial"/>
          <w:sz w:val="22"/>
        </w:rPr>
        <w:t>会计账户的设置依据是（</w:t>
      </w:r>
      <w:r>
        <w:rPr>
          <w:rFonts w:eastAsia="等线" w:ascii="Arial" w:cs="Arial" w:hAnsi="Arial"/>
          <w:b w:val="true"/>
          <w:sz w:val="22"/>
        </w:rPr>
        <w:t>D</w:t>
      </w:r>
      <w:r>
        <w:rPr>
          <w:rFonts w:eastAsia="等线" w:ascii="Arial" w:cs="Arial" w:hAnsi="Arial"/>
          <w:sz w:val="22"/>
        </w:rPr>
        <w:t>）</w:t>
        <w:br/>
        <w:t>A.会计对象</w:t>
        <w:br/>
        <w:t>B.会计要素</w:t>
        <w:br/>
        <w:t>C.会计方法</w:t>
        <w:br/>
      </w:r>
      <w:r>
        <w:rPr>
          <w:rFonts w:eastAsia="等线" w:ascii="Arial" w:cs="Arial" w:hAnsi="Arial"/>
          <w:sz w:val="22"/>
        </w:rPr>
        <w:t>D.会计科目</w:t>
      </w:r>
    </w:p>
    <w:p>
      <w:pPr>
        <w:numPr>
          <w:numId w:val="28"/>
        </w:numPr>
        <w:spacing w:before="120" w:after="120" w:line="288" w:lineRule="auto"/>
        <w:ind w:left="0"/>
        <w:jc w:val="left"/>
      </w:pPr>
      <w:r>
        <w:rPr>
          <w:rFonts w:eastAsia="等线" w:ascii="Arial" w:cs="Arial" w:hAnsi="Arial"/>
          <w:sz w:val="22"/>
        </w:rPr>
        <w:t>某企业资产总额为400万元，如果发生以下经济业务：（1）收到外单位投资50万元存入银行；（2）以银行存款支付购入材料款12万元；（3）以银行存款偿还银行借款10万元。这时企业资产总额为（</w:t>
      </w:r>
      <w:r>
        <w:rPr>
          <w:rFonts w:eastAsia="等线" w:ascii="Arial" w:cs="Arial" w:hAnsi="Arial"/>
          <w:b w:val="true"/>
          <w:sz w:val="22"/>
        </w:rPr>
        <w:t>D</w:t>
      </w:r>
      <w:r>
        <w:rPr>
          <w:rFonts w:eastAsia="等线" w:ascii="Arial" w:cs="Arial" w:hAnsi="Arial"/>
          <w:sz w:val="22"/>
        </w:rPr>
        <w:t>）</w:t>
        <w:br/>
        <w:t>A.450万元</w:t>
        <w:br/>
        <w:t>B.428万元</w:t>
        <w:br/>
        <w:t>C.438万元</w:t>
        <w:br/>
      </w:r>
      <w:r>
        <w:rPr>
          <w:rFonts w:eastAsia="等线" w:ascii="Arial" w:cs="Arial" w:hAnsi="Arial"/>
          <w:sz w:val="22"/>
        </w:rPr>
        <w:t>D.440万元</w:t>
      </w:r>
    </w:p>
    <w:p>
      <w:pPr>
        <w:numPr>
          <w:numId w:val="29"/>
        </w:numPr>
        <w:spacing w:before="120" w:after="120" w:line="288" w:lineRule="auto"/>
        <w:ind w:left="0"/>
        <w:jc w:val="left"/>
      </w:pPr>
      <w:r>
        <w:rPr>
          <w:rFonts w:eastAsia="等线" w:ascii="Arial" w:cs="Arial" w:hAnsi="Arial"/>
          <w:sz w:val="22"/>
        </w:rPr>
        <w:t>某企业为增值税一般纳税人，增值税税率为13%，该企业购入一台需要安装的生产经营设备，取得的增值税专用发票中注明的设备买价为500 000元，增值税税额为65 000元，支付的包装费等35 000元，设备安装时，领用生产用材料的实际成本为40 000元，支付的职工薪酬为30 000元。则该设备安装完毕交付使用时确定的固定资产入账价值是（</w:t>
      </w:r>
      <w:r>
        <w:rPr>
          <w:rFonts w:eastAsia="等线" w:ascii="Arial" w:cs="Arial" w:hAnsi="Arial"/>
          <w:b w:val="true"/>
          <w:sz w:val="22"/>
        </w:rPr>
        <w:t>A</w:t>
      </w:r>
      <w:r>
        <w:rPr>
          <w:rFonts w:eastAsia="等线" w:ascii="Arial" w:cs="Arial" w:hAnsi="Arial"/>
          <w:sz w:val="22"/>
        </w:rPr>
        <w:t>）</w:t>
        <w:br/>
        <w:t>A.605 000元</w:t>
        <w:br/>
        <w:t>B.700 000元</w:t>
        <w:br/>
        <w:t>C.600 000元</w:t>
        <w:br/>
      </w:r>
      <w:r>
        <w:rPr>
          <w:rFonts w:eastAsia="等线" w:ascii="Arial" w:cs="Arial" w:hAnsi="Arial"/>
          <w:sz w:val="22"/>
        </w:rPr>
        <w:t>D.665 000元</w:t>
      </w:r>
    </w:p>
    <w:p>
      <w:pPr>
        <w:numPr>
          <w:numId w:val="30"/>
        </w:numPr>
        <w:spacing w:before="120" w:after="120" w:line="288" w:lineRule="auto"/>
        <w:ind w:left="0"/>
        <w:jc w:val="left"/>
      </w:pPr>
      <w:r>
        <w:rPr>
          <w:rFonts w:eastAsia="等线" w:ascii="Arial" w:cs="Arial" w:hAnsi="Arial"/>
          <w:sz w:val="22"/>
        </w:rPr>
        <w:t>在借贷记账法下，负债权益类账户的期末余额等于（</w:t>
      </w:r>
      <w:r>
        <w:rPr>
          <w:rFonts w:eastAsia="等线" w:ascii="Arial" w:cs="Arial" w:hAnsi="Arial"/>
          <w:b w:val="true"/>
          <w:sz w:val="22"/>
        </w:rPr>
        <w:t>C</w:t>
      </w:r>
      <w:r>
        <w:rPr>
          <w:rFonts w:eastAsia="等线" w:ascii="Arial" w:cs="Arial" w:hAnsi="Arial"/>
          <w:sz w:val="22"/>
        </w:rPr>
        <w:t>）</w:t>
        <w:br/>
        <w:t>A.期初借方余额+本期贷方发生额-本期借方发生额</w:t>
        <w:br/>
        <w:t>B.期初借方余额+本期借方发生额-本期贷方发生额</w:t>
        <w:br/>
        <w:t>C.期初贷方余额+本期贷方发生额-本期借方发生额</w:t>
        <w:br/>
      </w:r>
      <w:r>
        <w:rPr>
          <w:rFonts w:eastAsia="等线" w:ascii="Arial" w:cs="Arial" w:hAnsi="Arial"/>
          <w:sz w:val="22"/>
        </w:rPr>
        <w:t>D.期初贷方余额+本期借方发生额-本期贷方发生额</w:t>
      </w:r>
    </w:p>
    <w:p>
      <w:pPr>
        <w:numPr>
          <w:numId w:val="31"/>
        </w:numPr>
        <w:spacing w:before="120" w:after="120" w:line="288" w:lineRule="auto"/>
        <w:ind w:left="0"/>
        <w:jc w:val="left"/>
      </w:pPr>
      <w:r>
        <w:rPr>
          <w:rFonts w:eastAsia="等线" w:ascii="Arial" w:cs="Arial" w:hAnsi="Arial"/>
          <w:sz w:val="22"/>
        </w:rPr>
        <w:t>借贷记账法的余额试算平衡的公式是（</w:t>
      </w:r>
      <w:r>
        <w:rPr>
          <w:rFonts w:eastAsia="等线" w:ascii="Arial" w:cs="Arial" w:hAnsi="Arial"/>
          <w:b w:val="true"/>
          <w:sz w:val="22"/>
        </w:rPr>
        <w:t>C</w:t>
      </w:r>
      <w:r>
        <w:rPr>
          <w:rFonts w:eastAsia="等线" w:ascii="Arial" w:cs="Arial" w:hAnsi="Arial"/>
          <w:sz w:val="22"/>
        </w:rPr>
        <w:t>）</w:t>
        <w:br/>
        <w:t>A.每个账户的借方发生额=每个账户的贷方发生额</w:t>
        <w:br/>
        <w:t>B.全部账户本期借方发生额合计=全部账户本期贷方发生额合计</w:t>
        <w:br/>
        <w:t>C.全部账户期末借方余额合计=全部账户期末贷方余额合计</w:t>
        <w:br/>
      </w:r>
      <w:r>
        <w:rPr>
          <w:rFonts w:eastAsia="等线" w:ascii="Arial" w:cs="Arial" w:hAnsi="Arial"/>
          <w:sz w:val="22"/>
        </w:rPr>
        <w:t>D.全部账户期末借方余额合计=部分账户期末贷方余额合计</w:t>
      </w:r>
    </w:p>
    <w:p>
      <w:pPr>
        <w:numPr>
          <w:numId w:val="32"/>
        </w:numPr>
        <w:spacing w:before="120" w:after="120" w:line="288" w:lineRule="auto"/>
        <w:ind w:left="0"/>
        <w:jc w:val="left"/>
      </w:pPr>
      <w:r>
        <w:rPr>
          <w:rFonts w:eastAsia="等线" w:ascii="Arial" w:cs="Arial" w:hAnsi="Arial"/>
          <w:sz w:val="22"/>
        </w:rPr>
        <w:t>我们一般将企业所有者权益中的盈余公积和未分配利润合称为（</w:t>
      </w:r>
      <w:r>
        <w:rPr>
          <w:rFonts w:eastAsia="等线" w:ascii="Arial" w:cs="Arial" w:hAnsi="Arial"/>
          <w:b w:val="true"/>
          <w:sz w:val="22"/>
        </w:rPr>
        <w:t>C</w:t>
      </w:r>
      <w:r>
        <w:rPr>
          <w:rFonts w:eastAsia="等线" w:ascii="Arial" w:cs="Arial" w:hAnsi="Arial"/>
          <w:sz w:val="22"/>
        </w:rPr>
        <w:t>）</w:t>
        <w:br/>
        <w:t>A.实收资本</w:t>
        <w:br/>
        <w:t>B.资本公积</w:t>
        <w:br/>
        <w:t>C.留存收益</w:t>
        <w:br/>
      </w:r>
      <w:r>
        <w:rPr>
          <w:rFonts w:eastAsia="等线" w:ascii="Arial" w:cs="Arial" w:hAnsi="Arial"/>
          <w:sz w:val="22"/>
        </w:rPr>
        <w:t>D.所有者权益</w:t>
      </w:r>
    </w:p>
    <w:p>
      <w:pPr>
        <w:numPr>
          <w:numId w:val="33"/>
        </w:numPr>
        <w:spacing w:before="120" w:after="120" w:line="288" w:lineRule="auto"/>
        <w:ind w:left="0"/>
        <w:jc w:val="left"/>
      </w:pPr>
      <w:r>
        <w:rPr>
          <w:rFonts w:eastAsia="等线" w:ascii="Arial" w:cs="Arial" w:hAnsi="Arial"/>
          <w:sz w:val="22"/>
        </w:rPr>
        <w:t>下列交易事项中，能引起“资本公积”账户借方发生变动的是（</w:t>
      </w:r>
      <w:r>
        <w:rPr>
          <w:rFonts w:eastAsia="等线" w:ascii="Arial" w:cs="Arial" w:hAnsi="Arial"/>
          <w:b w:val="true"/>
          <w:sz w:val="22"/>
        </w:rPr>
        <w:t>B</w:t>
      </w:r>
      <w:r>
        <w:rPr>
          <w:rFonts w:eastAsia="等线" w:ascii="Arial" w:cs="Arial" w:hAnsi="Arial"/>
          <w:sz w:val="22"/>
        </w:rPr>
        <w:t>）</w:t>
        <w:br/>
        <w:t>A.向某灾区捐款</w:t>
        <w:br/>
        <w:t>B.资本公积转增资本</w:t>
        <w:br/>
        <w:t>C.向投资人分派股利</w:t>
        <w:br/>
      </w:r>
      <w:r>
        <w:rPr>
          <w:rFonts w:eastAsia="等线" w:ascii="Arial" w:cs="Arial" w:hAnsi="Arial"/>
          <w:sz w:val="22"/>
        </w:rPr>
        <w:t>D.溢价发行股票</w:t>
      </w:r>
    </w:p>
    <w:p>
      <w:pPr>
        <w:numPr>
          <w:numId w:val="34"/>
        </w:numPr>
        <w:spacing w:before="120" w:after="120" w:line="288" w:lineRule="auto"/>
        <w:ind w:left="0"/>
        <w:jc w:val="left"/>
      </w:pPr>
      <w:r>
        <w:rPr>
          <w:rFonts w:eastAsia="等线" w:ascii="Arial" w:cs="Arial" w:hAnsi="Arial"/>
          <w:sz w:val="22"/>
        </w:rPr>
        <w:t>有限责任公司增资扩股时，如果有新的投资者加入，则新加入的投资者缴纳的出资额大于按约定比例计算的其在注册资本中所占份额部分，应计入的贷方账户是（</w:t>
      </w:r>
      <w:r>
        <w:rPr>
          <w:rFonts w:eastAsia="等线" w:ascii="Arial" w:cs="Arial" w:hAnsi="Arial"/>
          <w:b w:val="true"/>
          <w:sz w:val="22"/>
        </w:rPr>
        <w:t>C</w:t>
      </w:r>
      <w:r>
        <w:rPr>
          <w:rFonts w:eastAsia="等线" w:ascii="Arial" w:cs="Arial" w:hAnsi="Arial"/>
          <w:sz w:val="22"/>
        </w:rPr>
        <w:t>）</w:t>
        <w:br/>
        <w:t>A.实收资本账户</w:t>
        <w:br/>
        <w:t>B.股本账户</w:t>
        <w:br/>
        <w:t>C.资本公积账户</w:t>
        <w:br/>
      </w:r>
      <w:r>
        <w:rPr>
          <w:rFonts w:eastAsia="等线" w:ascii="Arial" w:cs="Arial" w:hAnsi="Arial"/>
          <w:sz w:val="22"/>
        </w:rPr>
        <w:t>D.盈余公积账户</w:t>
      </w:r>
    </w:p>
    <w:p>
      <w:pPr>
        <w:numPr>
          <w:numId w:val="35"/>
        </w:numPr>
        <w:spacing w:before="120" w:after="120" w:line="288" w:lineRule="auto"/>
        <w:ind w:left="0"/>
        <w:jc w:val="left"/>
      </w:pPr>
      <w:r>
        <w:rPr>
          <w:rFonts w:eastAsia="等线" w:ascii="Arial" w:cs="Arial" w:hAnsi="Arial"/>
          <w:sz w:val="22"/>
        </w:rPr>
        <w:t>企业为维持正常的生产经营所需资金而向银行等金融机构临时借入的款项为（</w:t>
      </w:r>
      <w:r>
        <w:rPr>
          <w:rFonts w:eastAsia="等线" w:ascii="Arial" w:cs="Arial" w:hAnsi="Arial"/>
          <w:b w:val="true"/>
          <w:sz w:val="22"/>
        </w:rPr>
        <w:t>B</w:t>
      </w:r>
      <w:r>
        <w:rPr>
          <w:rFonts w:eastAsia="等线" w:ascii="Arial" w:cs="Arial" w:hAnsi="Arial"/>
          <w:sz w:val="22"/>
        </w:rPr>
        <w:t>）</w:t>
        <w:br/>
        <w:t>A.长期借款</w:t>
        <w:br/>
        <w:t>B.短期借款</w:t>
        <w:br/>
        <w:t>C.长期负债</w:t>
        <w:br/>
      </w:r>
      <w:r>
        <w:rPr>
          <w:rFonts w:eastAsia="等线" w:ascii="Arial" w:cs="Arial" w:hAnsi="Arial"/>
          <w:sz w:val="22"/>
        </w:rPr>
        <w:t>D.流动负债</w:t>
      </w:r>
    </w:p>
    <w:p>
      <w:pPr>
        <w:numPr>
          <w:numId w:val="36"/>
        </w:numPr>
        <w:spacing w:before="120" w:after="120" w:line="288" w:lineRule="auto"/>
        <w:ind w:left="0"/>
        <w:jc w:val="left"/>
      </w:pPr>
      <w:r>
        <w:rPr>
          <w:rFonts w:eastAsia="等线" w:ascii="Arial" w:cs="Arial" w:hAnsi="Arial"/>
          <w:sz w:val="22"/>
        </w:rPr>
        <w:t>企业为建造工程借入的长期借款在工程完工达到预定可使用状态之后发生的利息支出应计入（</w:t>
      </w:r>
      <w:r>
        <w:rPr>
          <w:rFonts w:eastAsia="等线" w:ascii="Arial" w:cs="Arial" w:hAnsi="Arial"/>
          <w:b w:val="true"/>
          <w:sz w:val="22"/>
        </w:rPr>
        <w:t>C</w:t>
      </w:r>
      <w:r>
        <w:rPr>
          <w:rFonts w:eastAsia="等线" w:ascii="Arial" w:cs="Arial" w:hAnsi="Arial"/>
          <w:sz w:val="22"/>
        </w:rPr>
        <w:t>）</w:t>
        <w:br/>
        <w:t>A.管理费用</w:t>
        <w:br/>
        <w:t>B.固定资产</w:t>
        <w:br/>
        <w:t>C.财务费用</w:t>
        <w:br/>
      </w:r>
      <w:r>
        <w:rPr>
          <w:rFonts w:eastAsia="等线" w:ascii="Arial" w:cs="Arial" w:hAnsi="Arial"/>
          <w:sz w:val="22"/>
        </w:rPr>
        <w:t>D.在建工程</w:t>
      </w:r>
    </w:p>
    <w:p>
      <w:pPr>
        <w:numPr>
          <w:numId w:val="37"/>
        </w:numPr>
        <w:spacing w:before="120" w:after="120" w:line="288" w:lineRule="auto"/>
        <w:ind w:left="0"/>
        <w:jc w:val="left"/>
      </w:pPr>
      <w:r>
        <w:rPr>
          <w:rFonts w:eastAsia="等线" w:ascii="Arial" w:cs="Arial" w:hAnsi="Arial"/>
          <w:sz w:val="22"/>
        </w:rPr>
        <w:t>企业计提短期借款的利息支出时应借记的账户是（</w:t>
      </w:r>
      <w:r>
        <w:rPr>
          <w:rFonts w:eastAsia="等线" w:ascii="Arial" w:cs="Arial" w:hAnsi="Arial"/>
          <w:b w:val="true"/>
          <w:sz w:val="22"/>
        </w:rPr>
        <w:t>A</w:t>
      </w:r>
      <w:r>
        <w:rPr>
          <w:rFonts w:eastAsia="等线" w:ascii="Arial" w:cs="Arial" w:hAnsi="Arial"/>
          <w:sz w:val="22"/>
        </w:rPr>
        <w:t>）</w:t>
        <w:br/>
        <w:t>A.“财务费用”账户</w:t>
        <w:br/>
        <w:t>B.“短期借款”账户</w:t>
        <w:br/>
        <w:t>C.“应付利息”账户</w:t>
        <w:br/>
      </w:r>
      <w:r>
        <w:rPr>
          <w:rFonts w:eastAsia="等线" w:ascii="Arial" w:cs="Arial" w:hAnsi="Arial"/>
          <w:sz w:val="22"/>
        </w:rPr>
        <w:t>D.“在建工程”账户</w:t>
      </w:r>
    </w:p>
    <w:p>
      <w:pPr>
        <w:numPr>
          <w:numId w:val="38"/>
        </w:numPr>
        <w:spacing w:before="120" w:after="120" w:line="288" w:lineRule="auto"/>
        <w:ind w:left="0"/>
        <w:jc w:val="left"/>
      </w:pPr>
      <w:r>
        <w:rPr>
          <w:rFonts w:eastAsia="等线" w:ascii="Arial" w:cs="Arial" w:hAnsi="Arial"/>
          <w:sz w:val="22"/>
        </w:rPr>
        <w:t>企业设置“固定资产”账户是用来反映固定资产的（</w:t>
      </w:r>
      <w:r>
        <w:rPr>
          <w:rFonts w:eastAsia="等线" w:ascii="Arial" w:cs="Arial" w:hAnsi="Arial"/>
          <w:b w:val="true"/>
          <w:sz w:val="22"/>
        </w:rPr>
        <w:t>C</w:t>
      </w:r>
      <w:r>
        <w:rPr>
          <w:rFonts w:eastAsia="等线" w:ascii="Arial" w:cs="Arial" w:hAnsi="Arial"/>
          <w:sz w:val="22"/>
        </w:rPr>
        <w:t>）</w:t>
        <w:br/>
        <w:t>A.磨损价值</w:t>
        <w:br/>
        <w:t>B.累计折旧</w:t>
        <w:br/>
        <w:t>C.原始价值</w:t>
        <w:br/>
      </w:r>
      <w:r>
        <w:rPr>
          <w:rFonts w:eastAsia="等线" w:ascii="Arial" w:cs="Arial" w:hAnsi="Arial"/>
          <w:sz w:val="22"/>
        </w:rPr>
        <w:t>D.净值</w:t>
      </w:r>
    </w:p>
    <w:p>
      <w:pPr>
        <w:numPr>
          <w:numId w:val="39"/>
        </w:numPr>
        <w:spacing w:before="120" w:after="120" w:line="288" w:lineRule="auto"/>
        <w:ind w:left="0"/>
        <w:jc w:val="left"/>
      </w:pPr>
      <w:r>
        <w:rPr>
          <w:rFonts w:eastAsia="等线" w:ascii="Arial" w:cs="Arial" w:hAnsi="Arial"/>
          <w:sz w:val="22"/>
        </w:rPr>
        <w:t>某制造业企业为增值税一般纳税人，本期外购原材料一批，发票注明买价20 000元，增值税税额为2 600元，入库前发生的挑选整理费用为1 000元，则该批原材料的入账价值为（</w:t>
      </w:r>
      <w:r>
        <w:rPr>
          <w:rFonts w:eastAsia="等线" w:ascii="Arial" w:cs="Arial" w:hAnsi="Arial"/>
          <w:b w:val="true"/>
          <w:sz w:val="22"/>
        </w:rPr>
        <w:t>C</w:t>
      </w:r>
      <w:r>
        <w:rPr>
          <w:rFonts w:eastAsia="等线" w:ascii="Arial" w:cs="Arial" w:hAnsi="Arial"/>
          <w:sz w:val="22"/>
        </w:rPr>
        <w:t>）</w:t>
        <w:br/>
        <w:t>A.20 000元</w:t>
        <w:br/>
        <w:t>B.22 600元</w:t>
        <w:br/>
        <w:t>C.21 000元</w:t>
        <w:br/>
      </w:r>
      <w:r>
        <w:rPr>
          <w:rFonts w:eastAsia="等线" w:ascii="Arial" w:cs="Arial" w:hAnsi="Arial"/>
          <w:sz w:val="22"/>
        </w:rPr>
        <w:t>D.23 600元</w:t>
      </w:r>
    </w:p>
    <w:p>
      <w:pPr>
        <w:numPr>
          <w:numId w:val="40"/>
        </w:numPr>
        <w:spacing w:before="120" w:after="120" w:line="288" w:lineRule="auto"/>
        <w:ind w:left="0"/>
        <w:jc w:val="left"/>
      </w:pPr>
      <w:r>
        <w:rPr>
          <w:rFonts w:eastAsia="等线" w:ascii="Arial" w:cs="Arial" w:hAnsi="Arial"/>
          <w:sz w:val="22"/>
        </w:rPr>
        <w:t>下列账户中与“制造费用”账户不可能发生对应关系的是（</w:t>
      </w:r>
      <w:r>
        <w:rPr>
          <w:rFonts w:eastAsia="等线" w:ascii="Arial" w:cs="Arial" w:hAnsi="Arial"/>
          <w:b w:val="true"/>
          <w:sz w:val="22"/>
        </w:rPr>
        <w:t>D</w:t>
      </w:r>
      <w:r>
        <w:rPr>
          <w:rFonts w:eastAsia="等线" w:ascii="Arial" w:cs="Arial" w:hAnsi="Arial"/>
          <w:sz w:val="22"/>
        </w:rPr>
        <w:t>）</w:t>
        <w:br/>
        <w:t>A.“库存现金”账户</w:t>
        <w:br/>
        <w:t>B. “银行存款”账户</w:t>
        <w:br/>
        <w:t>C. “应付职工薪酬”账户</w:t>
        <w:br/>
      </w:r>
      <w:r>
        <w:rPr>
          <w:rFonts w:eastAsia="等线" w:ascii="Arial" w:cs="Arial" w:hAnsi="Arial"/>
          <w:sz w:val="22"/>
        </w:rPr>
        <w:t>D. “库存商品”账户</w:t>
      </w:r>
    </w:p>
    <w:p>
      <w:pPr>
        <w:numPr>
          <w:numId w:val="41"/>
        </w:numPr>
        <w:spacing w:before="120" w:after="120" w:line="288" w:lineRule="auto"/>
        <w:ind w:left="0"/>
        <w:jc w:val="left"/>
      </w:pPr>
      <w:r>
        <w:rPr>
          <w:rFonts w:eastAsia="等线" w:ascii="Arial" w:cs="Arial" w:hAnsi="Arial"/>
          <w:sz w:val="22"/>
        </w:rPr>
        <w:t>下列费用中，不构成产品成本，而应直接计入当期损益的是（</w:t>
      </w:r>
      <w:r>
        <w:rPr>
          <w:rFonts w:eastAsia="等线" w:ascii="Arial" w:cs="Arial" w:hAnsi="Arial"/>
          <w:b w:val="true"/>
          <w:sz w:val="22"/>
        </w:rPr>
        <w:t>C</w:t>
      </w:r>
      <w:r>
        <w:rPr>
          <w:rFonts w:eastAsia="等线" w:ascii="Arial" w:cs="Arial" w:hAnsi="Arial"/>
          <w:sz w:val="22"/>
        </w:rPr>
        <w:t>）</w:t>
        <w:br/>
        <w:t>A.直接材料费</w:t>
        <w:br/>
        <w:t>B. 直接人工费</w:t>
        <w:br/>
        <w:t>C. 期间费用</w:t>
        <w:br/>
      </w:r>
      <w:r>
        <w:rPr>
          <w:rFonts w:eastAsia="等线" w:ascii="Arial" w:cs="Arial" w:hAnsi="Arial"/>
          <w:sz w:val="22"/>
        </w:rPr>
        <w:t>D. 制造费用</w:t>
      </w:r>
    </w:p>
    <w:p>
      <w:pPr>
        <w:numPr>
          <w:numId w:val="42"/>
        </w:numPr>
        <w:spacing w:before="120" w:after="120" w:line="288" w:lineRule="auto"/>
        <w:ind w:left="0"/>
        <w:jc w:val="left"/>
      </w:pPr>
      <w:r>
        <w:rPr>
          <w:rFonts w:eastAsia="等线" w:ascii="Arial" w:cs="Arial" w:hAnsi="Arial"/>
          <w:sz w:val="22"/>
        </w:rPr>
        <w:t>企业按月计提固定资产折旧时，应贷记（</w:t>
      </w:r>
      <w:r>
        <w:rPr>
          <w:rFonts w:eastAsia="等线" w:ascii="Arial" w:cs="Arial" w:hAnsi="Arial"/>
          <w:b w:val="true"/>
          <w:sz w:val="22"/>
        </w:rPr>
        <w:t>C</w:t>
      </w:r>
      <w:r>
        <w:rPr>
          <w:rFonts w:eastAsia="等线" w:ascii="Arial" w:cs="Arial" w:hAnsi="Arial"/>
          <w:sz w:val="22"/>
        </w:rPr>
        <w:t>）</w:t>
        <w:br/>
        <w:t>A.“固定资产”账户</w:t>
        <w:br/>
        <w:t>B.“制造费用”账户</w:t>
        <w:br/>
        <w:t>C.“累计折旧”账户</w:t>
        <w:br/>
      </w:r>
      <w:r>
        <w:rPr>
          <w:rFonts w:eastAsia="等线" w:ascii="Arial" w:cs="Arial" w:hAnsi="Arial"/>
          <w:sz w:val="22"/>
        </w:rPr>
        <w:t>D.“管理费用”账户</w:t>
      </w:r>
    </w:p>
    <w:p>
      <w:pPr>
        <w:numPr>
          <w:numId w:val="43"/>
        </w:numPr>
        <w:spacing w:before="120" w:after="120" w:line="288" w:lineRule="auto"/>
        <w:ind w:left="0"/>
        <w:jc w:val="left"/>
      </w:pPr>
      <w:r>
        <w:rPr>
          <w:rFonts w:eastAsia="等线" w:ascii="Arial" w:cs="Arial" w:hAnsi="Arial"/>
          <w:sz w:val="22"/>
        </w:rPr>
        <w:t>某企业“生产成本”账户的期初余额为80万元，本期为生产产品发生直接材料费用640万元，直接人工费用120万元、制造费用160万元、企业行政管理费用80万元，本期结转完工产品成本640万元，假定该企业只生产一种产品。则企业期末“生产成本”账户的余额为（</w:t>
      </w:r>
      <w:r>
        <w:rPr>
          <w:rFonts w:eastAsia="等线" w:ascii="Arial" w:cs="Arial" w:hAnsi="Arial"/>
          <w:b w:val="true"/>
          <w:sz w:val="22"/>
        </w:rPr>
        <w:t>C</w:t>
      </w:r>
      <w:r>
        <w:rPr>
          <w:rFonts w:eastAsia="等线" w:ascii="Arial" w:cs="Arial" w:hAnsi="Arial"/>
          <w:sz w:val="22"/>
        </w:rPr>
        <w:t>）</w:t>
        <w:br/>
        <w:t>A.200万元</w:t>
        <w:br/>
        <w:t>B.280万元</w:t>
        <w:br/>
        <w:t>C.360万元</w:t>
        <w:br/>
      </w:r>
      <w:r>
        <w:rPr>
          <w:rFonts w:eastAsia="等线" w:ascii="Arial" w:cs="Arial" w:hAnsi="Arial"/>
          <w:sz w:val="22"/>
        </w:rPr>
        <w:t>D.440万元</w:t>
      </w:r>
    </w:p>
    <w:p>
      <w:pPr>
        <w:numPr>
          <w:numId w:val="44"/>
        </w:numPr>
        <w:spacing w:before="120" w:after="120" w:line="288" w:lineRule="auto"/>
        <w:ind w:left="0"/>
        <w:jc w:val="left"/>
      </w:pPr>
      <w:r>
        <w:rPr>
          <w:rFonts w:eastAsia="等线" w:ascii="Arial" w:cs="Arial" w:hAnsi="Arial"/>
          <w:sz w:val="22"/>
        </w:rPr>
        <w:t>某企业只生产和销售A产品，2X21年8月1日在产品成本为17.5万元，8月份发生如下费用：产品领用材料30万元，产品生产工人工资10万元，负担的制造费用5万元，行政管理费用物料消耗7.5万元，专设销售机构固定资产折旧费4万元。月末在产品成本15万元。则该企业8月份完工A产品的生产成本为（</w:t>
      </w:r>
      <w:r>
        <w:rPr>
          <w:rFonts w:eastAsia="等线" w:ascii="Arial" w:cs="Arial" w:hAnsi="Arial"/>
          <w:b w:val="true"/>
          <w:sz w:val="22"/>
        </w:rPr>
        <w:t>B</w:t>
      </w:r>
      <w:r>
        <w:rPr>
          <w:rFonts w:eastAsia="等线" w:ascii="Arial" w:cs="Arial" w:hAnsi="Arial"/>
          <w:sz w:val="22"/>
        </w:rPr>
        <w:t>）</w:t>
        <w:br/>
        <w:t>A.45万元</w:t>
        <w:br/>
        <w:t>B.47.5万元</w:t>
        <w:br/>
        <w:t>C.41.5万元</w:t>
        <w:br/>
      </w:r>
      <w:r>
        <w:rPr>
          <w:rFonts w:eastAsia="等线" w:ascii="Arial" w:cs="Arial" w:hAnsi="Arial"/>
          <w:sz w:val="22"/>
        </w:rPr>
        <w:t>D.59万元</w:t>
      </w:r>
    </w:p>
    <w:p>
      <w:pPr>
        <w:numPr>
          <w:numId w:val="45"/>
        </w:numPr>
        <w:spacing w:before="120" w:after="120" w:line="288" w:lineRule="auto"/>
        <w:ind w:left="0"/>
        <w:jc w:val="left"/>
      </w:pPr>
      <w:r>
        <w:rPr>
          <w:rFonts w:eastAsia="等线" w:ascii="Arial" w:cs="Arial" w:hAnsi="Arial"/>
          <w:sz w:val="22"/>
        </w:rPr>
        <w:t>某企业本月生产A产品耗用生产工时240小时，生产B产品耗用生产工时360小时。本月发生车间制造费用管理人员工资6万元，产品生产人员工资60万元。该企业按生产工时分配制造费用，假设不考虑其他项目，则本月B产品应负担的制造费用为（</w:t>
      </w:r>
      <w:r>
        <w:rPr>
          <w:rFonts w:eastAsia="等线" w:ascii="Arial" w:cs="Arial" w:hAnsi="Arial"/>
          <w:b w:val="true"/>
          <w:sz w:val="22"/>
        </w:rPr>
        <w:t>C</w:t>
      </w:r>
      <w:r>
        <w:rPr>
          <w:rFonts w:eastAsia="等线" w:ascii="Arial" w:cs="Arial" w:hAnsi="Arial"/>
          <w:sz w:val="22"/>
        </w:rPr>
        <w:t>）</w:t>
        <w:br/>
        <w:t>A.2.4万元</w:t>
        <w:br/>
        <w:t>B.2.64万元</w:t>
        <w:br/>
        <w:t>C.3.6万元</w:t>
        <w:br/>
      </w:r>
      <w:r>
        <w:rPr>
          <w:rFonts w:eastAsia="等线" w:ascii="Arial" w:cs="Arial" w:hAnsi="Arial"/>
          <w:sz w:val="22"/>
        </w:rPr>
        <w:t>D.3.96万元</w:t>
      </w:r>
    </w:p>
    <w:p>
      <w:pPr>
        <w:numPr>
          <w:numId w:val="46"/>
        </w:numPr>
        <w:spacing w:before="120" w:after="120" w:line="288" w:lineRule="auto"/>
        <w:ind w:left="0"/>
        <w:jc w:val="left"/>
      </w:pPr>
      <w:r>
        <w:rPr>
          <w:rFonts w:eastAsia="等线" w:ascii="Arial" w:cs="Arial" w:hAnsi="Arial"/>
          <w:sz w:val="22"/>
        </w:rPr>
        <w:t>企业出租固定资产所取得的租金收入，属于（</w:t>
      </w:r>
      <w:r>
        <w:rPr>
          <w:rFonts w:eastAsia="等线" w:ascii="Arial" w:cs="Arial" w:hAnsi="Arial"/>
          <w:b w:val="true"/>
          <w:sz w:val="22"/>
        </w:rPr>
        <w:t>B</w:t>
      </w:r>
      <w:r>
        <w:rPr>
          <w:rFonts w:eastAsia="等线" w:ascii="Arial" w:cs="Arial" w:hAnsi="Arial"/>
          <w:sz w:val="22"/>
        </w:rPr>
        <w:t>）</w:t>
        <w:br/>
        <w:t>A.主营业务收入</w:t>
        <w:br/>
        <w:t>B.其他业务收入</w:t>
        <w:br/>
        <w:t>C.投资收益</w:t>
        <w:br/>
      </w:r>
      <w:r>
        <w:rPr>
          <w:rFonts w:eastAsia="等线" w:ascii="Arial" w:cs="Arial" w:hAnsi="Arial"/>
          <w:sz w:val="22"/>
        </w:rPr>
        <w:t>D.营业外收入</w:t>
      </w:r>
    </w:p>
    <w:p>
      <w:pPr>
        <w:numPr>
          <w:numId w:val="47"/>
        </w:numPr>
        <w:spacing w:before="120" w:after="120" w:line="288" w:lineRule="auto"/>
        <w:ind w:left="0"/>
        <w:jc w:val="left"/>
      </w:pPr>
      <w:r>
        <w:rPr>
          <w:rFonts w:eastAsia="等线" w:ascii="Arial" w:cs="Arial" w:hAnsi="Arial"/>
          <w:sz w:val="22"/>
        </w:rPr>
        <w:t>下列内容不属于企业营业外支出的是（</w:t>
      </w:r>
      <w:r>
        <w:rPr>
          <w:rFonts w:eastAsia="等线" w:ascii="Arial" w:cs="Arial" w:hAnsi="Arial"/>
          <w:b w:val="true"/>
          <w:sz w:val="22"/>
        </w:rPr>
        <w:t>B</w:t>
      </w:r>
      <w:r>
        <w:rPr>
          <w:rFonts w:eastAsia="等线" w:ascii="Arial" w:cs="Arial" w:hAnsi="Arial"/>
          <w:sz w:val="22"/>
        </w:rPr>
        <w:t>）</w:t>
        <w:br/>
        <w:t>A.非常损失</w:t>
        <w:br/>
        <w:t>B.坏账损失</w:t>
        <w:br/>
        <w:t>C.公益性捐赠支出</w:t>
        <w:br/>
      </w:r>
      <w:r>
        <w:rPr>
          <w:rFonts w:eastAsia="等线" w:ascii="Arial" w:cs="Arial" w:hAnsi="Arial"/>
          <w:sz w:val="22"/>
        </w:rPr>
        <w:t>D.固定资产盘亏损失</w:t>
      </w:r>
    </w:p>
    <w:p>
      <w:pPr>
        <w:numPr>
          <w:numId w:val="48"/>
        </w:numPr>
        <w:spacing w:before="120" w:after="120" w:line="288" w:lineRule="auto"/>
        <w:ind w:left="0"/>
        <w:jc w:val="left"/>
      </w:pPr>
      <w:r>
        <w:rPr>
          <w:rFonts w:eastAsia="等线" w:ascii="Arial" w:cs="Arial" w:hAnsi="Arial"/>
          <w:sz w:val="22"/>
        </w:rPr>
        <w:t>某企业为增值税一般纳税人，2X21年应交的各种税费分别为：增值税700万元，消费税300万元，城市维护建设费70万元，房产税20万元，车船税10万元，所得税500万元，上述各种税金应计入“税金及附加”账户的金额为（</w:t>
      </w:r>
      <w:r>
        <w:rPr>
          <w:rFonts w:eastAsia="等线" w:ascii="Arial" w:cs="Arial" w:hAnsi="Arial"/>
          <w:b w:val="true"/>
          <w:sz w:val="22"/>
        </w:rPr>
        <w:t>A</w:t>
      </w:r>
      <w:r>
        <w:rPr>
          <w:rFonts w:eastAsia="等线" w:ascii="Arial" w:cs="Arial" w:hAnsi="Arial"/>
          <w:sz w:val="22"/>
        </w:rPr>
        <w:t>）</w:t>
        <w:br/>
        <w:t>A.1 070万元</w:t>
        <w:br/>
        <w:t>B.400万元</w:t>
        <w:br/>
        <w:t>C.1 100万元</w:t>
        <w:br/>
      </w:r>
      <w:r>
        <w:rPr>
          <w:rFonts w:eastAsia="等线" w:ascii="Arial" w:cs="Arial" w:hAnsi="Arial"/>
          <w:sz w:val="22"/>
        </w:rPr>
        <w:t>D.370万元</w:t>
      </w:r>
    </w:p>
    <w:p>
      <w:pPr>
        <w:numPr>
          <w:numId w:val="49"/>
        </w:numPr>
        <w:spacing w:before="120" w:after="120" w:line="288" w:lineRule="auto"/>
        <w:ind w:left="0"/>
        <w:jc w:val="left"/>
      </w:pPr>
      <w:r>
        <w:rPr>
          <w:rFonts w:eastAsia="等线" w:ascii="Arial" w:cs="Arial" w:hAnsi="Arial"/>
          <w:sz w:val="22"/>
        </w:rPr>
        <w:t>对于一般纳税人企业，下列各项内容中，符合收入要素确认要求、应确认为企业其他业务收入的是（</w:t>
      </w:r>
      <w:r>
        <w:rPr>
          <w:rFonts w:eastAsia="等线" w:ascii="Arial" w:cs="Arial" w:hAnsi="Arial"/>
          <w:b w:val="true"/>
          <w:sz w:val="22"/>
        </w:rPr>
        <w:t>A</w:t>
      </w:r>
      <w:r>
        <w:rPr>
          <w:rFonts w:eastAsia="等线" w:ascii="Arial" w:cs="Arial" w:hAnsi="Arial"/>
          <w:sz w:val="22"/>
        </w:rPr>
        <w:t>）</w:t>
        <w:br/>
        <w:t>A.出售材料收入</w:t>
        <w:br/>
        <w:t>B.接受捐赠收入</w:t>
        <w:br/>
        <w:t>C.出售商品收入</w:t>
        <w:br/>
      </w:r>
      <w:r>
        <w:rPr>
          <w:rFonts w:eastAsia="等线" w:ascii="Arial" w:cs="Arial" w:hAnsi="Arial"/>
          <w:sz w:val="22"/>
        </w:rPr>
        <w:t>D.向购货方收取的增值税税额</w:t>
      </w:r>
    </w:p>
    <w:p>
      <w:pPr>
        <w:numPr>
          <w:numId w:val="50"/>
        </w:numPr>
        <w:spacing w:before="120" w:after="120" w:line="288" w:lineRule="auto"/>
        <w:ind w:left="0"/>
        <w:jc w:val="left"/>
      </w:pPr>
      <w:r>
        <w:rPr>
          <w:rFonts w:eastAsia="等线" w:ascii="Arial" w:cs="Arial" w:hAnsi="Arial"/>
          <w:sz w:val="22"/>
        </w:rPr>
        <w:t>一般纳税人企业本月销售一批产品，开出发票注明的含税价款为2 779 800元，增值税税率为13%，本企业代顾客垫付运杂费5 000元，则企业应确认的主营业务收入金额为（</w:t>
      </w:r>
      <w:r>
        <w:rPr>
          <w:rFonts w:eastAsia="等线" w:ascii="Arial" w:cs="Arial" w:hAnsi="Arial"/>
          <w:b w:val="true"/>
          <w:sz w:val="22"/>
        </w:rPr>
        <w:t>B</w:t>
      </w:r>
      <w:r>
        <w:rPr>
          <w:rFonts w:eastAsia="等线" w:ascii="Arial" w:cs="Arial" w:hAnsi="Arial"/>
          <w:sz w:val="22"/>
        </w:rPr>
        <w:t>）</w:t>
        <w:br/>
        <w:t>A.2 779 800元</w:t>
        <w:br/>
        <w:t>B.2 465 000元</w:t>
        <w:br/>
        <w:t>C.2 460 000元</w:t>
        <w:br/>
      </w:r>
      <w:r>
        <w:rPr>
          <w:rFonts w:eastAsia="等线" w:ascii="Arial" w:cs="Arial" w:hAnsi="Arial"/>
          <w:sz w:val="22"/>
        </w:rPr>
        <w:t>D.2 784 800元</w:t>
      </w:r>
    </w:p>
    <w:p>
      <w:pPr>
        <w:numPr>
          <w:numId w:val="51"/>
        </w:numPr>
        <w:spacing w:before="120" w:after="120" w:line="288" w:lineRule="auto"/>
        <w:ind w:left="0"/>
        <w:jc w:val="left"/>
      </w:pPr>
      <w:r>
        <w:rPr>
          <w:rFonts w:eastAsia="等线" w:ascii="Arial" w:cs="Arial" w:hAnsi="Arial"/>
          <w:sz w:val="22"/>
        </w:rPr>
        <w:t>某企业2X21年主营业务收入为2 000万元，主营业务成本为1 200万元，税金及附加为100万元，其他业务收入为500万元，其他业务成本为300万元，期间费用为150万元，投资收益为250万元，营业外收入为180万元，营业外支出为230万元，所得税费用为300万元。则该企业的营业利润为（</w:t>
      </w:r>
      <w:r>
        <w:rPr>
          <w:rFonts w:eastAsia="等线" w:ascii="Arial" w:cs="Arial" w:hAnsi="Arial"/>
          <w:b w:val="true"/>
          <w:sz w:val="22"/>
        </w:rPr>
        <w:t>D</w:t>
      </w:r>
      <w:r>
        <w:rPr>
          <w:rFonts w:eastAsia="等线" w:ascii="Arial" w:cs="Arial" w:hAnsi="Arial"/>
          <w:sz w:val="22"/>
        </w:rPr>
        <w:t>）</w:t>
        <w:br/>
        <w:t>A.650万元</w:t>
        <w:br/>
        <w:t>B.1 200万元</w:t>
        <w:br/>
        <w:t>C.1 000万元</w:t>
        <w:br/>
      </w:r>
      <w:r>
        <w:rPr>
          <w:rFonts w:eastAsia="等线" w:ascii="Arial" w:cs="Arial" w:hAnsi="Arial"/>
          <w:sz w:val="22"/>
        </w:rPr>
        <w:t>D.950万元</w:t>
      </w:r>
    </w:p>
    <w:p>
      <w:pPr>
        <w:numPr>
          <w:numId w:val="52"/>
        </w:numPr>
        <w:spacing w:before="120" w:after="120" w:line="288" w:lineRule="auto"/>
        <w:ind w:left="0"/>
        <w:jc w:val="left"/>
      </w:pPr>
      <w:r>
        <w:rPr>
          <w:rFonts w:eastAsia="等线" w:ascii="Arial" w:cs="Arial" w:hAnsi="Arial"/>
          <w:sz w:val="22"/>
        </w:rPr>
        <w:t>为筹集生产经营所需资金而发生的费用称为（</w:t>
      </w:r>
      <w:r>
        <w:rPr>
          <w:rFonts w:eastAsia="等线" w:ascii="Arial" w:cs="Arial" w:hAnsi="Arial"/>
          <w:b w:val="true"/>
          <w:sz w:val="22"/>
        </w:rPr>
        <w:t>D</w:t>
      </w:r>
      <w:r>
        <w:rPr>
          <w:rFonts w:eastAsia="等线" w:ascii="Arial" w:cs="Arial" w:hAnsi="Arial"/>
          <w:sz w:val="22"/>
        </w:rPr>
        <w:t>）</w:t>
        <w:br/>
        <w:t>A.借入资本</w:t>
        <w:br/>
        <w:t>B.投入资本</w:t>
        <w:br/>
        <w:t>C.管理费用</w:t>
        <w:br/>
      </w:r>
      <w:r>
        <w:rPr>
          <w:rFonts w:eastAsia="等线" w:ascii="Arial" w:cs="Arial" w:hAnsi="Arial"/>
          <w:sz w:val="22"/>
        </w:rPr>
        <w:t>D.财务费用</w:t>
      </w:r>
    </w:p>
    <w:p>
      <w:pPr>
        <w:numPr>
          <w:numId w:val="53"/>
        </w:numPr>
        <w:spacing w:before="120" w:after="120" w:line="288" w:lineRule="auto"/>
        <w:ind w:left="0"/>
        <w:jc w:val="left"/>
      </w:pPr>
      <w:r>
        <w:rPr>
          <w:rFonts w:eastAsia="等线" w:ascii="Arial" w:cs="Arial" w:hAnsi="Arial"/>
          <w:sz w:val="22"/>
        </w:rPr>
        <w:t>某企业年初未分配利润为 200 万元，本年实现净利润 200 万元。按 10%提取法定盈余公积，按 5%提取任意盈余公积，宣告发放现金股利 160 万元。则该企业年末未分配利润为（</w:t>
      </w:r>
      <w:r>
        <w:rPr>
          <w:rFonts w:eastAsia="等线" w:ascii="Arial" w:cs="Arial" w:hAnsi="Arial"/>
          <w:b w:val="true"/>
          <w:sz w:val="22"/>
        </w:rPr>
        <w:t>A</w:t>
      </w:r>
      <w:r>
        <w:rPr>
          <w:rFonts w:eastAsia="等线" w:ascii="Arial" w:cs="Arial" w:hAnsi="Arial"/>
          <w:sz w:val="22"/>
        </w:rPr>
        <w:t>）。</w:t>
        <w:br/>
        <w:t>A.210 万元</w:t>
        <w:br/>
        <w:t>B.200 万元</w:t>
        <w:br/>
        <w:t>C.180 万元</w:t>
        <w:br/>
      </w:r>
      <w:r>
        <w:rPr>
          <w:rFonts w:eastAsia="等线" w:ascii="Arial" w:cs="Arial" w:hAnsi="Arial"/>
          <w:sz w:val="22"/>
        </w:rPr>
        <w:t>D.170 万元</w:t>
      </w:r>
    </w:p>
    <w:p>
      <w:pPr>
        <w:numPr>
          <w:numId w:val="54"/>
        </w:numPr>
        <w:spacing w:before="120" w:after="120" w:line="288" w:lineRule="auto"/>
        <w:ind w:left="0"/>
        <w:jc w:val="left"/>
      </w:pPr>
      <w:r>
        <w:rPr>
          <w:rFonts w:eastAsia="等线" w:ascii="Arial" w:cs="Arial" w:hAnsi="Arial"/>
          <w:sz w:val="22"/>
        </w:rPr>
        <w:t>增值税一般纳税人企业发生的下列税费中，不应通过“税金及附加”账户核算的是（</w:t>
      </w:r>
      <w:r>
        <w:rPr>
          <w:rFonts w:eastAsia="等线" w:ascii="Arial" w:cs="Arial" w:hAnsi="Arial"/>
          <w:b w:val="true"/>
          <w:sz w:val="22"/>
        </w:rPr>
        <w:t>A</w:t>
      </w:r>
      <w:r>
        <w:rPr>
          <w:rFonts w:eastAsia="等线" w:ascii="Arial" w:cs="Arial" w:hAnsi="Arial"/>
          <w:sz w:val="22"/>
        </w:rPr>
        <w:t>）</w:t>
        <w:br/>
        <w:t>A.增值税</w:t>
        <w:br/>
        <w:t>B.印花税</w:t>
        <w:br/>
        <w:t>C.房产税</w:t>
        <w:br/>
      </w:r>
      <w:r>
        <w:rPr>
          <w:rFonts w:eastAsia="等线" w:ascii="Arial" w:cs="Arial" w:hAnsi="Arial"/>
          <w:sz w:val="22"/>
        </w:rPr>
        <w:t>D.城市维护建设费</w:t>
      </w:r>
    </w:p>
    <w:p>
      <w:pPr>
        <w:numPr>
          <w:numId w:val="55"/>
        </w:numPr>
        <w:spacing w:before="120" w:after="120" w:line="288" w:lineRule="auto"/>
        <w:ind w:left="0"/>
        <w:jc w:val="left"/>
      </w:pPr>
      <w:r>
        <w:rPr>
          <w:rFonts w:eastAsia="等线" w:ascii="Arial" w:cs="Arial" w:hAnsi="Arial"/>
          <w:sz w:val="22"/>
        </w:rPr>
        <w:t>原始凭证按填制手续和内容不同可以分为（</w:t>
      </w:r>
      <w:r>
        <w:rPr>
          <w:rFonts w:eastAsia="等线" w:ascii="Arial" w:cs="Arial" w:hAnsi="Arial"/>
          <w:b w:val="true"/>
          <w:sz w:val="22"/>
        </w:rPr>
        <w:t>D</w:t>
      </w:r>
      <w:r>
        <w:rPr>
          <w:rFonts w:eastAsia="等线" w:ascii="Arial" w:cs="Arial" w:hAnsi="Arial"/>
          <w:sz w:val="22"/>
        </w:rPr>
        <w:t>）</w:t>
        <w:br/>
        <w:t>A.自制原始凭证和外来原始凭证</w:t>
        <w:br/>
        <w:t>B.一次凭证和汇总凭证</w:t>
        <w:br/>
        <w:t>C.单式凭证和复式凭证</w:t>
        <w:br/>
      </w:r>
      <w:r>
        <w:rPr>
          <w:rFonts w:eastAsia="等线" w:ascii="Arial" w:cs="Arial" w:hAnsi="Arial"/>
          <w:sz w:val="22"/>
        </w:rPr>
        <w:t>D.一次凭证、累计凭证和汇总凭证</w:t>
      </w:r>
    </w:p>
    <w:p>
      <w:pPr>
        <w:numPr>
          <w:numId w:val="56"/>
        </w:numPr>
        <w:spacing w:before="120" w:after="120" w:line="288" w:lineRule="auto"/>
        <w:ind w:left="0"/>
        <w:jc w:val="left"/>
      </w:pPr>
      <w:r>
        <w:rPr>
          <w:rFonts w:eastAsia="等线" w:ascii="Arial" w:cs="Arial" w:hAnsi="Arial"/>
          <w:sz w:val="22"/>
        </w:rPr>
        <w:t>领料汇总表属于会计凭证中的（</w:t>
      </w:r>
      <w:r>
        <w:rPr>
          <w:rFonts w:eastAsia="等线" w:ascii="Arial" w:cs="Arial" w:hAnsi="Arial"/>
          <w:b w:val="true"/>
          <w:sz w:val="22"/>
        </w:rPr>
        <w:t>C</w:t>
      </w:r>
      <w:r>
        <w:rPr>
          <w:rFonts w:eastAsia="等线" w:ascii="Arial" w:cs="Arial" w:hAnsi="Arial"/>
          <w:sz w:val="22"/>
        </w:rPr>
        <w:t>）</w:t>
        <w:br/>
        <w:t>A.一次凭证</w:t>
        <w:br/>
        <w:t>B.累计凭证</w:t>
        <w:br/>
        <w:t>C.汇总原始凭证</w:t>
        <w:br/>
      </w:r>
      <w:r>
        <w:rPr>
          <w:rFonts w:eastAsia="等线" w:ascii="Arial" w:cs="Arial" w:hAnsi="Arial"/>
          <w:sz w:val="22"/>
        </w:rPr>
        <w:t>D.单式凭证</w:t>
      </w:r>
    </w:p>
    <w:p>
      <w:pPr>
        <w:numPr>
          <w:numId w:val="57"/>
        </w:numPr>
        <w:spacing w:before="120" w:after="120" w:line="288" w:lineRule="auto"/>
        <w:ind w:left="0"/>
        <w:jc w:val="left"/>
      </w:pPr>
      <w:r>
        <w:rPr>
          <w:rFonts w:eastAsia="等线" w:ascii="Arial" w:cs="Arial" w:hAnsi="Arial"/>
          <w:sz w:val="22"/>
        </w:rPr>
        <w:t>下列属于外来原始凭证的是（</w:t>
      </w:r>
      <w:r>
        <w:rPr>
          <w:rFonts w:eastAsia="等线" w:ascii="Arial" w:cs="Arial" w:hAnsi="Arial"/>
          <w:b w:val="true"/>
          <w:sz w:val="22"/>
        </w:rPr>
        <w:t>B</w:t>
      </w:r>
      <w:r>
        <w:rPr>
          <w:rFonts w:eastAsia="等线" w:ascii="Arial" w:cs="Arial" w:hAnsi="Arial"/>
          <w:sz w:val="22"/>
        </w:rPr>
        <w:t>）</w:t>
        <w:br/>
        <w:t>A.入库单</w:t>
        <w:br/>
        <w:t>B.增值税专用发票（购货方取得）</w:t>
        <w:br/>
        <w:t>C.发料汇总表</w:t>
        <w:br/>
      </w:r>
      <w:r>
        <w:rPr>
          <w:rFonts w:eastAsia="等线" w:ascii="Arial" w:cs="Arial" w:hAnsi="Arial"/>
          <w:sz w:val="22"/>
        </w:rPr>
        <w:t>D.出库单</w:t>
      </w:r>
    </w:p>
    <w:p>
      <w:pPr>
        <w:numPr>
          <w:numId w:val="58"/>
        </w:numPr>
        <w:spacing w:before="120" w:after="120" w:line="288" w:lineRule="auto"/>
        <w:ind w:left="0"/>
        <w:jc w:val="left"/>
      </w:pPr>
      <w:r>
        <w:rPr>
          <w:rFonts w:eastAsia="等线" w:ascii="Arial" w:cs="Arial" w:hAnsi="Arial"/>
          <w:sz w:val="22"/>
        </w:rPr>
        <w:t>原始凭证的基本内容中不包括（</w:t>
      </w:r>
      <w:r>
        <w:rPr>
          <w:rFonts w:eastAsia="等线" w:ascii="Arial" w:cs="Arial" w:hAnsi="Arial"/>
          <w:b w:val="true"/>
          <w:sz w:val="22"/>
        </w:rPr>
        <w:t>A</w:t>
      </w:r>
      <w:r>
        <w:rPr>
          <w:rFonts w:eastAsia="等线" w:ascii="Arial" w:cs="Arial" w:hAnsi="Arial"/>
          <w:sz w:val="22"/>
        </w:rPr>
        <w:t>）</w:t>
        <w:br/>
        <w:t>A.会计科目</w:t>
        <w:br/>
        <w:t>B.内容摘要</w:t>
        <w:br/>
        <w:t>C.日期及编号</w:t>
        <w:br/>
      </w:r>
      <w:r>
        <w:rPr>
          <w:rFonts w:eastAsia="等线" w:ascii="Arial" w:cs="Arial" w:hAnsi="Arial"/>
          <w:sz w:val="22"/>
        </w:rPr>
        <w:t>D.实物数量及金额</w:t>
      </w:r>
    </w:p>
    <w:p>
      <w:pPr>
        <w:numPr>
          <w:numId w:val="59"/>
        </w:numPr>
        <w:spacing w:before="120" w:after="120" w:line="288" w:lineRule="auto"/>
        <w:ind w:left="0"/>
        <w:jc w:val="left"/>
      </w:pPr>
      <w:r>
        <w:rPr>
          <w:rFonts w:eastAsia="等线" w:ascii="Arial" w:cs="Arial" w:hAnsi="Arial"/>
          <w:sz w:val="22"/>
        </w:rPr>
        <w:t>将会计凭证划分为原始凭证和记账凭证的依据是（</w:t>
      </w:r>
      <w:r>
        <w:rPr>
          <w:rFonts w:eastAsia="等线" w:ascii="Arial" w:cs="Arial" w:hAnsi="Arial"/>
          <w:b w:val="true"/>
          <w:sz w:val="22"/>
        </w:rPr>
        <w:t>C</w:t>
      </w:r>
      <w:r>
        <w:rPr>
          <w:rFonts w:eastAsia="等线" w:ascii="Arial" w:cs="Arial" w:hAnsi="Arial"/>
          <w:sz w:val="22"/>
        </w:rPr>
        <w:t>）</w:t>
        <w:br/>
        <w:t>A.填制时间</w:t>
        <w:br/>
        <w:t>B.取得来源</w:t>
        <w:br/>
        <w:t>C.填制的程序和用途</w:t>
        <w:br/>
      </w:r>
      <w:r>
        <w:rPr>
          <w:rFonts w:eastAsia="等线" w:ascii="Arial" w:cs="Arial" w:hAnsi="Arial"/>
          <w:sz w:val="22"/>
        </w:rPr>
        <w:t>D.反映的经济内容</w:t>
      </w:r>
    </w:p>
    <w:p>
      <w:pPr>
        <w:numPr>
          <w:numId w:val="60"/>
        </w:numPr>
        <w:spacing w:before="120" w:after="120" w:line="288" w:lineRule="auto"/>
        <w:ind w:left="0"/>
        <w:jc w:val="left"/>
      </w:pPr>
      <w:r>
        <w:rPr>
          <w:rFonts w:eastAsia="等线" w:ascii="Arial" w:cs="Arial" w:hAnsi="Arial"/>
          <w:sz w:val="22"/>
        </w:rPr>
        <w:t>根据一定期间的全部记账凭证汇总填制的凭证是（</w:t>
      </w:r>
      <w:r>
        <w:rPr>
          <w:rFonts w:eastAsia="等线" w:ascii="Arial" w:cs="Arial" w:hAnsi="Arial"/>
          <w:b w:val="true"/>
          <w:sz w:val="22"/>
        </w:rPr>
        <w:t>A</w:t>
      </w:r>
      <w:r>
        <w:rPr>
          <w:rFonts w:eastAsia="等线" w:ascii="Arial" w:cs="Arial" w:hAnsi="Arial"/>
          <w:sz w:val="22"/>
        </w:rPr>
        <w:t>）</w:t>
        <w:br/>
        <w:t>A.科目汇总表</w:t>
        <w:br/>
        <w:t>B.汇总原始凭证</w:t>
        <w:br/>
        <w:t>C.复式凭证</w:t>
        <w:br/>
      </w:r>
      <w:r>
        <w:rPr>
          <w:rFonts w:eastAsia="等线" w:ascii="Arial" w:cs="Arial" w:hAnsi="Arial"/>
          <w:sz w:val="22"/>
        </w:rPr>
        <w:t>D.累计凭证</w:t>
      </w:r>
    </w:p>
    <w:p>
      <w:pPr>
        <w:numPr>
          <w:numId w:val="61"/>
        </w:numPr>
        <w:spacing w:before="120" w:after="120" w:line="288" w:lineRule="auto"/>
        <w:ind w:left="0"/>
        <w:jc w:val="left"/>
      </w:pPr>
      <w:r>
        <w:rPr>
          <w:rFonts w:eastAsia="等线" w:ascii="Arial" w:cs="Arial" w:hAnsi="Arial"/>
          <w:sz w:val="22"/>
        </w:rPr>
        <w:t>填制原始凭证时应做到大小写数字符合规范，填写正确。如大写金额“壹仟零壹元五角整”，其小写应为（</w:t>
      </w:r>
      <w:r>
        <w:rPr>
          <w:rFonts w:eastAsia="等线" w:ascii="Arial" w:cs="Arial" w:hAnsi="Arial"/>
          <w:b w:val="true"/>
          <w:sz w:val="22"/>
        </w:rPr>
        <w:t>B</w:t>
      </w:r>
      <w:r>
        <w:rPr>
          <w:rFonts w:eastAsia="等线" w:ascii="Arial" w:cs="Arial" w:hAnsi="Arial"/>
          <w:sz w:val="22"/>
        </w:rPr>
        <w:t>）</w:t>
        <w:br/>
        <w:t>A.¥1001.5</w:t>
        <w:br/>
        <w:t>B.¥1001.50</w:t>
        <w:br/>
        <w:t>C.1001.50元</w:t>
        <w:br/>
      </w:r>
      <w:r>
        <w:rPr>
          <w:rFonts w:eastAsia="等线" w:ascii="Arial" w:cs="Arial" w:hAnsi="Arial"/>
          <w:sz w:val="22"/>
        </w:rPr>
        <w:t>D.¥1001.50元</w:t>
      </w:r>
    </w:p>
    <w:p>
      <w:pPr>
        <w:numPr>
          <w:numId w:val="62"/>
        </w:numPr>
        <w:spacing w:before="120" w:after="120" w:line="288" w:lineRule="auto"/>
        <w:ind w:left="0"/>
        <w:jc w:val="left"/>
      </w:pPr>
      <w:r>
        <w:rPr>
          <w:rFonts w:eastAsia="等线" w:ascii="Arial" w:cs="Arial" w:hAnsi="Arial"/>
          <w:sz w:val="22"/>
        </w:rPr>
        <w:t>下列选项中适用于总分类账的外表形式的是（</w:t>
      </w:r>
      <w:r>
        <w:rPr>
          <w:rFonts w:eastAsia="等线" w:ascii="Arial" w:cs="Arial" w:hAnsi="Arial"/>
          <w:b w:val="true"/>
          <w:sz w:val="22"/>
        </w:rPr>
        <w:t>B</w:t>
      </w:r>
      <w:r>
        <w:rPr>
          <w:rFonts w:eastAsia="等线" w:ascii="Arial" w:cs="Arial" w:hAnsi="Arial"/>
          <w:sz w:val="22"/>
        </w:rPr>
        <w:t>）</w:t>
        <w:br/>
        <w:t>A.多栏式</w:t>
        <w:br/>
        <w:t>B.订本式</w:t>
        <w:br/>
        <w:t>C.活页式</w:t>
        <w:br/>
      </w:r>
      <w:r>
        <w:rPr>
          <w:rFonts w:eastAsia="等线" w:ascii="Arial" w:cs="Arial" w:hAnsi="Arial"/>
          <w:sz w:val="22"/>
        </w:rPr>
        <w:t>D.数量金额式</w:t>
      </w:r>
    </w:p>
    <w:p>
      <w:pPr>
        <w:numPr>
          <w:numId w:val="63"/>
        </w:numPr>
        <w:spacing w:before="120" w:after="120" w:line="288" w:lineRule="auto"/>
        <w:ind w:left="0"/>
        <w:jc w:val="left"/>
      </w:pPr>
      <w:r>
        <w:rPr>
          <w:rFonts w:eastAsia="等线" w:ascii="Arial" w:cs="Arial" w:hAnsi="Arial"/>
          <w:sz w:val="22"/>
        </w:rPr>
        <w:t>将账簿划分为序时账、分类账、备查账的依据是（</w:t>
      </w:r>
      <w:r>
        <w:rPr>
          <w:rFonts w:eastAsia="等线" w:ascii="Arial" w:cs="Arial" w:hAnsi="Arial"/>
          <w:b w:val="true"/>
          <w:sz w:val="22"/>
        </w:rPr>
        <w:t>B</w:t>
      </w:r>
      <w:r>
        <w:rPr>
          <w:rFonts w:eastAsia="等线" w:ascii="Arial" w:cs="Arial" w:hAnsi="Arial"/>
          <w:sz w:val="22"/>
        </w:rPr>
        <w:t>）</w:t>
        <w:br/>
        <w:t>A.账簿的登记方式</w:t>
        <w:br/>
        <w:t>B.账簿的用途</w:t>
        <w:br/>
        <w:t>C.账簿登记的内容</w:t>
        <w:br/>
      </w:r>
      <w:r>
        <w:rPr>
          <w:rFonts w:eastAsia="等线" w:ascii="Arial" w:cs="Arial" w:hAnsi="Arial"/>
          <w:sz w:val="22"/>
        </w:rPr>
        <w:t>D.账簿的外表形式</w:t>
      </w:r>
    </w:p>
    <w:p>
      <w:pPr>
        <w:numPr>
          <w:numId w:val="64"/>
        </w:numPr>
        <w:spacing w:before="120" w:after="120" w:line="288" w:lineRule="auto"/>
        <w:ind w:left="0"/>
        <w:jc w:val="left"/>
      </w:pPr>
      <w:r>
        <w:rPr>
          <w:rFonts w:eastAsia="等线" w:ascii="Arial" w:cs="Arial" w:hAnsi="Arial"/>
          <w:sz w:val="22"/>
        </w:rPr>
        <w:t>下列说法中正确的是（</w:t>
      </w:r>
      <w:r>
        <w:rPr>
          <w:rFonts w:eastAsia="等线" w:ascii="Arial" w:cs="Arial" w:hAnsi="Arial"/>
          <w:b w:val="true"/>
          <w:sz w:val="22"/>
        </w:rPr>
        <w:t>A</w:t>
      </w:r>
      <w:r>
        <w:rPr>
          <w:rFonts w:eastAsia="等线" w:ascii="Arial" w:cs="Arial" w:hAnsi="Arial"/>
          <w:sz w:val="22"/>
        </w:rPr>
        <w:t>）</w:t>
        <w:br/>
        <w:t>A. 现金日记账必须采用订本式账簿</w:t>
        <w:br/>
        <w:t>B.卡片式账簿的优点是能够避免账页散失，防止不合法的抽换账页。</w:t>
        <w:br/>
        <w:t>C.订本式账簿的优点是方便灵活，可根据需要增添账页；便于分工记账；便于计算机记账。</w:t>
        <w:br/>
      </w:r>
      <w:r>
        <w:rPr>
          <w:rFonts w:eastAsia="等线" w:ascii="Arial" w:cs="Arial" w:hAnsi="Arial"/>
          <w:sz w:val="22"/>
        </w:rPr>
        <w:t>D.活页式账簿是指在记完账后，把记过账的账页装订成册的账簿。</w:t>
      </w:r>
    </w:p>
    <w:p>
      <w:pPr>
        <w:numPr>
          <w:numId w:val="65"/>
        </w:numPr>
        <w:spacing w:before="120" w:after="120" w:line="288" w:lineRule="auto"/>
        <w:ind w:left="0"/>
        <w:jc w:val="left"/>
      </w:pPr>
      <w:r>
        <w:rPr>
          <w:rFonts w:eastAsia="等线" w:ascii="Arial" w:cs="Arial" w:hAnsi="Arial"/>
          <w:sz w:val="22"/>
        </w:rPr>
        <w:t>记账后如果发现记账错误是由于记账凭证所列示的会计科目和金额错误引起的，可采用的更正错账的方法是（</w:t>
      </w:r>
      <w:r>
        <w:rPr>
          <w:rFonts w:eastAsia="等线" w:ascii="Arial" w:cs="Arial" w:hAnsi="Arial"/>
          <w:b w:val="true"/>
          <w:sz w:val="22"/>
        </w:rPr>
        <w:t>B</w:t>
      </w:r>
      <w:r>
        <w:rPr>
          <w:rFonts w:eastAsia="等线" w:ascii="Arial" w:cs="Arial" w:hAnsi="Arial"/>
          <w:sz w:val="22"/>
        </w:rPr>
        <w:t>）</w:t>
        <w:br/>
        <w:t>A.划线更正法</w:t>
        <w:br/>
        <w:t>B.红字更正法</w:t>
        <w:br/>
        <w:t>C.补充登记法</w:t>
        <w:br/>
      </w:r>
      <w:r>
        <w:rPr>
          <w:rFonts w:eastAsia="等线" w:ascii="Arial" w:cs="Arial" w:hAnsi="Arial"/>
          <w:sz w:val="22"/>
        </w:rPr>
        <w:t>D.AB均可</w:t>
      </w:r>
    </w:p>
    <w:p>
      <w:pPr>
        <w:numPr>
          <w:numId w:val="66"/>
        </w:numPr>
        <w:spacing w:before="120" w:after="120" w:line="288" w:lineRule="auto"/>
        <w:ind w:left="0"/>
        <w:jc w:val="left"/>
      </w:pPr>
      <w:r>
        <w:rPr>
          <w:rFonts w:eastAsia="等线" w:ascii="Arial" w:cs="Arial" w:hAnsi="Arial"/>
          <w:sz w:val="22"/>
        </w:rPr>
        <w:t>对财产物资的收发都有严密的手续，且在账簿中有连续的记载便于确定结存的制度是（</w:t>
      </w:r>
      <w:r>
        <w:rPr>
          <w:rFonts w:eastAsia="等线" w:ascii="Arial" w:cs="Arial" w:hAnsi="Arial"/>
          <w:b w:val="true"/>
          <w:sz w:val="22"/>
        </w:rPr>
        <w:t>A</w:t>
      </w:r>
      <w:r>
        <w:rPr>
          <w:rFonts w:eastAsia="等线" w:ascii="Arial" w:cs="Arial" w:hAnsi="Arial"/>
          <w:sz w:val="22"/>
        </w:rPr>
        <w:t>）</w:t>
        <w:br/>
        <w:t>A. 永续盘存制</w:t>
        <w:br/>
        <w:t>B.实地盘存制</w:t>
        <w:br/>
        <w:t>C.权责发生制</w:t>
        <w:br/>
      </w:r>
      <w:r>
        <w:rPr>
          <w:rFonts w:eastAsia="等线" w:ascii="Arial" w:cs="Arial" w:hAnsi="Arial"/>
          <w:sz w:val="22"/>
        </w:rPr>
        <w:t>D.收付实现制</w:t>
      </w:r>
    </w:p>
    <w:p>
      <w:pPr>
        <w:numPr>
          <w:numId w:val="67"/>
        </w:numPr>
        <w:spacing w:before="120" w:after="120" w:line="288" w:lineRule="auto"/>
        <w:ind w:left="0"/>
        <w:jc w:val="left"/>
      </w:pPr>
      <w:r>
        <w:rPr>
          <w:rFonts w:eastAsia="等线" w:ascii="Arial" w:cs="Arial" w:hAnsi="Arial"/>
          <w:sz w:val="22"/>
        </w:rPr>
        <w:t>在记账无误的情况下，导致银行对账单和银行存款日记账不一致的原因是（</w:t>
      </w:r>
      <w:r>
        <w:rPr>
          <w:rFonts w:eastAsia="等线" w:ascii="Arial" w:cs="Arial" w:hAnsi="Arial"/>
          <w:b w:val="true"/>
          <w:sz w:val="22"/>
        </w:rPr>
        <w:t>C</w:t>
      </w:r>
      <w:r>
        <w:rPr>
          <w:rFonts w:eastAsia="等线" w:ascii="Arial" w:cs="Arial" w:hAnsi="Arial"/>
          <w:sz w:val="22"/>
        </w:rPr>
        <w:t>）</w:t>
        <w:br/>
        <w:t>A. 应付账款</w:t>
        <w:br/>
        <w:t>B.应收账款</w:t>
        <w:br/>
        <w:t>C.未达账项</w:t>
        <w:br/>
      </w:r>
      <w:r>
        <w:rPr>
          <w:rFonts w:eastAsia="等线" w:ascii="Arial" w:cs="Arial" w:hAnsi="Arial"/>
          <w:sz w:val="22"/>
        </w:rPr>
        <w:t>D.外埠存款</w:t>
      </w:r>
    </w:p>
    <w:p>
      <w:pPr>
        <w:numPr>
          <w:numId w:val="68"/>
        </w:numPr>
        <w:spacing w:before="120" w:after="120" w:line="288" w:lineRule="auto"/>
        <w:ind w:left="0"/>
        <w:jc w:val="left"/>
      </w:pPr>
      <w:r>
        <w:rPr>
          <w:rFonts w:eastAsia="等线" w:ascii="Arial" w:cs="Arial" w:hAnsi="Arial"/>
          <w:sz w:val="22"/>
        </w:rPr>
        <w:t>下列关于永续盘存制和实地盘存制的表述中，正确的是（</w:t>
      </w:r>
      <w:r>
        <w:rPr>
          <w:rFonts w:eastAsia="等线" w:ascii="Arial" w:cs="Arial" w:hAnsi="Arial"/>
          <w:b w:val="true"/>
          <w:sz w:val="22"/>
        </w:rPr>
        <w:t>B</w:t>
      </w:r>
      <w:r>
        <w:rPr>
          <w:rFonts w:eastAsia="等线" w:ascii="Arial" w:cs="Arial" w:hAnsi="Arial"/>
          <w:sz w:val="22"/>
        </w:rPr>
        <w:t>）。</w:t>
        <w:br/>
        <w:t>A.永续盘存制下，期末不需要对存货进行实地盘点</w:t>
        <w:br/>
        <w:t>B.实地盘存制下，平时不登记存货的增加数量，期末通过盘点倒挤出减少数量</w:t>
        <w:br/>
        <w:t>C.永续盘存制下，可以随时反映存货的减少情况，但无法及时发现存货的盘盈盘亏</w:t>
        <w:br/>
      </w:r>
      <w:r>
        <w:rPr>
          <w:rFonts w:eastAsia="等线" w:ascii="Arial" w:cs="Arial" w:hAnsi="Arial"/>
          <w:sz w:val="22"/>
        </w:rPr>
        <w:t>D.实地盘存制下，通过账面记录可以直接计算出当期发出存货的成本，无需盘点</w:t>
      </w:r>
    </w:p>
    <w:p>
      <w:pPr>
        <w:numPr>
          <w:numId w:val="69"/>
        </w:numPr>
        <w:spacing w:before="120" w:after="120" w:line="288" w:lineRule="auto"/>
        <w:ind w:left="0"/>
        <w:jc w:val="left"/>
      </w:pPr>
      <w:r>
        <w:rPr>
          <w:rFonts w:eastAsia="等线" w:ascii="Arial" w:cs="Arial" w:hAnsi="Arial"/>
          <w:sz w:val="22"/>
        </w:rPr>
        <w:t>现金清查的方法是（</w:t>
      </w:r>
      <w:r>
        <w:rPr>
          <w:rFonts w:eastAsia="等线" w:ascii="Arial" w:cs="Arial" w:hAnsi="Arial"/>
          <w:b w:val="true"/>
          <w:sz w:val="22"/>
        </w:rPr>
        <w:t>B</w:t>
      </w:r>
      <w:r>
        <w:rPr>
          <w:rFonts w:eastAsia="等线" w:ascii="Arial" w:cs="Arial" w:hAnsi="Arial"/>
          <w:sz w:val="22"/>
        </w:rPr>
        <w:t>）</w:t>
        <w:br/>
        <w:t>A. 技术推算法</w:t>
        <w:br/>
        <w:t>B.实地盘点法</w:t>
        <w:br/>
        <w:t>C.外调核对法</w:t>
        <w:br/>
      </w:r>
      <w:r>
        <w:rPr>
          <w:rFonts w:eastAsia="等线" w:ascii="Arial" w:cs="Arial" w:hAnsi="Arial"/>
          <w:sz w:val="22"/>
        </w:rPr>
        <w:t>D.与银行对账单相核对</w:t>
      </w:r>
    </w:p>
    <w:p>
      <w:pPr>
        <w:numPr>
          <w:numId w:val="70"/>
        </w:numPr>
        <w:spacing w:before="120" w:after="120" w:line="288" w:lineRule="auto"/>
        <w:ind w:left="0"/>
        <w:jc w:val="left"/>
      </w:pPr>
      <w:r>
        <w:rPr>
          <w:rFonts w:eastAsia="等线" w:ascii="Arial" w:cs="Arial" w:hAnsi="Arial"/>
          <w:sz w:val="22"/>
        </w:rPr>
        <w:t>核销现金的盘亏，出纳人员无法说明原因，经管理层批准后，该笔损失应借的会计科目是（</w:t>
      </w:r>
      <w:r>
        <w:rPr>
          <w:rFonts w:eastAsia="等线" w:ascii="Arial" w:cs="Arial" w:hAnsi="Arial"/>
          <w:b w:val="true"/>
          <w:sz w:val="22"/>
        </w:rPr>
        <w:t>A</w:t>
      </w:r>
      <w:r>
        <w:rPr>
          <w:rFonts w:eastAsia="等线" w:ascii="Arial" w:cs="Arial" w:hAnsi="Arial"/>
          <w:sz w:val="22"/>
        </w:rPr>
        <w:t>）</w:t>
        <w:br/>
        <w:t>A. “管理费用”</w:t>
        <w:br/>
        <w:t>B.“营业外支出”</w:t>
        <w:br/>
        <w:t>C.“待处理财产损溢”</w:t>
        <w:br/>
      </w:r>
      <w:r>
        <w:rPr>
          <w:rFonts w:eastAsia="等线" w:ascii="Arial" w:cs="Arial" w:hAnsi="Arial"/>
          <w:sz w:val="22"/>
        </w:rPr>
        <w:t>D.“其他应收款”</w:t>
      </w:r>
    </w:p>
    <w:p>
      <w:pPr>
        <w:numPr>
          <w:numId w:val="71"/>
        </w:numPr>
        <w:spacing w:before="120" w:after="120" w:line="288" w:lineRule="auto"/>
        <w:ind w:left="0"/>
        <w:jc w:val="left"/>
      </w:pPr>
      <w:r>
        <w:rPr>
          <w:rFonts w:eastAsia="等线" w:ascii="Arial" w:cs="Arial" w:hAnsi="Arial"/>
          <w:sz w:val="22"/>
        </w:rPr>
        <w:t>反映企业在某一特定日期财务状况的财务报表是（</w:t>
      </w:r>
      <w:r>
        <w:rPr>
          <w:rFonts w:eastAsia="等线" w:ascii="Arial" w:cs="Arial" w:hAnsi="Arial"/>
          <w:b w:val="true"/>
          <w:sz w:val="22"/>
        </w:rPr>
        <w:t>B</w:t>
      </w:r>
      <w:r>
        <w:rPr>
          <w:rFonts w:eastAsia="等线" w:ascii="Arial" w:cs="Arial" w:hAnsi="Arial"/>
          <w:sz w:val="22"/>
        </w:rPr>
        <w:t>）</w:t>
        <w:br/>
        <w:t>A.利润表</w:t>
        <w:br/>
        <w:t>B.资产负债表</w:t>
        <w:br/>
        <w:t>C.现金流量表</w:t>
        <w:br/>
      </w:r>
      <w:r>
        <w:rPr>
          <w:rFonts w:eastAsia="等线" w:ascii="Arial" w:cs="Arial" w:hAnsi="Arial"/>
          <w:sz w:val="22"/>
        </w:rPr>
        <w:t>D.所有者权益变动表</w:t>
      </w:r>
    </w:p>
    <w:p>
      <w:pPr>
        <w:numPr>
          <w:numId w:val="72"/>
        </w:numPr>
        <w:spacing w:before="120" w:after="120" w:line="288" w:lineRule="auto"/>
        <w:ind w:left="0"/>
        <w:jc w:val="left"/>
      </w:pPr>
      <w:r>
        <w:rPr>
          <w:rFonts w:eastAsia="等线" w:ascii="Arial" w:cs="Arial" w:hAnsi="Arial"/>
          <w:sz w:val="22"/>
        </w:rPr>
        <w:t>下列项目中，不应计入企业销售费用的有（</w:t>
      </w:r>
      <w:r>
        <w:rPr>
          <w:rFonts w:eastAsia="等线" w:ascii="Arial" w:cs="Arial" w:hAnsi="Arial"/>
          <w:b w:val="true"/>
          <w:sz w:val="22"/>
        </w:rPr>
        <w:t>A</w:t>
      </w:r>
      <w:r>
        <w:rPr>
          <w:rFonts w:eastAsia="等线" w:ascii="Arial" w:cs="Arial" w:hAnsi="Arial"/>
          <w:sz w:val="22"/>
        </w:rPr>
        <w:t>）</w:t>
        <w:br/>
        <w:t>A. 代买方垫付的运杂费</w:t>
        <w:br/>
        <w:t>B. 专设销售机构人员的工资</w:t>
        <w:br/>
        <w:t>C. 销售产品的广告费</w:t>
        <w:br/>
      </w:r>
      <w:r>
        <w:rPr>
          <w:rFonts w:eastAsia="等线" w:ascii="Arial" w:cs="Arial" w:hAnsi="Arial"/>
          <w:sz w:val="22"/>
        </w:rPr>
        <w:t>D. 专设销售机构设备折旧费</w:t>
      </w:r>
    </w:p>
    <w:p>
      <w:pPr>
        <w:pStyle w:val="2"/>
        <w:spacing w:before="320" w:after="120" w:line="288" w:lineRule="auto"/>
        <w:ind w:left="0"/>
        <w:jc w:val="left"/>
        <w:outlineLvl w:val="1"/>
      </w:pPr>
      <w:bookmarkStart w:name="heading_2" w:id="2"/>
      <w:r>
        <w:rPr>
          <w:rFonts w:eastAsia="等线" w:ascii="Arial" w:cs="Arial" w:hAnsi="Arial"/>
          <w:b w:val="true"/>
          <w:sz w:val="32"/>
        </w:rPr>
        <w:t>二、 多选</w:t>
      </w:r>
      <w:bookmarkEnd w:id="2"/>
    </w:p>
    <w:p>
      <w:pPr>
        <w:numPr>
          <w:numId w:val="73"/>
        </w:numPr>
        <w:spacing w:before="120" w:after="120" w:line="288" w:lineRule="auto"/>
        <w:ind w:left="0"/>
        <w:jc w:val="left"/>
      </w:pPr>
      <w:r>
        <w:rPr>
          <w:rFonts w:eastAsia="等线" w:ascii="Arial" w:cs="Arial" w:hAnsi="Arial"/>
          <w:sz w:val="22"/>
        </w:rPr>
        <w:t>下列选项中属于会计反映职能一般特征的有（</w:t>
      </w:r>
      <w:r>
        <w:rPr>
          <w:rFonts w:eastAsia="等线" w:ascii="Arial" w:cs="Arial" w:hAnsi="Arial"/>
          <w:b w:val="true"/>
          <w:sz w:val="22"/>
        </w:rPr>
        <w:t>ABC</w:t>
      </w:r>
      <w:r>
        <w:rPr>
          <w:rFonts w:eastAsia="等线" w:ascii="Arial" w:cs="Arial" w:hAnsi="Arial"/>
          <w:sz w:val="22"/>
        </w:rPr>
        <w:t>）</w:t>
        <w:br/>
        <w:t>A.反映过去已经发生的经济活动</w:t>
        <w:br/>
        <w:t>B.以货币为主要计量单位</w:t>
        <w:br/>
        <w:t>C.具有连续性、系统性、全面性</w:t>
        <w:br/>
      </w:r>
      <w:r>
        <w:rPr>
          <w:rFonts w:eastAsia="等线" w:ascii="Arial" w:cs="Arial" w:hAnsi="Arial"/>
          <w:sz w:val="22"/>
        </w:rPr>
        <w:t>D.包括事前反映、事中反映、事后反映</w:t>
      </w:r>
    </w:p>
    <w:p>
      <w:pPr>
        <w:numPr>
          <w:numId w:val="74"/>
        </w:numPr>
        <w:spacing w:before="120" w:after="120" w:line="288" w:lineRule="auto"/>
        <w:ind w:left="0"/>
        <w:jc w:val="left"/>
      </w:pPr>
      <w:r>
        <w:rPr>
          <w:rFonts w:eastAsia="等线" w:ascii="Arial" w:cs="Arial" w:hAnsi="Arial"/>
          <w:sz w:val="22"/>
        </w:rPr>
        <w:t>会计各方面的作用综合起来说，包括（</w:t>
      </w:r>
      <w:r>
        <w:rPr>
          <w:rFonts w:eastAsia="等线" w:ascii="Arial" w:cs="Arial" w:hAnsi="Arial"/>
          <w:b w:val="true"/>
          <w:sz w:val="22"/>
        </w:rPr>
        <w:t>ABCD</w:t>
      </w:r>
      <w:r>
        <w:rPr>
          <w:rFonts w:eastAsia="等线" w:ascii="Arial" w:cs="Arial" w:hAnsi="Arial"/>
          <w:sz w:val="22"/>
        </w:rPr>
        <w:t>）</w:t>
        <w:br/>
        <w:t>A.为投资者提供财务报告</w:t>
        <w:br/>
        <w:t>B.保证企业投入资产的安全和完整</w:t>
        <w:br/>
        <w:t>C.为国家进行宏观调控、制定经济政策提供信息</w:t>
        <w:br/>
      </w:r>
      <w:r>
        <w:rPr>
          <w:rFonts w:eastAsia="等线" w:ascii="Arial" w:cs="Arial" w:hAnsi="Arial"/>
          <w:sz w:val="22"/>
        </w:rPr>
        <w:t>D.加强经济核算，为企业经营管理提供数据</w:t>
      </w:r>
    </w:p>
    <w:p>
      <w:pPr>
        <w:numPr>
          <w:numId w:val="75"/>
        </w:numPr>
        <w:spacing w:before="120" w:after="120" w:line="288" w:lineRule="auto"/>
        <w:ind w:left="0"/>
        <w:jc w:val="left"/>
      </w:pPr>
      <w:r>
        <w:rPr>
          <w:rFonts w:eastAsia="等线" w:ascii="Arial" w:cs="Arial" w:hAnsi="Arial"/>
          <w:sz w:val="22"/>
        </w:rPr>
        <w:t>下列属于复式记账法内容的有（</w:t>
      </w:r>
      <w:r>
        <w:rPr>
          <w:rFonts w:eastAsia="等线" w:ascii="Arial" w:cs="Arial" w:hAnsi="Arial"/>
          <w:b w:val="true"/>
          <w:sz w:val="22"/>
        </w:rPr>
        <w:t>ABCD</w:t>
      </w:r>
      <w:r>
        <w:rPr>
          <w:rFonts w:eastAsia="等线" w:ascii="Arial" w:cs="Arial" w:hAnsi="Arial"/>
          <w:sz w:val="22"/>
        </w:rPr>
        <w:t>）</w:t>
        <w:br/>
        <w:t>A. 记账平衡原理</w:t>
        <w:br/>
        <w:t>B. 记账符号</w:t>
        <w:br/>
        <w:t>C. 试算平衡</w:t>
        <w:br/>
      </w:r>
      <w:r>
        <w:rPr>
          <w:rFonts w:eastAsia="等线" w:ascii="Arial" w:cs="Arial" w:hAnsi="Arial"/>
          <w:sz w:val="22"/>
        </w:rPr>
        <w:t>D. 记账规则</w:t>
      </w:r>
    </w:p>
    <w:p>
      <w:pPr>
        <w:numPr>
          <w:numId w:val="76"/>
        </w:numPr>
        <w:spacing w:before="120" w:after="120" w:line="288" w:lineRule="auto"/>
        <w:ind w:left="0"/>
        <w:jc w:val="left"/>
      </w:pPr>
      <w:r>
        <w:rPr>
          <w:rFonts w:eastAsia="等线" w:ascii="Arial" w:cs="Arial" w:hAnsi="Arial"/>
          <w:sz w:val="22"/>
        </w:rPr>
        <w:t>下列有关说法，正确的是（</w:t>
      </w:r>
      <w:r>
        <w:rPr>
          <w:rFonts w:eastAsia="等线" w:ascii="Arial" w:cs="Arial" w:hAnsi="Arial"/>
          <w:b w:val="true"/>
          <w:sz w:val="22"/>
        </w:rPr>
        <w:t>BCF</w:t>
      </w:r>
      <w:r>
        <w:rPr>
          <w:rFonts w:eastAsia="等线" w:ascii="Arial" w:cs="Arial" w:hAnsi="Arial"/>
          <w:sz w:val="22"/>
        </w:rPr>
        <w:t>）</w:t>
        <w:br/>
        <w:t>A. 会计可反映过去已经发生的经济活动，也可反映未来可能发生的经济活动。</w:t>
        <w:br/>
        <w:t>B. 会计科目是对会计要素分类所形成的项目。</w:t>
        <w:br/>
        <w:t>C. “有借必有贷，借贷必相等”是借贷记账法的记账规则。</w:t>
        <w:br/>
        <w:t>D. 会计主体是企业法人。</w:t>
        <w:br/>
        <w:t>E. 法律主体一定是会计主体，会计主体一定是法律主体。</w:t>
        <w:br/>
        <w:t>F. 平行登记要求总账与明细账的登记方向必须相同，金额必须相等。</w:t>
        <w:br/>
      </w:r>
      <w:r>
        <w:rPr>
          <w:rFonts w:eastAsia="等线" w:ascii="Arial" w:cs="Arial" w:hAnsi="Arial"/>
          <w:sz w:val="22"/>
        </w:rPr>
        <w:t>G. 在我国，企业会计核算只能用人民币作为记账本位币。</w:t>
      </w:r>
    </w:p>
    <w:p>
      <w:pPr>
        <w:numPr>
          <w:numId w:val="77"/>
        </w:numPr>
        <w:spacing w:before="120" w:after="120" w:line="288" w:lineRule="auto"/>
        <w:ind w:left="0"/>
        <w:jc w:val="left"/>
      </w:pPr>
      <w:r>
        <w:rPr>
          <w:rFonts w:eastAsia="等线" w:ascii="Arial" w:cs="Arial" w:hAnsi="Arial"/>
          <w:sz w:val="22"/>
        </w:rPr>
        <w:t>关于会计基本假设，下列各项表述中正确的有（</w:t>
      </w:r>
      <w:r>
        <w:rPr>
          <w:rFonts w:eastAsia="等线" w:ascii="Arial" w:cs="Arial" w:hAnsi="Arial"/>
          <w:b w:val="true"/>
          <w:sz w:val="22"/>
        </w:rPr>
        <w:t>ABCD</w:t>
      </w:r>
      <w:r>
        <w:rPr>
          <w:rFonts w:eastAsia="等线" w:ascii="Arial" w:cs="Arial" w:hAnsi="Arial"/>
          <w:sz w:val="22"/>
        </w:rPr>
        <w:t>）</w:t>
        <w:br/>
        <w:t>A.会计主体确定了会计核算的空间范围</w:t>
        <w:br/>
        <w:t>B.货币计量是指会计主体在财务会计确认、计量和报告时以货币作为计量尺度，反映会计主体的生产经营活动</w:t>
        <w:br/>
        <w:t>C.会计分期假设是权责发生制的产生依据</w:t>
        <w:br/>
        <w:t>D.持续经营是会计分期的前提</w:t>
        <w:br/>
      </w:r>
      <w:r>
        <w:rPr>
          <w:rFonts w:eastAsia="等线" w:ascii="Arial" w:cs="Arial" w:hAnsi="Arial"/>
          <w:sz w:val="22"/>
        </w:rPr>
        <w:t>E.会计主体是企业法人</w:t>
      </w:r>
    </w:p>
    <w:p>
      <w:pPr>
        <w:numPr>
          <w:numId w:val="78"/>
        </w:numPr>
        <w:spacing w:before="120" w:after="120" w:line="288" w:lineRule="auto"/>
        <w:ind w:left="0"/>
        <w:jc w:val="left"/>
      </w:pPr>
      <w:r>
        <w:rPr>
          <w:rFonts w:eastAsia="等线" w:ascii="Arial" w:cs="Arial" w:hAnsi="Arial"/>
          <w:sz w:val="22"/>
        </w:rPr>
        <w:t>可靠性要求（</w:t>
      </w:r>
      <w:r>
        <w:rPr>
          <w:rFonts w:eastAsia="等线" w:ascii="Arial" w:cs="Arial" w:hAnsi="Arial"/>
          <w:b w:val="true"/>
          <w:sz w:val="22"/>
        </w:rPr>
        <w:t>ABCE</w:t>
      </w:r>
      <w:r>
        <w:rPr>
          <w:rFonts w:eastAsia="等线" w:ascii="Arial" w:cs="Arial" w:hAnsi="Arial"/>
          <w:sz w:val="22"/>
        </w:rPr>
        <w:t>）</w:t>
        <w:br/>
        <w:t>A.企业应当以实际发生的交易或事项为依据进行会计确认、计量和报告</w:t>
        <w:br/>
        <w:t>B.如实反映符合确认和计量要求的各项会计要素及其他相关信息</w:t>
        <w:br/>
        <w:t>C.保证会计信息真实可靠、内容完整</w:t>
        <w:br/>
        <w:t>D.企业提供的会计信息应当清晰明了，便于财务报告使用者理解和使用</w:t>
        <w:br/>
      </w:r>
      <w:r>
        <w:rPr>
          <w:rFonts w:eastAsia="等线" w:ascii="Arial" w:cs="Arial" w:hAnsi="Arial"/>
          <w:sz w:val="22"/>
        </w:rPr>
        <w:t>E.包括在财务报告中的会计信息应当是中立的，具备无偏性的。</w:t>
      </w:r>
    </w:p>
    <w:p>
      <w:pPr>
        <w:numPr>
          <w:numId w:val="79"/>
        </w:numPr>
        <w:spacing w:before="120" w:after="120" w:line="288" w:lineRule="auto"/>
        <w:ind w:left="0"/>
        <w:jc w:val="left"/>
      </w:pPr>
      <w:r>
        <w:rPr>
          <w:rFonts w:eastAsia="等线" w:ascii="Arial" w:cs="Arial" w:hAnsi="Arial"/>
          <w:sz w:val="22"/>
        </w:rPr>
        <w:t>下列属于会计确认与计量方面的原则有（</w:t>
      </w:r>
      <w:r>
        <w:rPr>
          <w:rFonts w:eastAsia="等线" w:ascii="Arial" w:cs="Arial" w:hAnsi="Arial"/>
          <w:b w:val="true"/>
          <w:sz w:val="22"/>
        </w:rPr>
        <w:t>ABDE</w:t>
      </w:r>
      <w:r>
        <w:rPr>
          <w:rFonts w:eastAsia="等线" w:ascii="Arial" w:cs="Arial" w:hAnsi="Arial"/>
          <w:sz w:val="22"/>
        </w:rPr>
        <w:t>）</w:t>
        <w:br/>
        <w:t>A.配比原则</w:t>
        <w:br/>
        <w:t>B.历史成本计价原则</w:t>
        <w:br/>
        <w:t>C.可比性原则</w:t>
        <w:br/>
        <w:t>D.权责发生制原则</w:t>
        <w:br/>
      </w:r>
      <w:r>
        <w:rPr>
          <w:rFonts w:eastAsia="等线" w:ascii="Arial" w:cs="Arial" w:hAnsi="Arial"/>
          <w:sz w:val="22"/>
        </w:rPr>
        <w:t>E.划分收益性支出和资本性支出的原则</w:t>
      </w:r>
    </w:p>
    <w:p>
      <w:pPr>
        <w:numPr>
          <w:numId w:val="80"/>
        </w:numPr>
        <w:spacing w:before="120" w:after="120" w:line="288" w:lineRule="auto"/>
        <w:ind w:left="0"/>
        <w:jc w:val="left"/>
      </w:pPr>
      <w:r>
        <w:rPr>
          <w:rFonts w:eastAsia="等线" w:ascii="Arial" w:cs="Arial" w:hAnsi="Arial"/>
          <w:sz w:val="22"/>
        </w:rPr>
        <w:t>可以用于负债计量的计量属性有（</w:t>
      </w:r>
      <w:r>
        <w:rPr>
          <w:rFonts w:eastAsia="等线" w:ascii="Arial" w:cs="Arial" w:hAnsi="Arial"/>
          <w:b w:val="true"/>
          <w:sz w:val="22"/>
        </w:rPr>
        <w:t>ABDE</w:t>
      </w:r>
      <w:r>
        <w:rPr>
          <w:rFonts w:eastAsia="等线" w:ascii="Arial" w:cs="Arial" w:hAnsi="Arial"/>
          <w:sz w:val="22"/>
        </w:rPr>
        <w:t>）</w:t>
        <w:br/>
        <w:t>A.历史成本</w:t>
        <w:br/>
        <w:t>B.公允价值</w:t>
        <w:br/>
        <w:t>C.可变现净值</w:t>
        <w:br/>
        <w:t>D.现值</w:t>
        <w:br/>
      </w:r>
      <w:r>
        <w:rPr>
          <w:rFonts w:eastAsia="等线" w:ascii="Arial" w:cs="Arial" w:hAnsi="Arial"/>
          <w:sz w:val="22"/>
        </w:rPr>
        <w:t>E.重置成本</w:t>
      </w:r>
    </w:p>
    <w:p>
      <w:pPr>
        <w:numPr>
          <w:numId w:val="81"/>
        </w:numPr>
        <w:spacing w:before="120" w:after="120" w:line="288" w:lineRule="auto"/>
        <w:ind w:left="0"/>
        <w:jc w:val="left"/>
      </w:pPr>
      <w:r>
        <w:rPr>
          <w:rFonts w:eastAsia="等线" w:ascii="Arial" w:cs="Arial" w:hAnsi="Arial"/>
          <w:sz w:val="22"/>
        </w:rPr>
        <w:t>按权责发生制原则要求，下列项目中关于收入确认正确的是（</w:t>
      </w:r>
      <w:r>
        <w:rPr>
          <w:rFonts w:eastAsia="等线" w:ascii="Arial" w:cs="Arial" w:hAnsi="Arial"/>
          <w:b w:val="true"/>
          <w:sz w:val="22"/>
        </w:rPr>
        <w:t>AE</w:t>
      </w:r>
      <w:r>
        <w:rPr>
          <w:rFonts w:eastAsia="等线" w:ascii="Arial" w:cs="Arial" w:hAnsi="Arial"/>
          <w:sz w:val="22"/>
        </w:rPr>
        <w:t>）</w:t>
        <w:br/>
        <w:t>A.本月确认产品一批，价值2万元，货款尚未收到，已确认为收入</w:t>
        <w:br/>
        <w:t>B.本月初收到上月利息收入3000元，确认为本月财务费用贷方3000元</w:t>
        <w:br/>
        <w:t>C.本月收到上月产品销售收入3万元，已存入银行，确认为本月收入</w:t>
        <w:br/>
        <w:t>D.本月签订一份销售合同，规定下月销售货物一批，价值5万元，确认为本月收入</w:t>
        <w:br/>
      </w:r>
      <w:r>
        <w:rPr>
          <w:rFonts w:eastAsia="等线" w:ascii="Arial" w:cs="Arial" w:hAnsi="Arial"/>
          <w:sz w:val="22"/>
        </w:rPr>
        <w:t>E.本月预售了下个月发货的产品销售定金3万元，未确认收入</w:t>
      </w:r>
    </w:p>
    <w:p>
      <w:pPr>
        <w:numPr>
          <w:numId w:val="82"/>
        </w:numPr>
        <w:spacing w:before="120" w:after="120" w:line="288" w:lineRule="auto"/>
        <w:ind w:left="0"/>
        <w:jc w:val="left"/>
      </w:pPr>
      <w:r>
        <w:rPr>
          <w:rFonts w:eastAsia="等线" w:ascii="Arial" w:cs="Arial" w:hAnsi="Arial"/>
          <w:sz w:val="22"/>
        </w:rPr>
        <w:t>某企业月初资产总额为 200 万元，负债总额为 80 万元。本月发生以下业务：①用银行存款偿还短期借款 20 万元；②收到投资者投入货币资金 50 万元存入银行。则月末所有者权益总额为（</w:t>
      </w:r>
      <w:r>
        <w:rPr>
          <w:rFonts w:eastAsia="等线" w:ascii="Arial" w:cs="Arial" w:hAnsi="Arial"/>
          <w:b w:val="true"/>
          <w:sz w:val="22"/>
        </w:rPr>
        <w:t>B</w:t>
      </w:r>
      <w:r>
        <w:rPr>
          <w:rFonts w:eastAsia="等线" w:ascii="Arial" w:cs="Arial" w:hAnsi="Arial"/>
          <w:sz w:val="22"/>
        </w:rPr>
        <w:t>）</w:t>
        <w:br/>
        <w:t>A.130 万元</w:t>
        <w:br/>
        <w:t>B.150 万元</w:t>
        <w:br/>
        <w:t>C.170 万元</w:t>
        <w:br/>
      </w:r>
      <w:r>
        <w:rPr>
          <w:rFonts w:eastAsia="等线" w:ascii="Arial" w:cs="Arial" w:hAnsi="Arial"/>
          <w:sz w:val="22"/>
        </w:rPr>
        <w:t>D.200 万元</w:t>
      </w:r>
    </w:p>
    <w:p>
      <w:pPr>
        <w:numPr>
          <w:numId w:val="83"/>
        </w:numPr>
        <w:spacing w:before="120" w:after="120" w:line="288" w:lineRule="auto"/>
        <w:ind w:left="0"/>
        <w:jc w:val="left"/>
      </w:pPr>
      <w:r>
        <w:rPr>
          <w:rFonts w:eastAsia="等线" w:ascii="Arial" w:cs="Arial" w:hAnsi="Arial"/>
          <w:sz w:val="22"/>
        </w:rPr>
        <w:t>下列选项中，属于无形资产的有（</w:t>
      </w:r>
      <w:r>
        <w:rPr>
          <w:rFonts w:eastAsia="等线" w:ascii="Arial" w:cs="Arial" w:hAnsi="Arial"/>
          <w:b w:val="true"/>
          <w:sz w:val="22"/>
        </w:rPr>
        <w:t>BCDE</w:t>
      </w:r>
      <w:r>
        <w:rPr>
          <w:rFonts w:eastAsia="等线" w:ascii="Arial" w:cs="Arial" w:hAnsi="Arial"/>
          <w:sz w:val="22"/>
        </w:rPr>
        <w:t>）</w:t>
        <w:br/>
        <w:t>A.期权</w:t>
        <w:br/>
        <w:t>B.专利权</w:t>
        <w:br/>
        <w:t>C.商标权</w:t>
        <w:br/>
        <w:t>D.土地使用权</w:t>
        <w:br/>
      </w:r>
      <w:r>
        <w:rPr>
          <w:rFonts w:eastAsia="等线" w:ascii="Arial" w:cs="Arial" w:hAnsi="Arial"/>
          <w:sz w:val="22"/>
        </w:rPr>
        <w:t>E.著作权</w:t>
      </w:r>
    </w:p>
    <w:p>
      <w:pPr>
        <w:numPr>
          <w:numId w:val="84"/>
        </w:numPr>
        <w:spacing w:before="120" w:after="120" w:line="288" w:lineRule="auto"/>
        <w:ind w:left="0"/>
        <w:jc w:val="left"/>
      </w:pPr>
      <w:r>
        <w:rPr>
          <w:rFonts w:eastAsia="等线" w:ascii="Arial" w:cs="Arial" w:hAnsi="Arial"/>
          <w:sz w:val="22"/>
        </w:rPr>
        <w:t>下列关于会计等式的表述中，正确的有（</w:t>
      </w:r>
      <w:r>
        <w:rPr>
          <w:rFonts w:eastAsia="等线" w:ascii="Arial" w:cs="Arial" w:hAnsi="Arial"/>
          <w:b w:val="true"/>
          <w:sz w:val="22"/>
        </w:rPr>
        <w:t>AB</w:t>
      </w:r>
      <w:r>
        <w:rPr>
          <w:rFonts w:eastAsia="等线" w:ascii="Arial" w:cs="Arial" w:hAnsi="Arial"/>
          <w:sz w:val="22"/>
        </w:rPr>
        <w:t>）</w:t>
        <w:br/>
        <w:t>A.资产＝负债＋所有者权益</w:t>
        <w:br/>
        <w:t>B.收入－费用＝利润</w:t>
        <w:br/>
        <w:t>C.资产－费用＝负债＋所有者权益＋收入</w:t>
        <w:br/>
      </w:r>
      <w:r>
        <w:rPr>
          <w:rFonts w:eastAsia="等线" w:ascii="Arial" w:cs="Arial" w:hAnsi="Arial"/>
          <w:sz w:val="22"/>
        </w:rPr>
        <w:t>D.资产＝负债＋所有者权益＋（收入＋费用）</w:t>
      </w:r>
    </w:p>
    <w:p>
      <w:pPr>
        <w:numPr>
          <w:numId w:val="85"/>
        </w:numPr>
        <w:spacing w:before="120" w:after="120" w:line="288" w:lineRule="auto"/>
        <w:ind w:left="0"/>
        <w:jc w:val="left"/>
      </w:pPr>
      <w:r>
        <w:rPr>
          <w:rFonts w:eastAsia="等线" w:ascii="Arial" w:cs="Arial" w:hAnsi="Arial"/>
          <w:sz w:val="22"/>
        </w:rPr>
        <w:t>会计计量的属性主要有（</w:t>
      </w:r>
      <w:r>
        <w:rPr>
          <w:rFonts w:eastAsia="等线" w:ascii="Arial" w:cs="Arial" w:hAnsi="Arial"/>
          <w:b w:val="true"/>
          <w:sz w:val="22"/>
        </w:rPr>
        <w:t>ABCD</w:t>
      </w:r>
      <w:r>
        <w:rPr>
          <w:rFonts w:eastAsia="等线" w:ascii="Arial" w:cs="Arial" w:hAnsi="Arial"/>
          <w:sz w:val="22"/>
        </w:rPr>
        <w:t>）</w:t>
        <w:br/>
        <w:t>A.历史成本</w:t>
        <w:br/>
        <w:t>B.公允价值</w:t>
        <w:br/>
        <w:t>C.可变现净值</w:t>
        <w:br/>
      </w:r>
      <w:r>
        <w:rPr>
          <w:rFonts w:eastAsia="等线" w:ascii="Arial" w:cs="Arial" w:hAnsi="Arial"/>
          <w:sz w:val="22"/>
        </w:rPr>
        <w:t>D.现值和重置成本</w:t>
      </w:r>
    </w:p>
    <w:p>
      <w:pPr>
        <w:numPr>
          <w:numId w:val="86"/>
        </w:numPr>
        <w:spacing w:before="120" w:after="120" w:line="288" w:lineRule="auto"/>
        <w:ind w:left="0"/>
        <w:jc w:val="left"/>
      </w:pPr>
      <w:r>
        <w:rPr>
          <w:rFonts w:eastAsia="等线" w:ascii="Arial" w:cs="Arial" w:hAnsi="Arial"/>
          <w:sz w:val="22"/>
        </w:rPr>
        <w:t>下列选项中属于只引起会计等式左边会计要素变动的经济业务有（</w:t>
      </w:r>
      <w:r>
        <w:rPr>
          <w:rFonts w:eastAsia="等线" w:ascii="Arial" w:cs="Arial" w:hAnsi="Arial"/>
          <w:b w:val="true"/>
          <w:sz w:val="22"/>
        </w:rPr>
        <w:t>BD</w:t>
      </w:r>
      <w:r>
        <w:rPr>
          <w:rFonts w:eastAsia="等线" w:ascii="Arial" w:cs="Arial" w:hAnsi="Arial"/>
          <w:sz w:val="22"/>
        </w:rPr>
        <w:t>）</w:t>
        <w:br/>
        <w:t>A.购买材料800元，货款暂欠</w:t>
        <w:br/>
        <w:t>B.去银行提取现金500元</w:t>
        <w:br/>
        <w:t>C.接受国家投资200万元</w:t>
        <w:br/>
        <w:t>D.购买机器一台，以银行存款支付10万元货款</w:t>
        <w:br/>
      </w:r>
      <w:r>
        <w:rPr>
          <w:rFonts w:eastAsia="等线" w:ascii="Arial" w:cs="Arial" w:hAnsi="Arial"/>
          <w:sz w:val="22"/>
        </w:rPr>
        <w:t>E.收到某外商捐赠货物一批，价值80万元</w:t>
      </w:r>
    </w:p>
    <w:p>
      <w:pPr>
        <w:numPr>
          <w:numId w:val="87"/>
        </w:numPr>
        <w:spacing w:before="120" w:after="120" w:line="288" w:lineRule="auto"/>
        <w:ind w:left="0"/>
        <w:jc w:val="left"/>
      </w:pPr>
      <w:r>
        <w:rPr>
          <w:rFonts w:eastAsia="等线" w:ascii="Arial" w:cs="Arial" w:hAnsi="Arial"/>
          <w:sz w:val="22"/>
        </w:rPr>
        <w:t>企业用银行存款偿还应付账款，引起会计要素变化的有（</w:t>
      </w:r>
      <w:r>
        <w:rPr>
          <w:rFonts w:eastAsia="等线" w:ascii="Arial" w:cs="Arial" w:hAnsi="Arial"/>
          <w:b w:val="true"/>
          <w:sz w:val="22"/>
        </w:rPr>
        <w:t>AD</w:t>
      </w:r>
      <w:r>
        <w:rPr>
          <w:rFonts w:eastAsia="等线" w:ascii="Arial" w:cs="Arial" w:hAnsi="Arial"/>
          <w:sz w:val="22"/>
        </w:rPr>
        <w:t>）</w:t>
        <w:br/>
        <w:t>A.资产减少</w:t>
        <w:br/>
        <w:t>B.资产增加</w:t>
        <w:br/>
        <w:t>C.负债增加</w:t>
        <w:br/>
      </w:r>
      <w:r>
        <w:rPr>
          <w:rFonts w:eastAsia="等线" w:ascii="Arial" w:cs="Arial" w:hAnsi="Arial"/>
          <w:sz w:val="22"/>
        </w:rPr>
        <w:t>D.负债减少</w:t>
      </w:r>
    </w:p>
    <w:p>
      <w:pPr>
        <w:numPr>
          <w:numId w:val="88"/>
        </w:numPr>
        <w:spacing w:before="120" w:after="120" w:line="288" w:lineRule="auto"/>
        <w:ind w:left="0"/>
        <w:jc w:val="left"/>
      </w:pPr>
      <w:r>
        <w:rPr>
          <w:rFonts w:eastAsia="等线" w:ascii="Arial" w:cs="Arial" w:hAnsi="Arial"/>
          <w:sz w:val="22"/>
        </w:rPr>
        <w:t>留存收益包含（</w:t>
      </w:r>
      <w:r>
        <w:rPr>
          <w:rFonts w:eastAsia="等线" w:ascii="Arial" w:cs="Arial" w:hAnsi="Arial"/>
          <w:b w:val="true"/>
          <w:sz w:val="22"/>
        </w:rPr>
        <w:t>BD</w:t>
      </w:r>
      <w:r>
        <w:rPr>
          <w:rFonts w:eastAsia="等线" w:ascii="Arial" w:cs="Arial" w:hAnsi="Arial"/>
          <w:sz w:val="22"/>
        </w:rPr>
        <w:t>）</w:t>
        <w:br/>
        <w:t>A.资本公积</w:t>
        <w:br/>
        <w:t>B.盈余公积</w:t>
        <w:br/>
        <w:t>C.实收资本</w:t>
        <w:br/>
      </w:r>
      <w:r>
        <w:rPr>
          <w:rFonts w:eastAsia="等线" w:ascii="Arial" w:cs="Arial" w:hAnsi="Arial"/>
          <w:sz w:val="22"/>
        </w:rPr>
        <w:t>D.未分配利润</w:t>
      </w:r>
    </w:p>
    <w:p>
      <w:pPr>
        <w:numPr>
          <w:numId w:val="89"/>
        </w:numPr>
        <w:spacing w:before="120" w:after="120" w:line="288" w:lineRule="auto"/>
        <w:ind w:left="0"/>
        <w:jc w:val="left"/>
      </w:pPr>
      <w:r>
        <w:rPr>
          <w:rFonts w:eastAsia="等线" w:ascii="Arial" w:cs="Arial" w:hAnsi="Arial"/>
          <w:sz w:val="22"/>
        </w:rPr>
        <w:t>账户一般可以提供的金额指标有（</w:t>
      </w:r>
      <w:r>
        <w:rPr>
          <w:rFonts w:eastAsia="等线" w:ascii="Arial" w:cs="Arial" w:hAnsi="Arial"/>
          <w:b w:val="true"/>
          <w:sz w:val="22"/>
        </w:rPr>
        <w:t>ABDE</w:t>
      </w:r>
      <w:r>
        <w:rPr>
          <w:rFonts w:eastAsia="等线" w:ascii="Arial" w:cs="Arial" w:hAnsi="Arial"/>
          <w:sz w:val="22"/>
        </w:rPr>
        <w:t>）</w:t>
        <w:br/>
        <w:t>A.期初余额</w:t>
        <w:br/>
        <w:t>B.本期增加发生额</w:t>
        <w:br/>
        <w:t>C.期中余额</w:t>
        <w:br/>
        <w:t>D.本期减少发生额</w:t>
        <w:br/>
      </w:r>
      <w:r>
        <w:rPr>
          <w:rFonts w:eastAsia="等线" w:ascii="Arial" w:cs="Arial" w:hAnsi="Arial"/>
          <w:sz w:val="22"/>
        </w:rPr>
        <w:t>E.期末余额</w:t>
      </w:r>
    </w:p>
    <w:p>
      <w:pPr>
        <w:numPr>
          <w:numId w:val="90"/>
        </w:numPr>
        <w:spacing w:before="120" w:after="120" w:line="288" w:lineRule="auto"/>
        <w:ind w:left="0"/>
        <w:jc w:val="left"/>
      </w:pPr>
      <w:r>
        <w:rPr>
          <w:rFonts w:eastAsia="等线" w:ascii="Arial" w:cs="Arial" w:hAnsi="Arial"/>
          <w:sz w:val="22"/>
        </w:rPr>
        <w:t>明细分类科目（</w:t>
      </w:r>
      <w:r>
        <w:rPr>
          <w:rFonts w:eastAsia="等线" w:ascii="Arial" w:cs="Arial" w:hAnsi="Arial"/>
          <w:b w:val="true"/>
          <w:sz w:val="22"/>
        </w:rPr>
        <w:t>CDE</w:t>
      </w:r>
      <w:r>
        <w:rPr>
          <w:rFonts w:eastAsia="等线" w:ascii="Arial" w:cs="Arial" w:hAnsi="Arial"/>
          <w:sz w:val="22"/>
        </w:rPr>
        <w:t>）</w:t>
        <w:br/>
        <w:t>A.也称一级会计科目</w:t>
        <w:br/>
        <w:t>B.是进行总分类核算的依据</w:t>
        <w:br/>
        <w:t>C.是对总分类科目核算内容详细分类的科目</w:t>
        <w:br/>
        <w:t>D.是进行明细分类核算的依据</w:t>
        <w:br/>
      </w:r>
      <w:r>
        <w:rPr>
          <w:rFonts w:eastAsia="等线" w:ascii="Arial" w:cs="Arial" w:hAnsi="Arial"/>
          <w:sz w:val="22"/>
        </w:rPr>
        <w:t>E.提供更加详细具体的指标</w:t>
      </w:r>
    </w:p>
    <w:p>
      <w:pPr>
        <w:numPr>
          <w:numId w:val="91"/>
        </w:numPr>
        <w:spacing w:before="120" w:after="120" w:line="288" w:lineRule="auto"/>
        <w:ind w:left="0"/>
        <w:jc w:val="left"/>
      </w:pPr>
      <w:r>
        <w:rPr>
          <w:rFonts w:eastAsia="等线" w:ascii="Arial" w:cs="Arial" w:hAnsi="Arial"/>
          <w:sz w:val="22"/>
        </w:rPr>
        <w:t>账户中用哪一方登记增加额，哪一方登记减少额，取决于（</w:t>
      </w:r>
      <w:r>
        <w:rPr>
          <w:rFonts w:eastAsia="等线" w:ascii="Arial" w:cs="Arial" w:hAnsi="Arial"/>
          <w:b w:val="true"/>
          <w:sz w:val="22"/>
        </w:rPr>
        <w:t>AE</w:t>
      </w:r>
      <w:r>
        <w:rPr>
          <w:rFonts w:eastAsia="等线" w:ascii="Arial" w:cs="Arial" w:hAnsi="Arial"/>
          <w:sz w:val="22"/>
        </w:rPr>
        <w:t>）</w:t>
        <w:br/>
        <w:t>A.所记录的经济内容</w:t>
        <w:br/>
        <w:t>B.记账人的偏好</w:t>
        <w:br/>
        <w:t>C.公司类型</w:t>
        <w:br/>
        <w:t>D.反映会计指标信息的详细程度</w:t>
        <w:br/>
      </w:r>
      <w:r>
        <w:rPr>
          <w:rFonts w:eastAsia="等线" w:ascii="Arial" w:cs="Arial" w:hAnsi="Arial"/>
          <w:sz w:val="22"/>
        </w:rPr>
        <w:t>E.所采用的记账方法</w:t>
      </w:r>
    </w:p>
    <w:p>
      <w:pPr>
        <w:numPr>
          <w:numId w:val="92"/>
        </w:numPr>
        <w:spacing w:before="120" w:after="120" w:line="288" w:lineRule="auto"/>
        <w:ind w:left="0"/>
        <w:jc w:val="left"/>
      </w:pPr>
      <w:r>
        <w:rPr>
          <w:rFonts w:eastAsia="等线" w:ascii="Arial" w:cs="Arial" w:hAnsi="Arial"/>
          <w:sz w:val="22"/>
        </w:rPr>
        <w:t>下列账户中，用贷方登记增加数的有（</w:t>
      </w:r>
      <w:r>
        <w:rPr>
          <w:rFonts w:eastAsia="等线" w:ascii="Arial" w:cs="Arial" w:hAnsi="Arial"/>
          <w:b w:val="true"/>
          <w:sz w:val="22"/>
        </w:rPr>
        <w:t>ABCDE</w:t>
      </w:r>
      <w:r>
        <w:rPr>
          <w:rFonts w:eastAsia="等线" w:ascii="Arial" w:cs="Arial" w:hAnsi="Arial"/>
          <w:sz w:val="22"/>
        </w:rPr>
        <w:t>）</w:t>
        <w:br/>
        <w:t>A.应付账款</w:t>
        <w:br/>
        <w:t>B.实收资本</w:t>
        <w:br/>
        <w:t>C.累计折旧</w:t>
        <w:br/>
        <w:t>D.盈余公积</w:t>
        <w:br/>
      </w:r>
      <w:r>
        <w:rPr>
          <w:rFonts w:eastAsia="等线" w:ascii="Arial" w:cs="Arial" w:hAnsi="Arial"/>
          <w:sz w:val="22"/>
        </w:rPr>
        <w:t>E.本年利润</w:t>
      </w:r>
    </w:p>
    <w:p>
      <w:pPr>
        <w:numPr>
          <w:numId w:val="93"/>
        </w:numPr>
        <w:spacing w:before="120" w:after="120" w:line="288" w:lineRule="auto"/>
        <w:ind w:left="0"/>
        <w:jc w:val="left"/>
      </w:pPr>
      <w:r>
        <w:rPr>
          <w:rFonts w:eastAsia="等线" w:ascii="Arial" w:cs="Arial" w:hAnsi="Arial"/>
          <w:sz w:val="22"/>
        </w:rPr>
        <w:t>采用借贷记账法时，账户的借方一般用来登记（</w:t>
      </w:r>
      <w:r>
        <w:rPr>
          <w:rFonts w:eastAsia="等线" w:ascii="Arial" w:cs="Arial" w:hAnsi="Arial"/>
          <w:b w:val="true"/>
          <w:sz w:val="22"/>
        </w:rPr>
        <w:t>ABCDE</w:t>
      </w:r>
      <w:r>
        <w:rPr>
          <w:rFonts w:eastAsia="等线" w:ascii="Arial" w:cs="Arial" w:hAnsi="Arial"/>
          <w:sz w:val="22"/>
        </w:rPr>
        <w:t>）</w:t>
        <w:br/>
        <w:t>A.资产的增加</w:t>
        <w:br/>
        <w:t>B.收入的减少</w:t>
        <w:br/>
        <w:t>C.费用的增加</w:t>
        <w:br/>
        <w:t>D.负债的减少</w:t>
        <w:br/>
      </w:r>
      <w:r>
        <w:rPr>
          <w:rFonts w:eastAsia="等线" w:ascii="Arial" w:cs="Arial" w:hAnsi="Arial"/>
          <w:sz w:val="22"/>
        </w:rPr>
        <w:t>E.所有者权益的减少</w:t>
      </w:r>
    </w:p>
    <w:p>
      <w:pPr>
        <w:numPr>
          <w:numId w:val="94"/>
        </w:numPr>
        <w:spacing w:before="120" w:after="120" w:line="288" w:lineRule="auto"/>
        <w:ind w:left="0"/>
        <w:jc w:val="left"/>
      </w:pPr>
      <w:r>
        <w:rPr>
          <w:rFonts w:eastAsia="等线" w:ascii="Arial" w:cs="Arial" w:hAnsi="Arial"/>
          <w:sz w:val="22"/>
        </w:rPr>
        <w:t>下列账户中，在会计期末一般没有余额的账户有（</w:t>
      </w:r>
      <w:r>
        <w:rPr>
          <w:rFonts w:eastAsia="等线" w:ascii="Arial" w:cs="Arial" w:hAnsi="Arial"/>
          <w:b w:val="true"/>
          <w:sz w:val="22"/>
        </w:rPr>
        <w:t>DE</w:t>
      </w:r>
      <w:r>
        <w:rPr>
          <w:rFonts w:eastAsia="等线" w:ascii="Arial" w:cs="Arial" w:hAnsi="Arial"/>
          <w:sz w:val="22"/>
        </w:rPr>
        <w:t>）</w:t>
        <w:br/>
        <w:t>A.资产类账户</w:t>
        <w:br/>
        <w:t>B.负债类账户</w:t>
        <w:br/>
        <w:t>C.所有者权益类账户</w:t>
        <w:br/>
        <w:t>D.收入类账户</w:t>
        <w:br/>
      </w:r>
      <w:r>
        <w:rPr>
          <w:rFonts w:eastAsia="等线" w:ascii="Arial" w:cs="Arial" w:hAnsi="Arial"/>
          <w:sz w:val="22"/>
        </w:rPr>
        <w:t>E.费用类账户</w:t>
      </w:r>
    </w:p>
    <w:p>
      <w:pPr>
        <w:numPr>
          <w:numId w:val="95"/>
        </w:numPr>
        <w:spacing w:before="120" w:after="120" w:line="288" w:lineRule="auto"/>
        <w:ind w:left="0"/>
        <w:jc w:val="left"/>
      </w:pPr>
      <w:r>
        <w:rPr>
          <w:rFonts w:eastAsia="等线" w:ascii="Arial" w:cs="Arial" w:hAnsi="Arial"/>
          <w:sz w:val="22"/>
        </w:rPr>
        <w:t>以下项目中，通过试算平衡无法发现的错误有（</w:t>
      </w:r>
      <w:r>
        <w:rPr>
          <w:rFonts w:eastAsia="等线" w:ascii="Arial" w:cs="Arial" w:hAnsi="Arial"/>
          <w:b w:val="true"/>
          <w:sz w:val="22"/>
        </w:rPr>
        <w:t>BCE</w:t>
      </w:r>
      <w:r>
        <w:rPr>
          <w:rFonts w:eastAsia="等线" w:ascii="Arial" w:cs="Arial" w:hAnsi="Arial"/>
          <w:sz w:val="22"/>
        </w:rPr>
        <w:t>）</w:t>
        <w:br/>
        <w:t>A.账户正确但一方记错了方向</w:t>
        <w:br/>
        <w:t>B.记账方向正确但记错账户</w:t>
        <w:br/>
        <w:t>C.漏记或重记某项经济业务</w:t>
        <w:br/>
        <w:t>D.方向正确但一方金额少写</w:t>
        <w:br/>
      </w:r>
      <w:r>
        <w:rPr>
          <w:rFonts w:eastAsia="等线" w:ascii="Arial" w:cs="Arial" w:hAnsi="Arial"/>
          <w:sz w:val="22"/>
        </w:rPr>
        <w:t>E.借贷方向彼此颠倒</w:t>
      </w:r>
    </w:p>
    <w:p>
      <w:pPr>
        <w:numPr>
          <w:numId w:val="96"/>
        </w:numPr>
        <w:spacing w:before="120" w:after="120" w:line="288" w:lineRule="auto"/>
        <w:ind w:left="0"/>
        <w:jc w:val="left"/>
      </w:pPr>
      <w:r>
        <w:rPr>
          <w:rFonts w:eastAsia="等线" w:ascii="Arial" w:cs="Arial" w:hAnsi="Arial"/>
          <w:sz w:val="22"/>
        </w:rPr>
        <w:t>企业用银行存款偿还应付账款，引起会计要素变化的有（</w:t>
      </w:r>
      <w:r>
        <w:rPr>
          <w:rFonts w:eastAsia="等线" w:ascii="Arial" w:cs="Arial" w:hAnsi="Arial"/>
          <w:b w:val="true"/>
          <w:sz w:val="22"/>
        </w:rPr>
        <w:t>DE</w:t>
      </w:r>
      <w:r>
        <w:rPr>
          <w:rFonts w:eastAsia="等线" w:ascii="Arial" w:cs="Arial" w:hAnsi="Arial"/>
          <w:sz w:val="22"/>
        </w:rPr>
        <w:t>）</w:t>
        <w:br/>
        <w:t>A.资产增加</w:t>
        <w:br/>
        <w:t>B.负债增加</w:t>
        <w:br/>
        <w:t>C.收入减少</w:t>
        <w:br/>
        <w:t>D.资产减少</w:t>
        <w:br/>
      </w:r>
      <w:r>
        <w:rPr>
          <w:rFonts w:eastAsia="等线" w:ascii="Arial" w:cs="Arial" w:hAnsi="Arial"/>
          <w:sz w:val="22"/>
        </w:rPr>
        <w:t>E.负债减少</w:t>
      </w:r>
    </w:p>
    <w:p>
      <w:pPr>
        <w:numPr>
          <w:numId w:val="97"/>
        </w:numPr>
        <w:spacing w:before="120" w:after="120" w:line="288" w:lineRule="auto"/>
        <w:ind w:left="0"/>
        <w:jc w:val="left"/>
      </w:pPr>
      <w:r>
        <w:rPr>
          <w:rFonts w:eastAsia="等线" w:ascii="Arial" w:cs="Arial" w:hAnsi="Arial"/>
          <w:sz w:val="22"/>
        </w:rPr>
        <w:t>下列能引起资产和所有者权益同时增加的业务有（</w:t>
      </w:r>
      <w:r>
        <w:rPr>
          <w:rFonts w:eastAsia="等线" w:ascii="Arial" w:cs="Arial" w:hAnsi="Arial"/>
          <w:b w:val="true"/>
          <w:sz w:val="22"/>
        </w:rPr>
        <w:t>ACE</w:t>
      </w:r>
      <w:r>
        <w:rPr>
          <w:rFonts w:eastAsia="等线" w:ascii="Arial" w:cs="Arial" w:hAnsi="Arial"/>
          <w:sz w:val="22"/>
        </w:rPr>
        <w:t>）</w:t>
        <w:br/>
        <w:t>A.收到国家投资存入银行</w:t>
        <w:br/>
        <w:t>B.提取盈余公积</w:t>
        <w:br/>
        <w:t>C.收到外商投入设备一台</w:t>
        <w:br/>
        <w:t>D.将资本公积转增为资本</w:t>
        <w:br/>
      </w:r>
      <w:r>
        <w:rPr>
          <w:rFonts w:eastAsia="等线" w:ascii="Arial" w:cs="Arial" w:hAnsi="Arial"/>
          <w:sz w:val="22"/>
        </w:rPr>
        <w:t>E.收到外单位的现金投资</w:t>
      </w:r>
    </w:p>
    <w:p>
      <w:pPr>
        <w:numPr>
          <w:numId w:val="98"/>
        </w:numPr>
        <w:spacing w:before="120" w:after="120" w:line="288" w:lineRule="auto"/>
        <w:ind w:left="0"/>
        <w:jc w:val="left"/>
      </w:pPr>
      <w:r>
        <w:rPr>
          <w:rFonts w:eastAsia="等线" w:ascii="Arial" w:cs="Arial" w:hAnsi="Arial"/>
          <w:sz w:val="22"/>
        </w:rPr>
        <w:t>一般纳税人企业购入材料的采购成本的构成内容包括（</w:t>
      </w:r>
      <w:r>
        <w:rPr>
          <w:rFonts w:eastAsia="等线" w:ascii="Arial" w:cs="Arial" w:hAnsi="Arial"/>
          <w:b w:val="true"/>
          <w:sz w:val="22"/>
        </w:rPr>
        <w:t>AC</w:t>
      </w:r>
      <w:r>
        <w:rPr>
          <w:rFonts w:eastAsia="等线" w:ascii="Arial" w:cs="Arial" w:hAnsi="Arial"/>
          <w:sz w:val="22"/>
        </w:rPr>
        <w:t>）</w:t>
        <w:br/>
        <w:t>A.材料买价</w:t>
        <w:br/>
        <w:t>B.增值税进项税额</w:t>
        <w:br/>
        <w:t>C.采购费用</w:t>
        <w:br/>
        <w:t>D.采购人员差旅费</w:t>
        <w:br/>
      </w:r>
      <w:r>
        <w:rPr>
          <w:rFonts w:eastAsia="等线" w:ascii="Arial" w:cs="Arial" w:hAnsi="Arial"/>
          <w:sz w:val="22"/>
        </w:rPr>
        <w:t>E.销售机构经费</w:t>
      </w:r>
    </w:p>
    <w:p>
      <w:pPr>
        <w:numPr>
          <w:numId w:val="99"/>
        </w:numPr>
        <w:spacing w:before="120" w:after="120" w:line="288" w:lineRule="auto"/>
        <w:ind w:left="0"/>
        <w:jc w:val="left"/>
      </w:pPr>
      <w:r>
        <w:rPr>
          <w:rFonts w:eastAsia="等线" w:ascii="Arial" w:cs="Arial" w:hAnsi="Arial"/>
          <w:sz w:val="22"/>
        </w:rPr>
        <w:t>企业在采购材料过程中发生的下列费用中，不计入材料采购成本，而是列作管理费用的有（</w:t>
      </w:r>
      <w:r>
        <w:rPr>
          <w:rFonts w:eastAsia="等线" w:ascii="Arial" w:cs="Arial" w:hAnsi="Arial"/>
          <w:b w:val="true"/>
          <w:sz w:val="22"/>
        </w:rPr>
        <w:t>ABC</w:t>
      </w:r>
      <w:r>
        <w:rPr>
          <w:rFonts w:eastAsia="等线" w:ascii="Arial" w:cs="Arial" w:hAnsi="Arial"/>
          <w:sz w:val="22"/>
        </w:rPr>
        <w:t>）</w:t>
        <w:br/>
        <w:t>A.采购人员差旅费</w:t>
        <w:br/>
        <w:t>B.专设采购机构经费</w:t>
        <w:br/>
        <w:t>C.市内采购材料的零星运杂费</w:t>
        <w:br/>
        <w:t>D.运输途中的合理损耗</w:t>
        <w:br/>
      </w:r>
      <w:r>
        <w:rPr>
          <w:rFonts w:eastAsia="等线" w:ascii="Arial" w:cs="Arial" w:hAnsi="Arial"/>
          <w:sz w:val="22"/>
        </w:rPr>
        <w:t>E.外地运杂费</w:t>
      </w:r>
    </w:p>
    <w:p>
      <w:pPr>
        <w:numPr>
          <w:numId w:val="100"/>
        </w:numPr>
        <w:spacing w:before="120" w:after="120" w:line="288" w:lineRule="auto"/>
        <w:ind w:left="0"/>
        <w:jc w:val="left"/>
      </w:pPr>
      <w:r>
        <w:rPr>
          <w:rFonts w:eastAsia="等线" w:ascii="Arial" w:cs="Arial" w:hAnsi="Arial"/>
          <w:sz w:val="22"/>
        </w:rPr>
        <w:t>在材料采购业务核算时，与“在途物资”账户相对应的账户一般有（</w:t>
      </w:r>
      <w:r>
        <w:rPr>
          <w:rFonts w:eastAsia="等线" w:ascii="Arial" w:cs="Arial" w:hAnsi="Arial"/>
          <w:b w:val="true"/>
          <w:sz w:val="22"/>
        </w:rPr>
        <w:t>ABCD</w:t>
      </w:r>
      <w:r>
        <w:rPr>
          <w:rFonts w:eastAsia="等线" w:ascii="Arial" w:cs="Arial" w:hAnsi="Arial"/>
          <w:sz w:val="22"/>
        </w:rPr>
        <w:t>）</w:t>
        <w:br/>
        <w:t>A.“应付账款”账户</w:t>
        <w:br/>
        <w:t>B.“应付票据”账户</w:t>
        <w:br/>
        <w:t>C.“银行存款”账户</w:t>
        <w:br/>
        <w:t>D.“预付账款”账户</w:t>
        <w:br/>
      </w:r>
      <w:r>
        <w:rPr>
          <w:rFonts w:eastAsia="等线" w:ascii="Arial" w:cs="Arial" w:hAnsi="Arial"/>
          <w:sz w:val="22"/>
        </w:rPr>
        <w:t>E.“应交税费”账户</w:t>
      </w:r>
    </w:p>
    <w:p>
      <w:pPr>
        <w:numPr>
          <w:numId w:val="101"/>
        </w:numPr>
        <w:spacing w:before="120" w:after="120" w:line="288" w:lineRule="auto"/>
        <w:ind w:left="0"/>
        <w:jc w:val="left"/>
      </w:pPr>
      <w:r>
        <w:rPr>
          <w:rFonts w:eastAsia="等线" w:ascii="Arial" w:cs="Arial" w:hAnsi="Arial"/>
          <w:sz w:val="22"/>
        </w:rPr>
        <w:t>下列各项收入中，可能属于制造业企业其他业务收入的有（</w:t>
      </w:r>
      <w:r>
        <w:rPr>
          <w:rFonts w:eastAsia="等线" w:ascii="Arial" w:cs="Arial" w:hAnsi="Arial"/>
          <w:b w:val="true"/>
          <w:sz w:val="22"/>
        </w:rPr>
        <w:t>ABC</w:t>
      </w:r>
      <w:r>
        <w:rPr>
          <w:rFonts w:eastAsia="等线" w:ascii="Arial" w:cs="Arial" w:hAnsi="Arial"/>
          <w:sz w:val="22"/>
        </w:rPr>
        <w:t>）</w:t>
        <w:br/>
        <w:t>A.销售材料收入</w:t>
        <w:br/>
        <w:t>B.提供运输劳务获得的收入</w:t>
        <w:br/>
        <w:t>C.出租固定资产的资金收入</w:t>
        <w:br/>
        <w:t>D.出售固定资产的净收入</w:t>
        <w:br/>
      </w:r>
      <w:r>
        <w:rPr>
          <w:rFonts w:eastAsia="等线" w:ascii="Arial" w:cs="Arial" w:hAnsi="Arial"/>
          <w:sz w:val="22"/>
        </w:rPr>
        <w:t>E.出售无形资产所有权获得的收入</w:t>
      </w:r>
    </w:p>
    <w:p>
      <w:pPr>
        <w:numPr>
          <w:numId w:val="102"/>
        </w:numPr>
        <w:spacing w:before="120" w:after="120" w:line="288" w:lineRule="auto"/>
        <w:ind w:left="0"/>
        <w:jc w:val="left"/>
      </w:pPr>
      <w:r>
        <w:rPr>
          <w:rFonts w:eastAsia="等线" w:ascii="Arial" w:cs="Arial" w:hAnsi="Arial"/>
          <w:sz w:val="22"/>
        </w:rPr>
        <w:t>下列各项中，属于管理费用的是（</w:t>
      </w:r>
      <w:r>
        <w:rPr>
          <w:rFonts w:eastAsia="等线" w:ascii="Arial" w:cs="Arial" w:hAnsi="Arial"/>
          <w:b w:val="true"/>
          <w:sz w:val="22"/>
        </w:rPr>
        <w:t>ABD</w:t>
      </w:r>
      <w:r>
        <w:rPr>
          <w:rFonts w:eastAsia="等线" w:ascii="Arial" w:cs="Arial" w:hAnsi="Arial"/>
          <w:sz w:val="22"/>
        </w:rPr>
        <w:t>）</w:t>
        <w:br/>
        <w:t>A. 行政管理部门水电费</w:t>
        <w:br/>
        <w:t>B. 业务招待费</w:t>
        <w:br/>
        <w:t>C. 销售人员工资</w:t>
        <w:br/>
      </w:r>
      <w:r>
        <w:rPr>
          <w:rFonts w:eastAsia="等线" w:ascii="Arial" w:cs="Arial" w:hAnsi="Arial"/>
          <w:sz w:val="22"/>
        </w:rPr>
        <w:t>D. 企业筹建期间开办费</w:t>
      </w:r>
    </w:p>
    <w:p>
      <w:pPr>
        <w:numPr>
          <w:numId w:val="103"/>
        </w:numPr>
        <w:spacing w:before="120" w:after="120" w:line="288" w:lineRule="auto"/>
        <w:ind w:left="0"/>
        <w:jc w:val="left"/>
      </w:pPr>
      <w:r>
        <w:rPr>
          <w:rFonts w:eastAsia="等线" w:ascii="Arial" w:cs="Arial" w:hAnsi="Arial"/>
          <w:sz w:val="22"/>
        </w:rPr>
        <w:t>明细分类账的格式有三栏式、数量金额式、多栏式，相应地各适用于（</w:t>
      </w:r>
      <w:r>
        <w:rPr>
          <w:rFonts w:eastAsia="等线" w:ascii="Arial" w:cs="Arial" w:hAnsi="Arial"/>
          <w:b w:val="true"/>
          <w:sz w:val="22"/>
        </w:rPr>
        <w:t>ABC</w:t>
      </w:r>
      <w:r>
        <w:rPr>
          <w:rFonts w:eastAsia="等线" w:ascii="Arial" w:cs="Arial" w:hAnsi="Arial"/>
          <w:sz w:val="22"/>
        </w:rPr>
        <w:t>）</w:t>
        <w:br/>
        <w:t>A.债权债务明细账</w:t>
        <w:br/>
        <w:t>B.材料物资类明细账</w:t>
        <w:br/>
        <w:t>C.收入、费用成本式明细账</w:t>
        <w:br/>
      </w:r>
      <w:r>
        <w:rPr>
          <w:rFonts w:eastAsia="等线" w:ascii="Arial" w:cs="Arial" w:hAnsi="Arial"/>
          <w:sz w:val="22"/>
        </w:rPr>
        <w:t>D.卡片式明细账</w:t>
      </w:r>
    </w:p>
    <w:p>
      <w:pPr>
        <w:numPr>
          <w:numId w:val="104"/>
        </w:numPr>
        <w:spacing w:before="120" w:after="120" w:line="288" w:lineRule="auto"/>
        <w:ind w:left="0"/>
        <w:jc w:val="left"/>
      </w:pPr>
      <w:r>
        <w:rPr>
          <w:rFonts w:eastAsia="等线" w:ascii="Arial" w:cs="Arial" w:hAnsi="Arial"/>
          <w:sz w:val="22"/>
        </w:rPr>
        <w:t>下列说法中正确的有（</w:t>
      </w:r>
      <w:r>
        <w:rPr>
          <w:rFonts w:eastAsia="等线" w:ascii="Arial" w:cs="Arial" w:hAnsi="Arial"/>
          <w:b w:val="true"/>
          <w:sz w:val="22"/>
        </w:rPr>
        <w:t>ABC</w:t>
      </w:r>
      <w:r>
        <w:rPr>
          <w:rFonts w:eastAsia="等线" w:ascii="Arial" w:cs="Arial" w:hAnsi="Arial"/>
          <w:sz w:val="22"/>
        </w:rPr>
        <w:t>）</w:t>
        <w:br/>
        <w:t>A.库存现金日记账必须逐日逐笔登记</w:t>
        <w:br/>
        <w:t>B.银行存款日记账必须逐日逐笔登记</w:t>
        <w:br/>
        <w:t>C.总账必须定期汇总登记</w:t>
        <w:br/>
      </w:r>
      <w:r>
        <w:rPr>
          <w:rFonts w:eastAsia="等线" w:ascii="Arial" w:cs="Arial" w:hAnsi="Arial"/>
          <w:sz w:val="22"/>
        </w:rPr>
        <w:t>D.明细账必须逐日逐笔登记</w:t>
      </w:r>
    </w:p>
    <w:p>
      <w:pPr>
        <w:numPr>
          <w:numId w:val="105"/>
        </w:numPr>
        <w:spacing w:before="120" w:after="120" w:line="288" w:lineRule="auto"/>
        <w:ind w:left="0"/>
        <w:jc w:val="left"/>
      </w:pPr>
      <w:r>
        <w:rPr>
          <w:rFonts w:eastAsia="等线" w:ascii="Arial" w:cs="Arial" w:hAnsi="Arial"/>
          <w:sz w:val="22"/>
        </w:rPr>
        <w:t>登记会计账簿时应做到（</w:t>
      </w:r>
      <w:r>
        <w:rPr>
          <w:rFonts w:eastAsia="等线" w:ascii="Arial" w:cs="Arial" w:hAnsi="Arial"/>
          <w:b w:val="true"/>
          <w:sz w:val="22"/>
        </w:rPr>
        <w:t>ABC</w:t>
      </w:r>
      <w:r>
        <w:rPr>
          <w:rFonts w:eastAsia="等线" w:ascii="Arial" w:cs="Arial" w:hAnsi="Arial"/>
          <w:sz w:val="22"/>
        </w:rPr>
        <w:t>）</w:t>
        <w:br/>
        <w:t>A. 按规定使用蓝黑墨水钢笔书写</w:t>
        <w:br/>
        <w:t>B. 不得使用铅笔或圆珠笔书写</w:t>
        <w:br/>
        <w:t>C. 在某些特定条件下可以使用红色墨水笔</w:t>
        <w:br/>
      </w:r>
      <w:r>
        <w:rPr>
          <w:rFonts w:eastAsia="等线" w:ascii="Arial" w:cs="Arial" w:hAnsi="Arial"/>
          <w:sz w:val="22"/>
        </w:rPr>
        <w:t>D. 在某些特定条件下可以使用铅笔</w:t>
      </w:r>
    </w:p>
    <w:p>
      <w:pPr>
        <w:numPr>
          <w:numId w:val="106"/>
        </w:numPr>
        <w:spacing w:before="120" w:after="120" w:line="288" w:lineRule="auto"/>
        <w:ind w:left="0"/>
        <w:jc w:val="left"/>
      </w:pPr>
      <w:r>
        <w:rPr>
          <w:rFonts w:eastAsia="等线" w:ascii="Arial" w:cs="Arial" w:hAnsi="Arial"/>
          <w:sz w:val="22"/>
        </w:rPr>
        <w:t>财产清查按照清查范围可分为（</w:t>
      </w:r>
      <w:r>
        <w:rPr>
          <w:rFonts w:eastAsia="等线" w:ascii="Arial" w:cs="Arial" w:hAnsi="Arial"/>
          <w:b w:val="true"/>
          <w:sz w:val="22"/>
        </w:rPr>
        <w:t>AB</w:t>
      </w:r>
      <w:r>
        <w:rPr>
          <w:rFonts w:eastAsia="等线" w:ascii="Arial" w:cs="Arial" w:hAnsi="Arial"/>
          <w:sz w:val="22"/>
        </w:rPr>
        <w:t>）</w:t>
        <w:br/>
        <w:t>A.全面清查</w:t>
        <w:br/>
        <w:t>B.局部清查</w:t>
        <w:br/>
        <w:t>C.定期清查</w:t>
        <w:br/>
      </w:r>
      <w:r>
        <w:rPr>
          <w:rFonts w:eastAsia="等线" w:ascii="Arial" w:cs="Arial" w:hAnsi="Arial"/>
          <w:sz w:val="22"/>
        </w:rPr>
        <w:t>D.不定期清查</w:t>
      </w:r>
    </w:p>
    <w:p>
      <w:pPr>
        <w:numPr>
          <w:numId w:val="107"/>
        </w:numPr>
        <w:spacing w:before="120" w:after="120" w:line="288" w:lineRule="auto"/>
        <w:ind w:left="0"/>
        <w:jc w:val="left"/>
      </w:pPr>
      <w:r>
        <w:rPr>
          <w:rFonts w:eastAsia="等线" w:ascii="Arial" w:cs="Arial" w:hAnsi="Arial"/>
          <w:sz w:val="22"/>
        </w:rPr>
        <w:t>财产物资的盘存制度有（</w:t>
      </w:r>
      <w:r>
        <w:rPr>
          <w:rFonts w:eastAsia="等线" w:ascii="Arial" w:cs="Arial" w:hAnsi="Arial"/>
          <w:b w:val="true"/>
          <w:sz w:val="22"/>
        </w:rPr>
        <w:t>CD</w:t>
      </w:r>
      <w:r>
        <w:rPr>
          <w:rFonts w:eastAsia="等线" w:ascii="Arial" w:cs="Arial" w:hAnsi="Arial"/>
          <w:sz w:val="22"/>
        </w:rPr>
        <w:t>）</w:t>
        <w:br/>
        <w:t>A.收付实现制</w:t>
        <w:br/>
        <w:t>B.权责发生制</w:t>
        <w:br/>
        <w:t>C.永续盘存制</w:t>
        <w:br/>
      </w:r>
      <w:r>
        <w:rPr>
          <w:rFonts w:eastAsia="等线" w:ascii="Arial" w:cs="Arial" w:hAnsi="Arial"/>
          <w:sz w:val="22"/>
        </w:rPr>
        <w:t>D.实地盘存制</w:t>
      </w:r>
    </w:p>
    <w:p>
      <w:pPr>
        <w:numPr>
          <w:numId w:val="108"/>
        </w:numPr>
        <w:spacing w:before="120" w:after="120" w:line="288" w:lineRule="auto"/>
        <w:ind w:left="0"/>
        <w:jc w:val="left"/>
      </w:pPr>
      <w:r>
        <w:rPr>
          <w:rFonts w:eastAsia="等线" w:ascii="Arial" w:cs="Arial" w:hAnsi="Arial"/>
          <w:sz w:val="22"/>
        </w:rPr>
        <w:t>编制“银行余额调节表”时，计算调节后的余额应以企业银行存款日记账余额（</w:t>
      </w:r>
      <w:r>
        <w:rPr>
          <w:rFonts w:eastAsia="等线" w:ascii="Arial" w:cs="Arial" w:hAnsi="Arial"/>
          <w:b w:val="true"/>
          <w:sz w:val="22"/>
        </w:rPr>
        <w:t>AE</w:t>
      </w:r>
      <w:r>
        <w:rPr>
          <w:rFonts w:eastAsia="等线" w:ascii="Arial" w:cs="Arial" w:hAnsi="Arial"/>
          <w:sz w:val="22"/>
        </w:rPr>
        <w:t>）</w:t>
        <w:br/>
        <w:t>A. 加企业未入账的收入款项</w:t>
        <w:br/>
        <w:t>B.加银行未入账的收入款项</w:t>
        <w:br/>
        <w:t>C.加双方都未入账的收入款项</w:t>
        <w:br/>
        <w:t>D.加企业未入账的支出款项</w:t>
        <w:br/>
      </w:r>
      <w:r>
        <w:rPr>
          <w:rFonts w:eastAsia="等线" w:ascii="Arial" w:cs="Arial" w:hAnsi="Arial"/>
          <w:sz w:val="22"/>
        </w:rPr>
        <w:t>E.减企业未入账的支出款项</w:t>
      </w:r>
    </w:p>
    <w:p>
      <w:pPr>
        <w:numPr>
          <w:numId w:val="109"/>
        </w:numPr>
        <w:spacing w:before="120" w:after="120" w:line="288" w:lineRule="auto"/>
        <w:ind w:left="0"/>
        <w:jc w:val="left"/>
      </w:pPr>
      <w:r>
        <w:rPr>
          <w:rFonts w:eastAsia="等线" w:ascii="Arial" w:cs="Arial" w:hAnsi="Arial"/>
          <w:sz w:val="22"/>
        </w:rPr>
        <w:t>企业对外提供的财务报表包括（</w:t>
      </w:r>
      <w:r>
        <w:rPr>
          <w:rFonts w:eastAsia="等线" w:ascii="Arial" w:cs="Arial" w:hAnsi="Arial"/>
          <w:b w:val="true"/>
          <w:sz w:val="22"/>
        </w:rPr>
        <w:t>ABCD</w:t>
      </w:r>
      <w:r>
        <w:rPr>
          <w:rFonts w:eastAsia="等线" w:ascii="Arial" w:cs="Arial" w:hAnsi="Arial"/>
          <w:sz w:val="22"/>
        </w:rPr>
        <w:t>）</w:t>
        <w:br/>
        <w:t>A.资产负债表</w:t>
        <w:br/>
        <w:t>B.利润表</w:t>
        <w:br/>
        <w:t>C.现金流量表</w:t>
        <w:br/>
      </w:r>
      <w:r>
        <w:rPr>
          <w:rFonts w:eastAsia="等线" w:ascii="Arial" w:cs="Arial" w:hAnsi="Arial"/>
          <w:sz w:val="22"/>
        </w:rPr>
        <w:t>D.所有者权益变动表</w:t>
      </w:r>
    </w:p>
    <w:p>
      <w:pPr>
        <w:numPr>
          <w:numId w:val="110"/>
        </w:numPr>
        <w:spacing w:before="120" w:after="120" w:line="288" w:lineRule="auto"/>
        <w:ind w:left="0"/>
        <w:jc w:val="left"/>
      </w:pPr>
      <w:r>
        <w:rPr>
          <w:rFonts w:eastAsia="等线" w:ascii="Arial" w:cs="Arial" w:hAnsi="Arial"/>
          <w:sz w:val="22"/>
        </w:rPr>
        <w:t>一般而言，在下述（</w:t>
      </w:r>
      <w:r>
        <w:rPr>
          <w:rFonts w:eastAsia="等线" w:ascii="Arial" w:cs="Arial" w:hAnsi="Arial"/>
          <w:b w:val="true"/>
          <w:sz w:val="22"/>
        </w:rPr>
        <w:t>ABC</w:t>
      </w:r>
      <w:r>
        <w:rPr>
          <w:rFonts w:eastAsia="等线" w:ascii="Arial" w:cs="Arial" w:hAnsi="Arial"/>
          <w:sz w:val="22"/>
        </w:rPr>
        <w:t>）情况下，需要进行全面清查</w:t>
        <w:br/>
        <w:t>A. 年终决算之前</w:t>
        <w:br/>
        <w:t>B. 单位撤销、合并、联营、实行股份制改造或改变隶属关系时</w:t>
        <w:br/>
        <w:t>C. 清产核资时</w:t>
        <w:br/>
      </w:r>
      <w:r>
        <w:rPr>
          <w:rFonts w:eastAsia="等线" w:ascii="Arial" w:cs="Arial" w:hAnsi="Arial"/>
          <w:sz w:val="22"/>
        </w:rPr>
        <w:t>D. 实物保管人员因调动工作办理移交时</w:t>
      </w:r>
    </w:p>
    <w:p>
      <w:pPr>
        <w:numPr>
          <w:numId w:val="111"/>
        </w:numPr>
        <w:spacing w:before="120" w:after="120" w:line="288" w:lineRule="auto"/>
        <w:ind w:left="0"/>
        <w:jc w:val="left"/>
      </w:pPr>
      <w:r>
        <w:rPr>
          <w:rFonts w:eastAsia="等线" w:ascii="Arial" w:cs="Arial" w:hAnsi="Arial"/>
          <w:sz w:val="22"/>
        </w:rPr>
        <w:t>下列各项中，属于原始凭证审核内容的有（</w:t>
      </w:r>
      <w:r>
        <w:rPr>
          <w:rFonts w:eastAsia="等线" w:ascii="Arial" w:cs="Arial" w:hAnsi="Arial"/>
          <w:b w:val="true"/>
          <w:sz w:val="22"/>
        </w:rPr>
        <w:t>ABCD</w:t>
      </w:r>
      <w:r>
        <w:rPr>
          <w:rFonts w:eastAsia="等线" w:ascii="Arial" w:cs="Arial" w:hAnsi="Arial"/>
          <w:sz w:val="22"/>
        </w:rPr>
        <w:t>）</w:t>
        <w:br/>
        <w:t>A.合理性审核</w:t>
        <w:br/>
        <w:t>B.合法性审核</w:t>
        <w:br/>
        <w:t>C.完整性审核</w:t>
        <w:br/>
      </w:r>
      <w:r>
        <w:rPr>
          <w:rFonts w:eastAsia="等线" w:ascii="Arial" w:cs="Arial" w:hAnsi="Arial"/>
          <w:sz w:val="22"/>
        </w:rPr>
        <w:t>D.正确性审核</w:t>
      </w:r>
    </w:p>
    <w:p>
      <w:pPr>
        <w:numPr>
          <w:numId w:val="112"/>
        </w:numPr>
        <w:spacing w:before="120" w:after="120" w:line="288" w:lineRule="auto"/>
        <w:ind w:left="0"/>
        <w:jc w:val="left"/>
      </w:pPr>
      <w:r>
        <w:rPr>
          <w:rFonts w:eastAsia="等线" w:ascii="Arial" w:cs="Arial" w:hAnsi="Arial"/>
          <w:sz w:val="22"/>
        </w:rPr>
        <w:t>下列选项中，说法错误的是（</w:t>
      </w:r>
      <w:r>
        <w:rPr>
          <w:rFonts w:eastAsia="等线" w:ascii="Arial" w:cs="Arial" w:hAnsi="Arial"/>
          <w:b w:val="true"/>
          <w:sz w:val="22"/>
        </w:rPr>
        <w:t>ABCDE</w:t>
      </w:r>
      <w:r>
        <w:rPr>
          <w:rFonts w:eastAsia="等线" w:ascii="Arial" w:cs="Arial" w:hAnsi="Arial"/>
          <w:sz w:val="22"/>
        </w:rPr>
        <w:t>）</w:t>
        <w:br/>
        <w:t>A. 对于现金的清查，应将其结果及时填列在实存账存对比表中。</w:t>
        <w:br/>
        <w:t>B. 卡片式账簿的优点是能够避免账页散失，防止不合法地抽换账页。</w:t>
        <w:br/>
        <w:t>C. 采用红字更正法更正错账时，只需用红字填制一张与原分录相同的记账凭证即可。</w:t>
        <w:br/>
        <w:t>D. 企业购入材料而货款未付，其资产与负债会同时减少。</w:t>
        <w:br/>
      </w:r>
      <w:r>
        <w:rPr>
          <w:rFonts w:eastAsia="等线" w:ascii="Arial" w:cs="Arial" w:hAnsi="Arial"/>
          <w:sz w:val="22"/>
        </w:rPr>
        <w:t>E. 会计凭证的保管期限届满后，企业可以自行销毁所有凭证。</w:t>
      </w:r>
    </w:p>
    <w:p>
      <w:pPr>
        <w:numPr>
          <w:numId w:val="113"/>
        </w:numPr>
        <w:spacing w:before="120" w:after="120" w:line="288" w:lineRule="auto"/>
        <w:ind w:left="0"/>
        <w:jc w:val="left"/>
      </w:pPr>
      <w:r>
        <w:rPr>
          <w:rFonts w:eastAsia="等线" w:ascii="Arial" w:cs="Arial" w:hAnsi="Arial"/>
          <w:sz w:val="22"/>
        </w:rPr>
        <w:t>按照凭证所记录的经济业务是否与现金、银行存款有关，可将记账凭证分为（</w:t>
      </w:r>
      <w:r>
        <w:rPr>
          <w:rFonts w:eastAsia="等线" w:ascii="Arial" w:cs="Arial" w:hAnsi="Arial"/>
          <w:b w:val="true"/>
          <w:sz w:val="22"/>
        </w:rPr>
        <w:t>ABC</w:t>
      </w:r>
      <w:r>
        <w:rPr>
          <w:rFonts w:eastAsia="等线" w:ascii="Arial" w:cs="Arial" w:hAnsi="Arial"/>
          <w:sz w:val="22"/>
        </w:rPr>
        <w:t>）</w:t>
        <w:br/>
        <w:t>A. 收款凭证</w:t>
        <w:br/>
        <w:t>B. 付款凭证</w:t>
        <w:br/>
        <w:t>C. 转账凭证</w:t>
        <w:br/>
      </w:r>
      <w:r>
        <w:rPr>
          <w:rFonts w:eastAsia="等线" w:ascii="Arial" w:cs="Arial" w:hAnsi="Arial"/>
          <w:sz w:val="22"/>
        </w:rPr>
        <w:t>D. 原始凭证</w:t>
      </w:r>
    </w:p>
    <w:p>
      <w:pPr>
        <w:pStyle w:val="2"/>
        <w:spacing w:before="320" w:after="120" w:line="288" w:lineRule="auto"/>
        <w:ind w:left="0"/>
        <w:jc w:val="left"/>
        <w:outlineLvl w:val="1"/>
      </w:pPr>
      <w:bookmarkStart w:name="heading_3" w:id="3"/>
      <w:r>
        <w:rPr>
          <w:rFonts w:eastAsia="等线" w:ascii="Arial" w:cs="Arial" w:hAnsi="Arial"/>
          <w:b w:val="true"/>
          <w:sz w:val="32"/>
        </w:rPr>
        <w:t>三、判断</w:t>
      </w:r>
      <w:bookmarkEnd w:id="3"/>
    </w:p>
    <w:p>
      <w:pPr>
        <w:numPr>
          <w:numId w:val="114"/>
        </w:numPr>
        <w:spacing w:before="120" w:after="120" w:line="288" w:lineRule="auto"/>
        <w:ind w:left="0"/>
        <w:jc w:val="left"/>
      </w:pPr>
      <w:r>
        <w:rPr>
          <w:rFonts w:eastAsia="等线" w:ascii="Arial" w:cs="Arial" w:hAnsi="Arial"/>
          <w:sz w:val="22"/>
        </w:rPr>
        <w:t>会计反映具有连续性，而会计监督只具有强制性。（</w:t>
      </w:r>
      <w:r>
        <w:rPr>
          <w:rFonts w:eastAsia="等线" w:ascii="Arial" w:cs="Arial" w:hAnsi="Arial"/>
          <w:b w:val="true"/>
          <w:sz w:val="22"/>
        </w:rPr>
        <w:t>×</w:t>
      </w:r>
      <w:r>
        <w:rPr>
          <w:rFonts w:eastAsia="等线" w:ascii="Arial" w:cs="Arial" w:hAnsi="Arial"/>
          <w:sz w:val="22"/>
        </w:rPr>
        <w:t>）</w:t>
      </w:r>
    </w:p>
    <w:p>
      <w:pPr>
        <w:numPr>
          <w:numId w:val="115"/>
        </w:numPr>
        <w:spacing w:before="120" w:after="120" w:line="288" w:lineRule="auto"/>
        <w:ind w:left="0"/>
        <w:jc w:val="left"/>
      </w:pPr>
      <w:r>
        <w:rPr>
          <w:rFonts w:eastAsia="等线" w:ascii="Arial" w:cs="Arial" w:hAnsi="Arial"/>
          <w:sz w:val="22"/>
        </w:rPr>
        <w:t>“资产=负债+所有者权益”体现了企业资金运动过程中某一时期的资产分布和权益构成。（</w:t>
      </w:r>
      <w:r>
        <w:rPr>
          <w:rFonts w:eastAsia="等线" w:ascii="Arial" w:cs="Arial" w:hAnsi="Arial"/>
          <w:b w:val="true"/>
          <w:sz w:val="22"/>
        </w:rPr>
        <w:t>×</w:t>
      </w:r>
      <w:r>
        <w:rPr>
          <w:rFonts w:eastAsia="等线" w:ascii="Arial" w:cs="Arial" w:hAnsi="Arial"/>
          <w:sz w:val="22"/>
        </w:rPr>
        <w:t>）</w:t>
      </w:r>
    </w:p>
    <w:p>
      <w:pPr>
        <w:numPr>
          <w:numId w:val="116"/>
        </w:numPr>
        <w:spacing w:before="120" w:after="120" w:line="288" w:lineRule="auto"/>
        <w:ind w:left="0"/>
        <w:jc w:val="left"/>
      </w:pPr>
      <w:r>
        <w:rPr>
          <w:rFonts w:eastAsia="等线" w:ascii="Arial" w:cs="Arial" w:hAnsi="Arial"/>
          <w:sz w:val="22"/>
        </w:rPr>
        <w:t>复式记账属于会计对经济活动进行核算时所采用的主要方法。（</w:t>
      </w:r>
      <w:r>
        <w:rPr>
          <w:rFonts w:eastAsia="等线" w:ascii="Arial" w:cs="Arial" w:hAnsi="Arial"/>
          <w:b w:val="true"/>
          <w:sz w:val="22"/>
        </w:rPr>
        <w:t>√</w:t>
      </w:r>
      <w:r>
        <w:rPr>
          <w:rFonts w:eastAsia="等线" w:ascii="Arial" w:cs="Arial" w:hAnsi="Arial"/>
          <w:sz w:val="22"/>
        </w:rPr>
        <w:t>）</w:t>
      </w:r>
    </w:p>
    <w:p>
      <w:pPr>
        <w:numPr>
          <w:numId w:val="117"/>
        </w:numPr>
        <w:spacing w:before="120" w:after="120" w:line="288" w:lineRule="auto"/>
        <w:ind w:left="0"/>
        <w:jc w:val="left"/>
      </w:pPr>
      <w:r>
        <w:rPr>
          <w:rFonts w:eastAsia="等线" w:ascii="Arial" w:cs="Arial" w:hAnsi="Arial"/>
          <w:sz w:val="22"/>
        </w:rPr>
        <w:t>资产类账户期末应无余额。（</w:t>
      </w:r>
      <w:r>
        <w:rPr>
          <w:rFonts w:eastAsia="等线" w:ascii="Arial" w:cs="Arial" w:hAnsi="Arial"/>
          <w:b w:val="true"/>
          <w:sz w:val="22"/>
        </w:rPr>
        <w:t>×</w:t>
      </w:r>
      <w:r>
        <w:rPr>
          <w:rFonts w:eastAsia="等线" w:ascii="Arial" w:cs="Arial" w:hAnsi="Arial"/>
          <w:sz w:val="22"/>
        </w:rPr>
        <w:t>）</w:t>
      </w:r>
    </w:p>
    <w:p>
      <w:pPr>
        <w:numPr>
          <w:numId w:val="118"/>
        </w:numPr>
        <w:spacing w:before="120" w:after="120" w:line="288" w:lineRule="auto"/>
        <w:ind w:left="0"/>
        <w:jc w:val="left"/>
      </w:pPr>
      <w:r>
        <w:rPr>
          <w:rFonts w:eastAsia="等线" w:ascii="Arial" w:cs="Arial" w:hAnsi="Arial"/>
          <w:sz w:val="22"/>
        </w:rPr>
        <w:t>应付账款期末余额通常在贷方。（</w:t>
      </w:r>
      <w:r>
        <w:rPr>
          <w:rFonts w:eastAsia="等线" w:ascii="Arial" w:cs="Arial" w:hAnsi="Arial"/>
          <w:b w:val="true"/>
          <w:sz w:val="22"/>
        </w:rPr>
        <w:t>√</w:t>
      </w:r>
      <w:r>
        <w:rPr>
          <w:rFonts w:eastAsia="等线" w:ascii="Arial" w:cs="Arial" w:hAnsi="Arial"/>
          <w:sz w:val="22"/>
        </w:rPr>
        <w:t>）</w:t>
      </w:r>
    </w:p>
    <w:p>
      <w:pPr>
        <w:numPr>
          <w:numId w:val="119"/>
        </w:numPr>
        <w:spacing w:before="120" w:after="120" w:line="288" w:lineRule="auto"/>
        <w:ind w:left="0"/>
        <w:jc w:val="left"/>
      </w:pPr>
      <w:r>
        <w:rPr>
          <w:rFonts w:eastAsia="等线" w:ascii="Arial" w:cs="Arial" w:hAnsi="Arial"/>
          <w:sz w:val="22"/>
        </w:rPr>
        <w:t>对在银行存款清查时出现的未达账项，可编制“银行存款余额调节表”来调整，该表是调节账面余额的原始凭证。（</w:t>
      </w:r>
      <w:r>
        <w:rPr>
          <w:rFonts w:eastAsia="等线" w:ascii="Arial" w:cs="Arial" w:hAnsi="Arial"/>
          <w:b w:val="true"/>
          <w:sz w:val="22"/>
        </w:rPr>
        <w:t>×</w:t>
      </w:r>
      <w:r>
        <w:rPr>
          <w:rFonts w:eastAsia="等线" w:ascii="Arial" w:cs="Arial" w:hAnsi="Arial"/>
          <w:sz w:val="22"/>
        </w:rPr>
        <w:t>）</w:t>
      </w:r>
    </w:p>
    <w:p>
      <w:pPr>
        <w:numPr>
          <w:numId w:val="120"/>
        </w:numPr>
        <w:spacing w:before="120" w:after="120" w:line="288" w:lineRule="auto"/>
        <w:ind w:left="0"/>
        <w:jc w:val="left"/>
      </w:pPr>
      <w:r>
        <w:rPr>
          <w:rFonts w:eastAsia="等线" w:ascii="Arial" w:cs="Arial" w:hAnsi="Arial"/>
          <w:sz w:val="22"/>
        </w:rPr>
        <w:t>科目汇总表是根据专用记账凭证或通用记账凭证汇总编制而成的。（</w:t>
      </w:r>
      <w:r>
        <w:rPr>
          <w:rFonts w:eastAsia="等线" w:ascii="Arial" w:cs="Arial" w:hAnsi="Arial"/>
          <w:b w:val="true"/>
          <w:sz w:val="22"/>
        </w:rPr>
        <w:t>√</w:t>
      </w:r>
      <w:r>
        <w:rPr>
          <w:rFonts w:eastAsia="等线" w:ascii="Arial" w:cs="Arial" w:hAnsi="Arial"/>
          <w:sz w:val="22"/>
        </w:rPr>
        <w:t>）</w:t>
      </w:r>
    </w:p>
    <w:p>
      <w:pPr>
        <w:numPr>
          <w:numId w:val="121"/>
        </w:numPr>
        <w:spacing w:before="120" w:after="120" w:line="288" w:lineRule="auto"/>
        <w:ind w:left="0"/>
        <w:jc w:val="left"/>
      </w:pPr>
      <w:r>
        <w:rPr>
          <w:rFonts w:eastAsia="等线" w:ascii="Arial" w:cs="Arial" w:hAnsi="Arial"/>
          <w:sz w:val="22"/>
        </w:rPr>
        <w:t>按照权责发生制会计处理基础的要求，企业收到货币资金必定意味着本月收入的增加。（</w:t>
      </w:r>
      <w:r>
        <w:rPr>
          <w:rFonts w:eastAsia="等线" w:ascii="Arial" w:cs="Arial" w:hAnsi="Arial"/>
          <w:b w:val="true"/>
          <w:sz w:val="22"/>
        </w:rPr>
        <w:t>×</w:t>
      </w:r>
      <w:r>
        <w:rPr>
          <w:rFonts w:eastAsia="等线" w:ascii="Arial" w:cs="Arial" w:hAnsi="Arial"/>
          <w:sz w:val="22"/>
        </w:rPr>
        <w:t>）</w:t>
      </w:r>
    </w:p>
    <w:p>
      <w:pPr>
        <w:numPr>
          <w:numId w:val="122"/>
        </w:numPr>
        <w:spacing w:before="120" w:after="120" w:line="288" w:lineRule="auto"/>
        <w:ind w:left="0"/>
        <w:jc w:val="left"/>
      </w:pPr>
      <w:r>
        <w:rPr>
          <w:rFonts w:eastAsia="等线" w:ascii="Arial" w:cs="Arial" w:hAnsi="Arial"/>
          <w:sz w:val="22"/>
        </w:rPr>
        <w:t>企业将融资租入的固定资产视为自有固定资产进行核算，体现了实质重于形式原则。（</w:t>
      </w:r>
      <w:r>
        <w:rPr>
          <w:rFonts w:eastAsia="等线" w:ascii="Arial" w:cs="Arial" w:hAnsi="Arial"/>
          <w:b w:val="true"/>
          <w:sz w:val="22"/>
        </w:rPr>
        <w:t>√</w:t>
      </w:r>
      <w:r>
        <w:rPr>
          <w:rFonts w:eastAsia="等线" w:ascii="Arial" w:cs="Arial" w:hAnsi="Arial"/>
          <w:sz w:val="22"/>
        </w:rPr>
        <w:t>）</w:t>
      </w:r>
    </w:p>
    <w:p>
      <w:pPr>
        <w:numPr>
          <w:numId w:val="123"/>
        </w:numPr>
        <w:spacing w:before="120" w:after="120" w:line="288" w:lineRule="auto"/>
        <w:ind w:left="0"/>
        <w:jc w:val="left"/>
      </w:pPr>
      <w:r>
        <w:rPr>
          <w:rFonts w:eastAsia="等线" w:ascii="Arial" w:cs="Arial" w:hAnsi="Arial"/>
          <w:sz w:val="22"/>
        </w:rPr>
        <w:t>记账后，如果发现记账错误是由于记账凭证所列示的会计科目和金额错误引起的，可采用划线更正法。（</w:t>
      </w:r>
      <w:r>
        <w:rPr>
          <w:rFonts w:eastAsia="等线" w:ascii="Arial" w:cs="Arial" w:hAnsi="Arial"/>
          <w:b w:val="true"/>
          <w:sz w:val="22"/>
        </w:rPr>
        <w:t>×</w:t>
      </w:r>
      <w:r>
        <w:rPr>
          <w:rFonts w:eastAsia="等线" w:ascii="Arial" w:cs="Arial" w:hAnsi="Arial"/>
          <w:sz w:val="22"/>
        </w:rPr>
        <w:t>）</w:t>
      </w:r>
    </w:p>
    <w:p>
      <w:pPr>
        <w:numPr>
          <w:numId w:val="124"/>
        </w:numPr>
        <w:spacing w:before="120" w:after="120" w:line="288" w:lineRule="auto"/>
        <w:ind w:left="0"/>
        <w:jc w:val="left"/>
      </w:pPr>
      <w:r>
        <w:rPr>
          <w:rFonts w:eastAsia="等线" w:ascii="Arial" w:cs="Arial" w:hAnsi="Arial"/>
          <w:sz w:val="22"/>
        </w:rPr>
        <w:t>总分类账可采用三栏式账页，而明细分类账则应根据其经济业务的特点采用不同格式的账页。（</w:t>
      </w:r>
      <w:r>
        <w:rPr>
          <w:rFonts w:eastAsia="等线" w:ascii="Arial" w:cs="Arial" w:hAnsi="Arial"/>
          <w:b w:val="true"/>
          <w:sz w:val="22"/>
        </w:rPr>
        <w:t>√</w:t>
      </w:r>
      <w:r>
        <w:rPr>
          <w:rFonts w:eastAsia="等线" w:ascii="Arial" w:cs="Arial" w:hAnsi="Arial"/>
          <w:sz w:val="22"/>
        </w:rPr>
        <w:t>）</w:t>
      </w:r>
    </w:p>
    <w:p>
      <w:pPr>
        <w:numPr>
          <w:numId w:val="125"/>
        </w:numPr>
        <w:spacing w:before="120" w:after="120" w:line="288" w:lineRule="auto"/>
        <w:ind w:left="0"/>
        <w:jc w:val="left"/>
      </w:pPr>
      <w:r>
        <w:rPr>
          <w:rFonts w:eastAsia="等线" w:ascii="Arial" w:cs="Arial" w:hAnsi="Arial"/>
          <w:sz w:val="22"/>
        </w:rPr>
        <w:t>企业的财务会计报告分为年度、半年度、季度和月度财务会计报告。（</w:t>
      </w:r>
      <w:r>
        <w:rPr>
          <w:rFonts w:eastAsia="等线" w:ascii="Arial" w:cs="Arial" w:hAnsi="Arial"/>
          <w:b w:val="true"/>
          <w:sz w:val="22"/>
        </w:rPr>
        <w:t>√</w:t>
      </w:r>
      <w:r>
        <w:rPr>
          <w:rFonts w:eastAsia="等线" w:ascii="Arial" w:cs="Arial" w:hAnsi="Arial"/>
          <w:sz w:val="22"/>
        </w:rPr>
        <w:t>）</w:t>
      </w:r>
    </w:p>
    <w:p>
      <w:pPr>
        <w:numPr>
          <w:numId w:val="126"/>
        </w:numPr>
        <w:spacing w:before="120" w:after="120" w:line="288" w:lineRule="auto"/>
        <w:ind w:left="0"/>
        <w:jc w:val="left"/>
      </w:pPr>
      <w:r>
        <w:rPr>
          <w:rFonts w:eastAsia="等线" w:ascii="Arial" w:cs="Arial" w:hAnsi="Arial"/>
          <w:sz w:val="22"/>
        </w:rPr>
        <w:t>企业购买材料时产生的合理损耗应计入材料采购成本。（</w:t>
      </w:r>
      <w:r>
        <w:rPr>
          <w:rFonts w:eastAsia="等线" w:ascii="Arial" w:cs="Arial" w:hAnsi="Arial"/>
          <w:b w:val="true"/>
          <w:sz w:val="22"/>
        </w:rPr>
        <w:t>√</w:t>
      </w:r>
      <w:r>
        <w:rPr>
          <w:rFonts w:eastAsia="等线" w:ascii="Arial" w:cs="Arial" w:hAnsi="Arial"/>
          <w:sz w:val="22"/>
        </w:rPr>
        <w:t>）</w:t>
      </w:r>
    </w:p>
    <w:p>
      <w:pPr>
        <w:numPr>
          <w:numId w:val="127"/>
        </w:numPr>
        <w:spacing w:before="120" w:after="120" w:line="288" w:lineRule="auto"/>
        <w:ind w:left="0"/>
        <w:jc w:val="left"/>
      </w:pPr>
      <w:r>
        <w:rPr>
          <w:rFonts w:eastAsia="等线" w:ascii="Arial" w:cs="Arial" w:hAnsi="Arial"/>
          <w:sz w:val="22"/>
        </w:rPr>
        <w:t>总分类账的外表形式是数量金额式。（</w:t>
      </w:r>
      <w:r>
        <w:rPr>
          <w:rFonts w:eastAsia="等线" w:ascii="Arial" w:cs="Arial" w:hAnsi="Arial"/>
          <w:b w:val="true"/>
          <w:sz w:val="22"/>
        </w:rPr>
        <w:t>×</w:t>
      </w:r>
      <w:r>
        <w:rPr>
          <w:rFonts w:eastAsia="等线" w:ascii="Arial" w:cs="Arial" w:hAnsi="Arial"/>
          <w:sz w:val="22"/>
        </w:rPr>
        <w:t>）</w:t>
      </w:r>
    </w:p>
    <w:p>
      <w:pPr>
        <w:numPr>
          <w:numId w:val="128"/>
        </w:numPr>
        <w:spacing w:before="120" w:after="120" w:line="288" w:lineRule="auto"/>
        <w:ind w:left="0"/>
        <w:jc w:val="left"/>
      </w:pPr>
      <w:r>
        <w:rPr>
          <w:rFonts w:eastAsia="等线" w:ascii="Arial" w:cs="Arial" w:hAnsi="Arial"/>
          <w:sz w:val="22"/>
        </w:rPr>
        <w:t>复合会计分录是一借一贷的会计分录。（</w:t>
      </w:r>
      <w:r>
        <w:rPr>
          <w:rFonts w:eastAsia="等线" w:ascii="Arial" w:cs="Arial" w:hAnsi="Arial"/>
          <w:b w:val="true"/>
          <w:sz w:val="22"/>
        </w:rPr>
        <w:t>×</w:t>
      </w:r>
      <w:r>
        <w:rPr>
          <w:rFonts w:eastAsia="等线" w:ascii="Arial" w:cs="Arial" w:hAnsi="Arial"/>
          <w:sz w:val="22"/>
        </w:rPr>
        <w:t>）</w:t>
      </w:r>
    </w:p>
    <w:p>
      <w:pPr>
        <w:numPr>
          <w:numId w:val="129"/>
        </w:numPr>
        <w:spacing w:before="120" w:after="120" w:line="288" w:lineRule="auto"/>
        <w:ind w:left="0"/>
        <w:jc w:val="left"/>
      </w:pPr>
      <w:r>
        <w:rPr>
          <w:rFonts w:eastAsia="等线" w:ascii="Arial" w:cs="Arial" w:hAnsi="Arial"/>
          <w:sz w:val="22"/>
        </w:rPr>
        <w:t>“银行存款余额调节表”是原始凭证。（</w:t>
      </w:r>
      <w:r>
        <w:rPr>
          <w:rFonts w:eastAsia="等线" w:ascii="Arial" w:cs="Arial" w:hAnsi="Arial"/>
          <w:b w:val="true"/>
          <w:sz w:val="22"/>
        </w:rPr>
        <w:t>×</w:t>
      </w:r>
      <w:r>
        <w:rPr>
          <w:rFonts w:eastAsia="等线" w:ascii="Arial" w:cs="Arial" w:hAnsi="Arial"/>
          <w:sz w:val="22"/>
        </w:rPr>
        <w:t>）</w:t>
      </w:r>
    </w:p>
    <w:p>
      <w:pPr>
        <w:numPr>
          <w:numId w:val="130"/>
        </w:numPr>
        <w:spacing w:before="120" w:after="120" w:line="288" w:lineRule="auto"/>
        <w:ind w:left="0"/>
        <w:jc w:val="left"/>
      </w:pPr>
      <w:r>
        <w:rPr>
          <w:rFonts w:eastAsia="等线" w:ascii="Arial" w:cs="Arial" w:hAnsi="Arial"/>
          <w:sz w:val="22"/>
        </w:rPr>
        <w:t>收入源于日常活动，利得源于非日常活动。（</w:t>
      </w:r>
      <w:r>
        <w:rPr>
          <w:rFonts w:eastAsia="等线" w:ascii="Arial" w:cs="Arial" w:hAnsi="Arial"/>
          <w:b w:val="true"/>
          <w:sz w:val="22"/>
        </w:rPr>
        <w:t>√</w:t>
      </w:r>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依照我国企业会计准则的要求，资产负债表采用的格式是账户式。（</w:t>
      </w:r>
      <w:r>
        <w:rPr>
          <w:rFonts w:eastAsia="等线" w:ascii="Arial" w:cs="Arial" w:hAnsi="Arial"/>
          <w:b w:val="true"/>
          <w:sz w:val="22"/>
        </w:rPr>
        <w:t>√</w:t>
      </w:r>
      <w:r>
        <w:rPr>
          <w:rFonts w:eastAsia="等线" w:ascii="Arial" w:cs="Arial" w:hAnsi="Arial"/>
          <w:sz w:val="22"/>
        </w:rPr>
        <w:t>）</w:t>
      </w:r>
    </w:p>
    <w:p>
      <w:pPr>
        <w:numPr>
          <w:numId w:val="132"/>
        </w:numPr>
        <w:spacing w:before="120" w:after="120" w:line="288" w:lineRule="auto"/>
        <w:ind w:left="0"/>
        <w:jc w:val="left"/>
      </w:pPr>
      <w:r>
        <w:rPr>
          <w:rFonts w:eastAsia="等线" w:ascii="Arial" w:cs="Arial" w:hAnsi="Arial"/>
          <w:sz w:val="22"/>
        </w:rPr>
        <w:t>“交易性金融资产”属于资产负债表中“流动资产”项目。（</w:t>
      </w:r>
      <w:r>
        <w:rPr>
          <w:rFonts w:eastAsia="等线" w:ascii="Arial" w:cs="Arial" w:hAnsi="Arial"/>
          <w:b w:val="true"/>
          <w:sz w:val="22"/>
        </w:rPr>
        <w:t>√</w:t>
      </w:r>
      <w:r>
        <w:rPr>
          <w:rFonts w:eastAsia="等线" w:ascii="Arial" w:cs="Arial" w:hAnsi="Arial"/>
          <w:sz w:val="22"/>
        </w:rPr>
        <w:t>）</w:t>
      </w:r>
    </w:p>
    <w:p>
      <w:pPr>
        <w:numPr>
          <w:numId w:val="133"/>
        </w:numPr>
        <w:spacing w:before="120" w:after="120" w:line="288" w:lineRule="auto"/>
        <w:ind w:left="0"/>
        <w:jc w:val="left"/>
      </w:pPr>
      <w:r>
        <w:rPr>
          <w:rFonts w:eastAsia="等线" w:ascii="Arial" w:cs="Arial" w:hAnsi="Arial"/>
          <w:sz w:val="22"/>
        </w:rPr>
        <w:t>“累计折旧”账户是资产类账户，其期末余额在借方，反映固定资产的净值。（</w:t>
      </w:r>
      <w:r>
        <w:rPr>
          <w:rFonts w:eastAsia="等线" w:ascii="Arial" w:cs="Arial" w:hAnsi="Arial"/>
          <w:b w:val="true"/>
          <w:sz w:val="22"/>
        </w:rPr>
        <w:t>×</w:t>
      </w:r>
      <w:r>
        <w:rPr>
          <w:rFonts w:eastAsia="等线" w:ascii="Arial" w:cs="Arial" w:hAnsi="Arial"/>
          <w:sz w:val="22"/>
        </w:rPr>
        <w:t>）</w:t>
      </w:r>
    </w:p>
    <w:p>
      <w:pPr>
        <w:numPr>
          <w:numId w:val="134"/>
        </w:numPr>
        <w:spacing w:before="120" w:after="120" w:line="288" w:lineRule="auto"/>
        <w:ind w:left="0"/>
        <w:jc w:val="left"/>
      </w:pPr>
      <w:r>
        <w:rPr>
          <w:rFonts w:eastAsia="等线" w:ascii="Arial" w:cs="Arial" w:hAnsi="Arial"/>
          <w:sz w:val="22"/>
        </w:rPr>
        <w:t>资产负债表中的“货币资金”项目，应根据库存现金、银行存款、其他货币资金账户的期末余额填列。（</w:t>
      </w:r>
      <w:r>
        <w:rPr>
          <w:rFonts w:eastAsia="等线" w:ascii="Arial" w:cs="Arial" w:hAnsi="Arial"/>
          <w:b w:val="true"/>
          <w:sz w:val="22"/>
        </w:rPr>
        <w:t>√</w:t>
      </w:r>
      <w:r>
        <w:rPr>
          <w:rFonts w:eastAsia="等线" w:ascii="Arial" w:cs="Arial" w:hAnsi="Arial"/>
          <w:sz w:val="22"/>
        </w:rPr>
        <w:t>）</w:t>
      </w:r>
    </w:p>
    <w:p>
      <w:pPr>
        <w:numPr>
          <w:numId w:val="135"/>
        </w:numPr>
        <w:spacing w:before="120" w:after="120" w:line="288" w:lineRule="auto"/>
        <w:ind w:left="0"/>
        <w:jc w:val="left"/>
      </w:pPr>
      <w:r>
        <w:rPr>
          <w:rFonts w:eastAsia="等线" w:ascii="Arial" w:cs="Arial" w:hAnsi="Arial"/>
          <w:sz w:val="22"/>
        </w:rPr>
        <w:t>对于现金的清查，应将其结果及时填制现金盘点报告表。（</w:t>
      </w:r>
      <w:r>
        <w:rPr>
          <w:rFonts w:eastAsia="等线" w:ascii="Arial" w:cs="Arial" w:hAnsi="Arial"/>
          <w:b w:val="true"/>
          <w:sz w:val="22"/>
        </w:rPr>
        <w:t>√</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2947">
    <w:lvl>
      <w:start w:val="1"/>
      <w:numFmt w:val="decimal"/>
      <w:suff w:val="tab"/>
      <w:lvlText w:val="%1."/>
      <w:rPr>
        <w:color w:val="3370ff"/>
      </w:rPr>
    </w:lvl>
  </w:abstractNum>
  <w:abstractNum w:abstractNumId="862948">
    <w:lvl>
      <w:start w:val="2"/>
      <w:numFmt w:val="decimal"/>
      <w:suff w:val="tab"/>
      <w:lvlText w:val="%1."/>
      <w:rPr>
        <w:color w:val="3370ff"/>
      </w:rPr>
    </w:lvl>
  </w:abstractNum>
  <w:abstractNum w:abstractNumId="862949">
    <w:lvl>
      <w:start w:val="3"/>
      <w:numFmt w:val="decimal"/>
      <w:suff w:val="tab"/>
      <w:lvlText w:val="%1."/>
      <w:rPr>
        <w:color w:val="3370ff"/>
      </w:rPr>
    </w:lvl>
  </w:abstractNum>
  <w:abstractNum w:abstractNumId="862950">
    <w:lvl>
      <w:start w:val="4"/>
      <w:numFmt w:val="decimal"/>
      <w:suff w:val="tab"/>
      <w:lvlText w:val="%1."/>
      <w:rPr>
        <w:color w:val="3370ff"/>
      </w:rPr>
    </w:lvl>
  </w:abstractNum>
  <w:abstractNum w:abstractNumId="862951">
    <w:lvl>
      <w:start w:val="5"/>
      <w:numFmt w:val="decimal"/>
      <w:suff w:val="tab"/>
      <w:lvlText w:val="%1."/>
      <w:rPr>
        <w:color w:val="3370ff"/>
      </w:rPr>
    </w:lvl>
  </w:abstractNum>
  <w:abstractNum w:abstractNumId="862952">
    <w:lvl>
      <w:start w:val="6"/>
      <w:numFmt w:val="decimal"/>
      <w:suff w:val="tab"/>
      <w:lvlText w:val="%1."/>
      <w:rPr>
        <w:color w:val="3370ff"/>
      </w:rPr>
    </w:lvl>
  </w:abstractNum>
  <w:abstractNum w:abstractNumId="862953">
    <w:lvl>
      <w:start w:val="7"/>
      <w:numFmt w:val="decimal"/>
      <w:suff w:val="tab"/>
      <w:lvlText w:val="%1."/>
      <w:rPr>
        <w:color w:val="3370ff"/>
      </w:rPr>
    </w:lvl>
  </w:abstractNum>
  <w:abstractNum w:abstractNumId="862954">
    <w:lvl>
      <w:start w:val="8"/>
      <w:numFmt w:val="decimal"/>
      <w:suff w:val="tab"/>
      <w:lvlText w:val="%1."/>
      <w:rPr>
        <w:color w:val="3370ff"/>
      </w:rPr>
    </w:lvl>
  </w:abstractNum>
  <w:abstractNum w:abstractNumId="862955">
    <w:lvl>
      <w:start w:val="9"/>
      <w:numFmt w:val="decimal"/>
      <w:suff w:val="tab"/>
      <w:lvlText w:val="%1."/>
      <w:rPr>
        <w:color w:val="3370ff"/>
      </w:rPr>
    </w:lvl>
  </w:abstractNum>
  <w:abstractNum w:abstractNumId="862956">
    <w:lvl>
      <w:start w:val="10"/>
      <w:numFmt w:val="decimal"/>
      <w:suff w:val="tab"/>
      <w:lvlText w:val="%1."/>
      <w:rPr>
        <w:color w:val="3370ff"/>
      </w:rPr>
    </w:lvl>
  </w:abstractNum>
  <w:abstractNum w:abstractNumId="862957">
    <w:lvl>
      <w:start w:val="11"/>
      <w:numFmt w:val="decimal"/>
      <w:suff w:val="tab"/>
      <w:lvlText w:val="%1."/>
      <w:rPr>
        <w:color w:val="3370ff"/>
      </w:rPr>
    </w:lvl>
  </w:abstractNum>
  <w:abstractNum w:abstractNumId="862958">
    <w:lvl>
      <w:start w:val="12"/>
      <w:numFmt w:val="decimal"/>
      <w:suff w:val="tab"/>
      <w:lvlText w:val="%1."/>
      <w:rPr>
        <w:color w:val="3370ff"/>
      </w:rPr>
    </w:lvl>
  </w:abstractNum>
  <w:abstractNum w:abstractNumId="862959">
    <w:lvl>
      <w:start w:val="13"/>
      <w:numFmt w:val="decimal"/>
      <w:suff w:val="tab"/>
      <w:lvlText w:val="%1."/>
      <w:rPr>
        <w:color w:val="3370ff"/>
      </w:rPr>
    </w:lvl>
  </w:abstractNum>
  <w:abstractNum w:abstractNumId="862960">
    <w:lvl>
      <w:start w:val="14"/>
      <w:numFmt w:val="decimal"/>
      <w:suff w:val="tab"/>
      <w:lvlText w:val="%1."/>
      <w:rPr>
        <w:color w:val="3370ff"/>
      </w:rPr>
    </w:lvl>
  </w:abstractNum>
  <w:abstractNum w:abstractNumId="862961">
    <w:lvl>
      <w:start w:val="15"/>
      <w:numFmt w:val="decimal"/>
      <w:suff w:val="tab"/>
      <w:lvlText w:val="%1."/>
      <w:rPr>
        <w:color w:val="3370ff"/>
      </w:rPr>
    </w:lvl>
  </w:abstractNum>
  <w:abstractNum w:abstractNumId="862962">
    <w:lvl>
      <w:start w:val="16"/>
      <w:numFmt w:val="decimal"/>
      <w:suff w:val="tab"/>
      <w:lvlText w:val="%1."/>
      <w:rPr>
        <w:color w:val="3370ff"/>
      </w:rPr>
    </w:lvl>
  </w:abstractNum>
  <w:abstractNum w:abstractNumId="862963">
    <w:lvl>
      <w:start w:val="17"/>
      <w:numFmt w:val="decimal"/>
      <w:suff w:val="tab"/>
      <w:lvlText w:val="%1."/>
      <w:rPr>
        <w:color w:val="3370ff"/>
      </w:rPr>
    </w:lvl>
  </w:abstractNum>
  <w:abstractNum w:abstractNumId="862964">
    <w:lvl>
      <w:start w:val="18"/>
      <w:numFmt w:val="decimal"/>
      <w:suff w:val="tab"/>
      <w:lvlText w:val="%1."/>
      <w:rPr>
        <w:color w:val="3370ff"/>
      </w:rPr>
    </w:lvl>
  </w:abstractNum>
  <w:abstractNum w:abstractNumId="862965">
    <w:lvl>
      <w:start w:val="19"/>
      <w:numFmt w:val="decimal"/>
      <w:suff w:val="tab"/>
      <w:lvlText w:val="%1."/>
      <w:rPr>
        <w:color w:val="3370ff"/>
      </w:rPr>
    </w:lvl>
  </w:abstractNum>
  <w:abstractNum w:abstractNumId="862966">
    <w:lvl>
      <w:start w:val="20"/>
      <w:numFmt w:val="decimal"/>
      <w:suff w:val="tab"/>
      <w:lvlText w:val="%1."/>
      <w:rPr>
        <w:color w:val="3370ff"/>
      </w:rPr>
    </w:lvl>
  </w:abstractNum>
  <w:abstractNum w:abstractNumId="862967">
    <w:lvl>
      <w:start w:val="21"/>
      <w:numFmt w:val="decimal"/>
      <w:suff w:val="tab"/>
      <w:lvlText w:val="%1."/>
      <w:rPr>
        <w:color w:val="3370ff"/>
      </w:rPr>
    </w:lvl>
  </w:abstractNum>
  <w:abstractNum w:abstractNumId="862968">
    <w:lvl>
      <w:start w:val="22"/>
      <w:numFmt w:val="decimal"/>
      <w:suff w:val="tab"/>
      <w:lvlText w:val="%1."/>
      <w:rPr>
        <w:color w:val="3370ff"/>
      </w:rPr>
    </w:lvl>
  </w:abstractNum>
  <w:abstractNum w:abstractNumId="862969">
    <w:lvl>
      <w:start w:val="23"/>
      <w:numFmt w:val="decimal"/>
      <w:suff w:val="tab"/>
      <w:lvlText w:val="%1."/>
      <w:rPr>
        <w:color w:val="3370ff"/>
      </w:rPr>
    </w:lvl>
  </w:abstractNum>
  <w:abstractNum w:abstractNumId="862970">
    <w:lvl>
      <w:start w:val="24"/>
      <w:numFmt w:val="decimal"/>
      <w:suff w:val="tab"/>
      <w:lvlText w:val="%1."/>
      <w:rPr>
        <w:color w:val="3370ff"/>
      </w:rPr>
    </w:lvl>
  </w:abstractNum>
  <w:abstractNum w:abstractNumId="862971">
    <w:lvl>
      <w:start w:val="25"/>
      <w:numFmt w:val="decimal"/>
      <w:suff w:val="tab"/>
      <w:lvlText w:val="%1."/>
      <w:rPr>
        <w:color w:val="3370ff"/>
      </w:rPr>
    </w:lvl>
  </w:abstractNum>
  <w:abstractNum w:abstractNumId="862972">
    <w:lvl>
      <w:start w:val="26"/>
      <w:numFmt w:val="decimal"/>
      <w:suff w:val="tab"/>
      <w:lvlText w:val="%1."/>
      <w:rPr>
        <w:color w:val="3370ff"/>
      </w:rPr>
    </w:lvl>
  </w:abstractNum>
  <w:abstractNum w:abstractNumId="862973">
    <w:lvl>
      <w:start w:val="27"/>
      <w:numFmt w:val="decimal"/>
      <w:suff w:val="tab"/>
      <w:lvlText w:val="%1."/>
      <w:rPr>
        <w:color w:val="3370ff"/>
      </w:rPr>
    </w:lvl>
  </w:abstractNum>
  <w:abstractNum w:abstractNumId="862974">
    <w:lvl>
      <w:start w:val="28"/>
      <w:numFmt w:val="decimal"/>
      <w:suff w:val="tab"/>
      <w:lvlText w:val="%1."/>
      <w:rPr>
        <w:color w:val="3370ff"/>
      </w:rPr>
    </w:lvl>
  </w:abstractNum>
  <w:abstractNum w:abstractNumId="862975">
    <w:lvl>
      <w:start w:val="29"/>
      <w:numFmt w:val="decimal"/>
      <w:suff w:val="tab"/>
      <w:lvlText w:val="%1."/>
      <w:rPr>
        <w:color w:val="3370ff"/>
      </w:rPr>
    </w:lvl>
  </w:abstractNum>
  <w:abstractNum w:abstractNumId="862976">
    <w:lvl>
      <w:start w:val="30"/>
      <w:numFmt w:val="decimal"/>
      <w:suff w:val="tab"/>
      <w:lvlText w:val="%1."/>
      <w:rPr>
        <w:color w:val="3370ff"/>
      </w:rPr>
    </w:lvl>
  </w:abstractNum>
  <w:abstractNum w:abstractNumId="862977">
    <w:lvl>
      <w:start w:val="31"/>
      <w:numFmt w:val="decimal"/>
      <w:suff w:val="tab"/>
      <w:lvlText w:val="%1."/>
      <w:rPr>
        <w:color w:val="3370ff"/>
      </w:rPr>
    </w:lvl>
  </w:abstractNum>
  <w:abstractNum w:abstractNumId="862978">
    <w:lvl>
      <w:start w:val="32"/>
      <w:numFmt w:val="decimal"/>
      <w:suff w:val="tab"/>
      <w:lvlText w:val="%1."/>
      <w:rPr>
        <w:color w:val="3370ff"/>
      </w:rPr>
    </w:lvl>
  </w:abstractNum>
  <w:abstractNum w:abstractNumId="862979">
    <w:lvl>
      <w:start w:val="33"/>
      <w:numFmt w:val="decimal"/>
      <w:suff w:val="tab"/>
      <w:lvlText w:val="%1."/>
      <w:rPr>
        <w:color w:val="3370ff"/>
      </w:rPr>
    </w:lvl>
  </w:abstractNum>
  <w:abstractNum w:abstractNumId="862980">
    <w:lvl>
      <w:start w:val="34"/>
      <w:numFmt w:val="decimal"/>
      <w:suff w:val="tab"/>
      <w:lvlText w:val="%1."/>
      <w:rPr>
        <w:color w:val="3370ff"/>
      </w:rPr>
    </w:lvl>
  </w:abstractNum>
  <w:abstractNum w:abstractNumId="862981">
    <w:lvl>
      <w:start w:val="35"/>
      <w:numFmt w:val="decimal"/>
      <w:suff w:val="tab"/>
      <w:lvlText w:val="%1."/>
      <w:rPr>
        <w:color w:val="3370ff"/>
      </w:rPr>
    </w:lvl>
  </w:abstractNum>
  <w:abstractNum w:abstractNumId="862982">
    <w:lvl>
      <w:start w:val="36"/>
      <w:numFmt w:val="decimal"/>
      <w:suff w:val="tab"/>
      <w:lvlText w:val="%1."/>
      <w:rPr>
        <w:color w:val="3370ff"/>
      </w:rPr>
    </w:lvl>
  </w:abstractNum>
  <w:abstractNum w:abstractNumId="862983">
    <w:lvl>
      <w:start w:val="37"/>
      <w:numFmt w:val="decimal"/>
      <w:suff w:val="tab"/>
      <w:lvlText w:val="%1."/>
      <w:rPr>
        <w:color w:val="3370ff"/>
      </w:rPr>
    </w:lvl>
  </w:abstractNum>
  <w:abstractNum w:abstractNumId="862984">
    <w:lvl>
      <w:start w:val="38"/>
      <w:numFmt w:val="decimal"/>
      <w:suff w:val="tab"/>
      <w:lvlText w:val="%1."/>
      <w:rPr>
        <w:color w:val="3370ff"/>
      </w:rPr>
    </w:lvl>
  </w:abstractNum>
  <w:abstractNum w:abstractNumId="862985">
    <w:lvl>
      <w:start w:val="39"/>
      <w:numFmt w:val="decimal"/>
      <w:suff w:val="tab"/>
      <w:lvlText w:val="%1."/>
      <w:rPr>
        <w:color w:val="3370ff"/>
      </w:rPr>
    </w:lvl>
  </w:abstractNum>
  <w:abstractNum w:abstractNumId="862986">
    <w:lvl>
      <w:start w:val="40"/>
      <w:numFmt w:val="decimal"/>
      <w:suff w:val="tab"/>
      <w:lvlText w:val="%1."/>
      <w:rPr>
        <w:color w:val="3370ff"/>
      </w:rPr>
    </w:lvl>
  </w:abstractNum>
  <w:abstractNum w:abstractNumId="862987">
    <w:lvl>
      <w:start w:val="41"/>
      <w:numFmt w:val="decimal"/>
      <w:suff w:val="tab"/>
      <w:lvlText w:val="%1."/>
      <w:rPr>
        <w:color w:val="3370ff"/>
      </w:rPr>
    </w:lvl>
  </w:abstractNum>
  <w:abstractNum w:abstractNumId="862988">
    <w:lvl>
      <w:start w:val="42"/>
      <w:numFmt w:val="decimal"/>
      <w:suff w:val="tab"/>
      <w:lvlText w:val="%1."/>
      <w:rPr>
        <w:color w:val="3370ff"/>
      </w:rPr>
    </w:lvl>
  </w:abstractNum>
  <w:abstractNum w:abstractNumId="862989">
    <w:lvl>
      <w:start w:val="43"/>
      <w:numFmt w:val="decimal"/>
      <w:suff w:val="tab"/>
      <w:lvlText w:val="%1."/>
      <w:rPr>
        <w:color w:val="3370ff"/>
      </w:rPr>
    </w:lvl>
  </w:abstractNum>
  <w:abstractNum w:abstractNumId="862990">
    <w:lvl>
      <w:start w:val="44"/>
      <w:numFmt w:val="decimal"/>
      <w:suff w:val="tab"/>
      <w:lvlText w:val="%1."/>
      <w:rPr>
        <w:color w:val="3370ff"/>
      </w:rPr>
    </w:lvl>
  </w:abstractNum>
  <w:abstractNum w:abstractNumId="862991">
    <w:lvl>
      <w:start w:val="45"/>
      <w:numFmt w:val="decimal"/>
      <w:suff w:val="tab"/>
      <w:lvlText w:val="%1."/>
      <w:rPr>
        <w:color w:val="3370ff"/>
      </w:rPr>
    </w:lvl>
  </w:abstractNum>
  <w:abstractNum w:abstractNumId="862992">
    <w:lvl>
      <w:start w:val="46"/>
      <w:numFmt w:val="decimal"/>
      <w:suff w:val="tab"/>
      <w:lvlText w:val="%1."/>
      <w:rPr>
        <w:color w:val="3370ff"/>
      </w:rPr>
    </w:lvl>
  </w:abstractNum>
  <w:abstractNum w:abstractNumId="862993">
    <w:lvl>
      <w:start w:val="47"/>
      <w:numFmt w:val="decimal"/>
      <w:suff w:val="tab"/>
      <w:lvlText w:val="%1."/>
      <w:rPr>
        <w:color w:val="3370ff"/>
      </w:rPr>
    </w:lvl>
  </w:abstractNum>
  <w:abstractNum w:abstractNumId="862994">
    <w:lvl>
      <w:start w:val="48"/>
      <w:numFmt w:val="decimal"/>
      <w:suff w:val="tab"/>
      <w:lvlText w:val="%1."/>
      <w:rPr>
        <w:color w:val="3370ff"/>
      </w:rPr>
    </w:lvl>
  </w:abstractNum>
  <w:abstractNum w:abstractNumId="862995">
    <w:lvl>
      <w:start w:val="49"/>
      <w:numFmt w:val="decimal"/>
      <w:suff w:val="tab"/>
      <w:lvlText w:val="%1."/>
      <w:rPr>
        <w:color w:val="3370ff"/>
      </w:rPr>
    </w:lvl>
  </w:abstractNum>
  <w:abstractNum w:abstractNumId="862996">
    <w:lvl>
      <w:start w:val="50"/>
      <w:numFmt w:val="decimal"/>
      <w:suff w:val="tab"/>
      <w:lvlText w:val="%1."/>
      <w:rPr>
        <w:color w:val="3370ff"/>
      </w:rPr>
    </w:lvl>
  </w:abstractNum>
  <w:abstractNum w:abstractNumId="862997">
    <w:lvl>
      <w:start w:val="51"/>
      <w:numFmt w:val="decimal"/>
      <w:suff w:val="tab"/>
      <w:lvlText w:val="%1."/>
      <w:rPr>
        <w:color w:val="3370ff"/>
      </w:rPr>
    </w:lvl>
  </w:abstractNum>
  <w:abstractNum w:abstractNumId="862998">
    <w:lvl>
      <w:start w:val="52"/>
      <w:numFmt w:val="decimal"/>
      <w:suff w:val="tab"/>
      <w:lvlText w:val="%1."/>
      <w:rPr>
        <w:color w:val="3370ff"/>
      </w:rPr>
    </w:lvl>
  </w:abstractNum>
  <w:abstractNum w:abstractNumId="862999">
    <w:lvl>
      <w:start w:val="53"/>
      <w:numFmt w:val="decimal"/>
      <w:suff w:val="tab"/>
      <w:lvlText w:val="%1."/>
      <w:rPr>
        <w:color w:val="3370ff"/>
      </w:rPr>
    </w:lvl>
  </w:abstractNum>
  <w:abstractNum w:abstractNumId="863000">
    <w:lvl>
      <w:start w:val="54"/>
      <w:numFmt w:val="decimal"/>
      <w:suff w:val="tab"/>
      <w:lvlText w:val="%1."/>
      <w:rPr>
        <w:color w:val="3370ff"/>
      </w:rPr>
    </w:lvl>
  </w:abstractNum>
  <w:abstractNum w:abstractNumId="863001">
    <w:lvl>
      <w:start w:val="55"/>
      <w:numFmt w:val="decimal"/>
      <w:suff w:val="tab"/>
      <w:lvlText w:val="%1."/>
      <w:rPr>
        <w:color w:val="3370ff"/>
      </w:rPr>
    </w:lvl>
  </w:abstractNum>
  <w:abstractNum w:abstractNumId="863002">
    <w:lvl>
      <w:start w:val="56"/>
      <w:numFmt w:val="decimal"/>
      <w:suff w:val="tab"/>
      <w:lvlText w:val="%1."/>
      <w:rPr>
        <w:color w:val="3370ff"/>
      </w:rPr>
    </w:lvl>
  </w:abstractNum>
  <w:abstractNum w:abstractNumId="863003">
    <w:lvl>
      <w:start w:val="57"/>
      <w:numFmt w:val="decimal"/>
      <w:suff w:val="tab"/>
      <w:lvlText w:val="%1."/>
      <w:rPr>
        <w:color w:val="3370ff"/>
      </w:rPr>
    </w:lvl>
  </w:abstractNum>
  <w:abstractNum w:abstractNumId="863004">
    <w:lvl>
      <w:start w:val="58"/>
      <w:numFmt w:val="decimal"/>
      <w:suff w:val="tab"/>
      <w:lvlText w:val="%1."/>
      <w:rPr>
        <w:color w:val="3370ff"/>
      </w:rPr>
    </w:lvl>
  </w:abstractNum>
  <w:abstractNum w:abstractNumId="863005">
    <w:lvl>
      <w:start w:val="59"/>
      <w:numFmt w:val="decimal"/>
      <w:suff w:val="tab"/>
      <w:lvlText w:val="%1."/>
      <w:rPr>
        <w:color w:val="3370ff"/>
      </w:rPr>
    </w:lvl>
  </w:abstractNum>
  <w:abstractNum w:abstractNumId="863006">
    <w:lvl>
      <w:start w:val="60"/>
      <w:numFmt w:val="decimal"/>
      <w:suff w:val="tab"/>
      <w:lvlText w:val="%1."/>
      <w:rPr>
        <w:color w:val="3370ff"/>
      </w:rPr>
    </w:lvl>
  </w:abstractNum>
  <w:abstractNum w:abstractNumId="863007">
    <w:lvl>
      <w:start w:val="61"/>
      <w:numFmt w:val="decimal"/>
      <w:suff w:val="tab"/>
      <w:lvlText w:val="%1."/>
      <w:rPr>
        <w:color w:val="3370ff"/>
      </w:rPr>
    </w:lvl>
  </w:abstractNum>
  <w:abstractNum w:abstractNumId="863008">
    <w:lvl>
      <w:start w:val="62"/>
      <w:numFmt w:val="decimal"/>
      <w:suff w:val="tab"/>
      <w:lvlText w:val="%1."/>
      <w:rPr>
        <w:color w:val="3370ff"/>
      </w:rPr>
    </w:lvl>
  </w:abstractNum>
  <w:abstractNum w:abstractNumId="863009">
    <w:lvl>
      <w:start w:val="63"/>
      <w:numFmt w:val="decimal"/>
      <w:suff w:val="tab"/>
      <w:lvlText w:val="%1."/>
      <w:rPr>
        <w:color w:val="3370ff"/>
      </w:rPr>
    </w:lvl>
  </w:abstractNum>
  <w:abstractNum w:abstractNumId="863010">
    <w:lvl>
      <w:start w:val="64"/>
      <w:numFmt w:val="decimal"/>
      <w:suff w:val="tab"/>
      <w:lvlText w:val="%1."/>
      <w:rPr>
        <w:color w:val="3370ff"/>
      </w:rPr>
    </w:lvl>
  </w:abstractNum>
  <w:abstractNum w:abstractNumId="863011">
    <w:lvl>
      <w:start w:val="65"/>
      <w:numFmt w:val="decimal"/>
      <w:suff w:val="tab"/>
      <w:lvlText w:val="%1."/>
      <w:rPr>
        <w:color w:val="3370ff"/>
      </w:rPr>
    </w:lvl>
  </w:abstractNum>
  <w:abstractNum w:abstractNumId="863012">
    <w:lvl>
      <w:start w:val="66"/>
      <w:numFmt w:val="decimal"/>
      <w:suff w:val="tab"/>
      <w:lvlText w:val="%1."/>
      <w:rPr>
        <w:color w:val="3370ff"/>
      </w:rPr>
    </w:lvl>
  </w:abstractNum>
  <w:abstractNum w:abstractNumId="863013">
    <w:lvl>
      <w:start w:val="67"/>
      <w:numFmt w:val="decimal"/>
      <w:suff w:val="tab"/>
      <w:lvlText w:val="%1."/>
      <w:rPr>
        <w:color w:val="3370ff"/>
      </w:rPr>
    </w:lvl>
  </w:abstractNum>
  <w:abstractNum w:abstractNumId="863014">
    <w:lvl>
      <w:start w:val="68"/>
      <w:numFmt w:val="decimal"/>
      <w:suff w:val="tab"/>
      <w:lvlText w:val="%1."/>
      <w:rPr>
        <w:color w:val="3370ff"/>
      </w:rPr>
    </w:lvl>
  </w:abstractNum>
  <w:abstractNum w:abstractNumId="863015">
    <w:lvl>
      <w:start w:val="69"/>
      <w:numFmt w:val="decimal"/>
      <w:suff w:val="tab"/>
      <w:lvlText w:val="%1."/>
      <w:rPr>
        <w:color w:val="3370ff"/>
      </w:rPr>
    </w:lvl>
  </w:abstractNum>
  <w:abstractNum w:abstractNumId="863016">
    <w:lvl>
      <w:start w:val="70"/>
      <w:numFmt w:val="decimal"/>
      <w:suff w:val="tab"/>
      <w:lvlText w:val="%1."/>
      <w:rPr>
        <w:color w:val="3370ff"/>
      </w:rPr>
    </w:lvl>
  </w:abstractNum>
  <w:abstractNum w:abstractNumId="863017">
    <w:lvl>
      <w:start w:val="71"/>
      <w:numFmt w:val="decimal"/>
      <w:suff w:val="tab"/>
      <w:lvlText w:val="%1."/>
      <w:rPr>
        <w:color w:val="3370ff"/>
      </w:rPr>
    </w:lvl>
  </w:abstractNum>
  <w:abstractNum w:abstractNumId="863018">
    <w:lvl>
      <w:start w:val="72"/>
      <w:numFmt w:val="decimal"/>
      <w:suff w:val="tab"/>
      <w:lvlText w:val="%1."/>
      <w:rPr>
        <w:color w:val="3370ff"/>
      </w:rPr>
    </w:lvl>
  </w:abstractNum>
  <w:abstractNum w:abstractNumId="863019">
    <w:lvl>
      <w:start w:val="1"/>
      <w:numFmt w:val="decimal"/>
      <w:suff w:val="tab"/>
      <w:lvlText w:val="%1."/>
      <w:rPr>
        <w:color w:val="3370ff"/>
      </w:rPr>
    </w:lvl>
  </w:abstractNum>
  <w:abstractNum w:abstractNumId="863020">
    <w:lvl>
      <w:start w:val="2"/>
      <w:numFmt w:val="decimal"/>
      <w:suff w:val="tab"/>
      <w:lvlText w:val="%1."/>
      <w:rPr>
        <w:color w:val="3370ff"/>
      </w:rPr>
    </w:lvl>
  </w:abstractNum>
  <w:abstractNum w:abstractNumId="863021">
    <w:lvl>
      <w:start w:val="3"/>
      <w:numFmt w:val="decimal"/>
      <w:suff w:val="tab"/>
      <w:lvlText w:val="%1."/>
      <w:rPr>
        <w:color w:val="3370ff"/>
      </w:rPr>
    </w:lvl>
  </w:abstractNum>
  <w:abstractNum w:abstractNumId="863022">
    <w:lvl>
      <w:start w:val="4"/>
      <w:numFmt w:val="decimal"/>
      <w:suff w:val="tab"/>
      <w:lvlText w:val="%1."/>
      <w:rPr>
        <w:color w:val="3370ff"/>
      </w:rPr>
    </w:lvl>
  </w:abstractNum>
  <w:abstractNum w:abstractNumId="863023">
    <w:lvl>
      <w:start w:val="5"/>
      <w:numFmt w:val="decimal"/>
      <w:suff w:val="tab"/>
      <w:lvlText w:val="%1."/>
      <w:rPr>
        <w:color w:val="3370ff"/>
      </w:rPr>
    </w:lvl>
  </w:abstractNum>
  <w:abstractNum w:abstractNumId="863024">
    <w:lvl>
      <w:start w:val="6"/>
      <w:numFmt w:val="decimal"/>
      <w:suff w:val="tab"/>
      <w:lvlText w:val="%1."/>
      <w:rPr>
        <w:color w:val="3370ff"/>
      </w:rPr>
    </w:lvl>
  </w:abstractNum>
  <w:abstractNum w:abstractNumId="863025">
    <w:lvl>
      <w:start w:val="7"/>
      <w:numFmt w:val="decimal"/>
      <w:suff w:val="tab"/>
      <w:lvlText w:val="%1."/>
      <w:rPr>
        <w:color w:val="3370ff"/>
      </w:rPr>
    </w:lvl>
  </w:abstractNum>
  <w:abstractNum w:abstractNumId="863026">
    <w:lvl>
      <w:start w:val="8"/>
      <w:numFmt w:val="decimal"/>
      <w:suff w:val="tab"/>
      <w:lvlText w:val="%1."/>
      <w:rPr>
        <w:color w:val="3370ff"/>
      </w:rPr>
    </w:lvl>
  </w:abstractNum>
  <w:abstractNum w:abstractNumId="863027">
    <w:lvl>
      <w:start w:val="9"/>
      <w:numFmt w:val="decimal"/>
      <w:suff w:val="tab"/>
      <w:lvlText w:val="%1."/>
      <w:rPr>
        <w:color w:val="3370ff"/>
      </w:rPr>
    </w:lvl>
  </w:abstractNum>
  <w:abstractNum w:abstractNumId="863028">
    <w:lvl>
      <w:start w:val="10"/>
      <w:numFmt w:val="decimal"/>
      <w:suff w:val="tab"/>
      <w:lvlText w:val="%1."/>
      <w:rPr>
        <w:color w:val="3370ff"/>
      </w:rPr>
    </w:lvl>
  </w:abstractNum>
  <w:abstractNum w:abstractNumId="863029">
    <w:lvl>
      <w:start w:val="11"/>
      <w:numFmt w:val="decimal"/>
      <w:suff w:val="tab"/>
      <w:lvlText w:val="%1."/>
      <w:rPr>
        <w:color w:val="3370ff"/>
      </w:rPr>
    </w:lvl>
  </w:abstractNum>
  <w:abstractNum w:abstractNumId="863030">
    <w:lvl>
      <w:start w:val="12"/>
      <w:numFmt w:val="decimal"/>
      <w:suff w:val="tab"/>
      <w:lvlText w:val="%1."/>
      <w:rPr>
        <w:color w:val="3370ff"/>
      </w:rPr>
    </w:lvl>
  </w:abstractNum>
  <w:abstractNum w:abstractNumId="863031">
    <w:lvl>
      <w:start w:val="13"/>
      <w:numFmt w:val="decimal"/>
      <w:suff w:val="tab"/>
      <w:lvlText w:val="%1."/>
      <w:rPr>
        <w:color w:val="3370ff"/>
      </w:rPr>
    </w:lvl>
  </w:abstractNum>
  <w:abstractNum w:abstractNumId="863032">
    <w:lvl>
      <w:start w:val="14"/>
      <w:numFmt w:val="decimal"/>
      <w:suff w:val="tab"/>
      <w:lvlText w:val="%1."/>
      <w:rPr>
        <w:color w:val="3370ff"/>
      </w:rPr>
    </w:lvl>
  </w:abstractNum>
  <w:abstractNum w:abstractNumId="863033">
    <w:lvl>
      <w:start w:val="15"/>
      <w:numFmt w:val="decimal"/>
      <w:suff w:val="tab"/>
      <w:lvlText w:val="%1."/>
      <w:rPr>
        <w:color w:val="3370ff"/>
      </w:rPr>
    </w:lvl>
  </w:abstractNum>
  <w:abstractNum w:abstractNumId="863034">
    <w:lvl>
      <w:start w:val="16"/>
      <w:numFmt w:val="decimal"/>
      <w:suff w:val="tab"/>
      <w:lvlText w:val="%1."/>
      <w:rPr>
        <w:color w:val="3370ff"/>
      </w:rPr>
    </w:lvl>
  </w:abstractNum>
  <w:abstractNum w:abstractNumId="863035">
    <w:lvl>
      <w:start w:val="17"/>
      <w:numFmt w:val="decimal"/>
      <w:suff w:val="tab"/>
      <w:lvlText w:val="%1."/>
      <w:rPr>
        <w:color w:val="3370ff"/>
      </w:rPr>
    </w:lvl>
  </w:abstractNum>
  <w:abstractNum w:abstractNumId="863036">
    <w:lvl>
      <w:start w:val="18"/>
      <w:numFmt w:val="decimal"/>
      <w:suff w:val="tab"/>
      <w:lvlText w:val="%1."/>
      <w:rPr>
        <w:color w:val="3370ff"/>
      </w:rPr>
    </w:lvl>
  </w:abstractNum>
  <w:abstractNum w:abstractNumId="863037">
    <w:lvl>
      <w:start w:val="19"/>
      <w:numFmt w:val="decimal"/>
      <w:suff w:val="tab"/>
      <w:lvlText w:val="%1."/>
      <w:rPr>
        <w:color w:val="3370ff"/>
      </w:rPr>
    </w:lvl>
  </w:abstractNum>
  <w:abstractNum w:abstractNumId="863038">
    <w:lvl>
      <w:start w:val="20"/>
      <w:numFmt w:val="decimal"/>
      <w:suff w:val="tab"/>
      <w:lvlText w:val="%1."/>
      <w:rPr>
        <w:color w:val="3370ff"/>
      </w:rPr>
    </w:lvl>
  </w:abstractNum>
  <w:abstractNum w:abstractNumId="863039">
    <w:lvl>
      <w:start w:val="21"/>
      <w:numFmt w:val="decimal"/>
      <w:suff w:val="tab"/>
      <w:lvlText w:val="%1."/>
      <w:rPr>
        <w:color w:val="3370ff"/>
      </w:rPr>
    </w:lvl>
  </w:abstractNum>
  <w:abstractNum w:abstractNumId="863040">
    <w:lvl>
      <w:start w:val="22"/>
      <w:numFmt w:val="decimal"/>
      <w:suff w:val="tab"/>
      <w:lvlText w:val="%1."/>
      <w:rPr>
        <w:color w:val="3370ff"/>
      </w:rPr>
    </w:lvl>
  </w:abstractNum>
  <w:abstractNum w:abstractNumId="863041">
    <w:lvl>
      <w:start w:val="23"/>
      <w:numFmt w:val="decimal"/>
      <w:suff w:val="tab"/>
      <w:lvlText w:val="%1."/>
      <w:rPr>
        <w:color w:val="3370ff"/>
      </w:rPr>
    </w:lvl>
  </w:abstractNum>
  <w:abstractNum w:abstractNumId="863042">
    <w:lvl>
      <w:start w:val="24"/>
      <w:numFmt w:val="decimal"/>
      <w:suff w:val="tab"/>
      <w:lvlText w:val="%1."/>
      <w:rPr>
        <w:color w:val="3370ff"/>
      </w:rPr>
    </w:lvl>
  </w:abstractNum>
  <w:abstractNum w:abstractNumId="863043">
    <w:lvl>
      <w:start w:val="25"/>
      <w:numFmt w:val="decimal"/>
      <w:suff w:val="tab"/>
      <w:lvlText w:val="%1."/>
      <w:rPr>
        <w:color w:val="3370ff"/>
      </w:rPr>
    </w:lvl>
  </w:abstractNum>
  <w:abstractNum w:abstractNumId="863044">
    <w:lvl>
      <w:start w:val="26"/>
      <w:numFmt w:val="decimal"/>
      <w:suff w:val="tab"/>
      <w:lvlText w:val="%1."/>
      <w:rPr>
        <w:color w:val="3370ff"/>
      </w:rPr>
    </w:lvl>
  </w:abstractNum>
  <w:abstractNum w:abstractNumId="863045">
    <w:lvl>
      <w:start w:val="27"/>
      <w:numFmt w:val="decimal"/>
      <w:suff w:val="tab"/>
      <w:lvlText w:val="%1."/>
      <w:rPr>
        <w:color w:val="3370ff"/>
      </w:rPr>
    </w:lvl>
  </w:abstractNum>
  <w:abstractNum w:abstractNumId="863046">
    <w:lvl>
      <w:start w:val="28"/>
      <w:numFmt w:val="decimal"/>
      <w:suff w:val="tab"/>
      <w:lvlText w:val="%1."/>
      <w:rPr>
        <w:color w:val="3370ff"/>
      </w:rPr>
    </w:lvl>
  </w:abstractNum>
  <w:abstractNum w:abstractNumId="863047">
    <w:lvl>
      <w:start w:val="29"/>
      <w:numFmt w:val="decimal"/>
      <w:suff w:val="tab"/>
      <w:lvlText w:val="%1."/>
      <w:rPr>
        <w:color w:val="3370ff"/>
      </w:rPr>
    </w:lvl>
  </w:abstractNum>
  <w:abstractNum w:abstractNumId="863048">
    <w:lvl>
      <w:start w:val="30"/>
      <w:numFmt w:val="decimal"/>
      <w:suff w:val="tab"/>
      <w:lvlText w:val="%1."/>
      <w:rPr>
        <w:color w:val="3370ff"/>
      </w:rPr>
    </w:lvl>
  </w:abstractNum>
  <w:abstractNum w:abstractNumId="863049">
    <w:lvl>
      <w:start w:val="31"/>
      <w:numFmt w:val="decimal"/>
      <w:suff w:val="tab"/>
      <w:lvlText w:val="%1."/>
      <w:rPr>
        <w:color w:val="3370ff"/>
      </w:rPr>
    </w:lvl>
  </w:abstractNum>
  <w:abstractNum w:abstractNumId="863050">
    <w:lvl>
      <w:start w:val="32"/>
      <w:numFmt w:val="decimal"/>
      <w:suff w:val="tab"/>
      <w:lvlText w:val="%1."/>
      <w:rPr>
        <w:color w:val="3370ff"/>
      </w:rPr>
    </w:lvl>
  </w:abstractNum>
  <w:abstractNum w:abstractNumId="863051">
    <w:lvl>
      <w:start w:val="33"/>
      <w:numFmt w:val="decimal"/>
      <w:suff w:val="tab"/>
      <w:lvlText w:val="%1."/>
      <w:rPr>
        <w:color w:val="3370ff"/>
      </w:rPr>
    </w:lvl>
  </w:abstractNum>
  <w:abstractNum w:abstractNumId="863052">
    <w:lvl>
      <w:start w:val="34"/>
      <w:numFmt w:val="decimal"/>
      <w:suff w:val="tab"/>
      <w:lvlText w:val="%1."/>
      <w:rPr>
        <w:color w:val="3370ff"/>
      </w:rPr>
    </w:lvl>
  </w:abstractNum>
  <w:abstractNum w:abstractNumId="863053">
    <w:lvl>
      <w:start w:val="35"/>
      <w:numFmt w:val="decimal"/>
      <w:suff w:val="tab"/>
      <w:lvlText w:val="%1."/>
      <w:rPr>
        <w:color w:val="3370ff"/>
      </w:rPr>
    </w:lvl>
  </w:abstractNum>
  <w:abstractNum w:abstractNumId="863054">
    <w:lvl>
      <w:start w:val="36"/>
      <w:numFmt w:val="decimal"/>
      <w:suff w:val="tab"/>
      <w:lvlText w:val="%1."/>
      <w:rPr>
        <w:color w:val="3370ff"/>
      </w:rPr>
    </w:lvl>
  </w:abstractNum>
  <w:abstractNum w:abstractNumId="863055">
    <w:lvl>
      <w:start w:val="37"/>
      <w:numFmt w:val="decimal"/>
      <w:suff w:val="tab"/>
      <w:lvlText w:val="%1."/>
      <w:rPr>
        <w:color w:val="3370ff"/>
      </w:rPr>
    </w:lvl>
  </w:abstractNum>
  <w:abstractNum w:abstractNumId="863056">
    <w:lvl>
      <w:start w:val="38"/>
      <w:numFmt w:val="decimal"/>
      <w:suff w:val="tab"/>
      <w:lvlText w:val="%1."/>
      <w:rPr>
        <w:color w:val="3370ff"/>
      </w:rPr>
    </w:lvl>
  </w:abstractNum>
  <w:abstractNum w:abstractNumId="863057">
    <w:lvl>
      <w:start w:val="39"/>
      <w:numFmt w:val="decimal"/>
      <w:suff w:val="tab"/>
      <w:lvlText w:val="%1."/>
      <w:rPr>
        <w:color w:val="3370ff"/>
      </w:rPr>
    </w:lvl>
  </w:abstractNum>
  <w:abstractNum w:abstractNumId="863058">
    <w:lvl>
      <w:start w:val="40"/>
      <w:numFmt w:val="decimal"/>
      <w:suff w:val="tab"/>
      <w:lvlText w:val="%1."/>
      <w:rPr>
        <w:color w:val="3370ff"/>
      </w:rPr>
    </w:lvl>
  </w:abstractNum>
  <w:abstractNum w:abstractNumId="863059">
    <w:lvl>
      <w:start w:val="41"/>
      <w:numFmt w:val="decimal"/>
      <w:suff w:val="tab"/>
      <w:lvlText w:val="%1."/>
      <w:rPr>
        <w:color w:val="3370ff"/>
      </w:rPr>
    </w:lvl>
  </w:abstractNum>
  <w:abstractNum w:abstractNumId="863060">
    <w:lvl>
      <w:start w:val="1"/>
      <w:numFmt w:val="decimal"/>
      <w:suff w:val="tab"/>
      <w:lvlText w:val="%1."/>
      <w:rPr>
        <w:color w:val="3370ff"/>
      </w:rPr>
    </w:lvl>
  </w:abstractNum>
  <w:abstractNum w:abstractNumId="863061">
    <w:lvl>
      <w:start w:val="2"/>
      <w:numFmt w:val="decimal"/>
      <w:suff w:val="tab"/>
      <w:lvlText w:val="%1."/>
      <w:rPr>
        <w:color w:val="3370ff"/>
      </w:rPr>
    </w:lvl>
  </w:abstractNum>
  <w:abstractNum w:abstractNumId="863062">
    <w:lvl>
      <w:start w:val="3"/>
      <w:numFmt w:val="decimal"/>
      <w:suff w:val="tab"/>
      <w:lvlText w:val="%1."/>
      <w:rPr>
        <w:color w:val="3370ff"/>
      </w:rPr>
    </w:lvl>
  </w:abstractNum>
  <w:abstractNum w:abstractNumId="863063">
    <w:lvl>
      <w:start w:val="4"/>
      <w:numFmt w:val="decimal"/>
      <w:suff w:val="tab"/>
      <w:lvlText w:val="%1."/>
      <w:rPr>
        <w:color w:val="3370ff"/>
      </w:rPr>
    </w:lvl>
  </w:abstractNum>
  <w:abstractNum w:abstractNumId="863064">
    <w:lvl>
      <w:start w:val="5"/>
      <w:numFmt w:val="decimal"/>
      <w:suff w:val="tab"/>
      <w:lvlText w:val="%1."/>
      <w:rPr>
        <w:color w:val="3370ff"/>
      </w:rPr>
    </w:lvl>
  </w:abstractNum>
  <w:abstractNum w:abstractNumId="863065">
    <w:lvl>
      <w:start w:val="6"/>
      <w:numFmt w:val="decimal"/>
      <w:suff w:val="tab"/>
      <w:lvlText w:val="%1."/>
      <w:rPr>
        <w:color w:val="3370ff"/>
      </w:rPr>
    </w:lvl>
  </w:abstractNum>
  <w:abstractNum w:abstractNumId="863066">
    <w:lvl>
      <w:start w:val="7"/>
      <w:numFmt w:val="decimal"/>
      <w:suff w:val="tab"/>
      <w:lvlText w:val="%1."/>
      <w:rPr>
        <w:color w:val="3370ff"/>
      </w:rPr>
    </w:lvl>
  </w:abstractNum>
  <w:abstractNum w:abstractNumId="863067">
    <w:lvl>
      <w:start w:val="8"/>
      <w:numFmt w:val="decimal"/>
      <w:suff w:val="tab"/>
      <w:lvlText w:val="%1."/>
      <w:rPr>
        <w:color w:val="3370ff"/>
      </w:rPr>
    </w:lvl>
  </w:abstractNum>
  <w:abstractNum w:abstractNumId="863068">
    <w:lvl>
      <w:start w:val="9"/>
      <w:numFmt w:val="decimal"/>
      <w:suff w:val="tab"/>
      <w:lvlText w:val="%1."/>
      <w:rPr>
        <w:color w:val="3370ff"/>
      </w:rPr>
    </w:lvl>
  </w:abstractNum>
  <w:abstractNum w:abstractNumId="863069">
    <w:lvl>
      <w:start w:val="10"/>
      <w:numFmt w:val="decimal"/>
      <w:suff w:val="tab"/>
      <w:lvlText w:val="%1."/>
      <w:rPr>
        <w:color w:val="3370ff"/>
      </w:rPr>
    </w:lvl>
  </w:abstractNum>
  <w:abstractNum w:abstractNumId="863070">
    <w:lvl>
      <w:start w:val="11"/>
      <w:numFmt w:val="decimal"/>
      <w:suff w:val="tab"/>
      <w:lvlText w:val="%1."/>
      <w:rPr>
        <w:color w:val="3370ff"/>
      </w:rPr>
    </w:lvl>
  </w:abstractNum>
  <w:abstractNum w:abstractNumId="863071">
    <w:lvl>
      <w:start w:val="12"/>
      <w:numFmt w:val="decimal"/>
      <w:suff w:val="tab"/>
      <w:lvlText w:val="%1."/>
      <w:rPr>
        <w:color w:val="3370ff"/>
      </w:rPr>
    </w:lvl>
  </w:abstractNum>
  <w:abstractNum w:abstractNumId="863072">
    <w:lvl>
      <w:start w:val="13"/>
      <w:numFmt w:val="decimal"/>
      <w:suff w:val="tab"/>
      <w:lvlText w:val="%1."/>
      <w:rPr>
        <w:color w:val="3370ff"/>
      </w:rPr>
    </w:lvl>
  </w:abstractNum>
  <w:abstractNum w:abstractNumId="863073">
    <w:lvl>
      <w:start w:val="14"/>
      <w:numFmt w:val="decimal"/>
      <w:suff w:val="tab"/>
      <w:lvlText w:val="%1."/>
      <w:rPr>
        <w:color w:val="3370ff"/>
      </w:rPr>
    </w:lvl>
  </w:abstractNum>
  <w:abstractNum w:abstractNumId="863074">
    <w:lvl>
      <w:start w:val="15"/>
      <w:numFmt w:val="decimal"/>
      <w:suff w:val="tab"/>
      <w:lvlText w:val="%1."/>
      <w:rPr>
        <w:color w:val="3370ff"/>
      </w:rPr>
    </w:lvl>
  </w:abstractNum>
  <w:abstractNum w:abstractNumId="863075">
    <w:lvl>
      <w:start w:val="16"/>
      <w:numFmt w:val="decimal"/>
      <w:suff w:val="tab"/>
      <w:lvlText w:val="%1."/>
      <w:rPr>
        <w:color w:val="3370ff"/>
      </w:rPr>
    </w:lvl>
  </w:abstractNum>
  <w:abstractNum w:abstractNumId="863076">
    <w:lvl>
      <w:start w:val="17"/>
      <w:numFmt w:val="decimal"/>
      <w:suff w:val="tab"/>
      <w:lvlText w:val="%1."/>
      <w:rPr>
        <w:color w:val="3370ff"/>
      </w:rPr>
    </w:lvl>
  </w:abstractNum>
  <w:abstractNum w:abstractNumId="863077">
    <w:lvl>
      <w:start w:val="18"/>
      <w:numFmt w:val="decimal"/>
      <w:suff w:val="tab"/>
      <w:lvlText w:val="%1."/>
      <w:rPr>
        <w:color w:val="3370ff"/>
      </w:rPr>
    </w:lvl>
  </w:abstractNum>
  <w:abstractNum w:abstractNumId="863078">
    <w:lvl>
      <w:start w:val="19"/>
      <w:numFmt w:val="decimal"/>
      <w:suff w:val="tab"/>
      <w:lvlText w:val="%1."/>
      <w:rPr>
        <w:color w:val="3370ff"/>
      </w:rPr>
    </w:lvl>
  </w:abstractNum>
  <w:abstractNum w:abstractNumId="863079">
    <w:lvl>
      <w:start w:val="20"/>
      <w:numFmt w:val="decimal"/>
      <w:suff w:val="tab"/>
      <w:lvlText w:val="%1."/>
      <w:rPr>
        <w:color w:val="3370ff"/>
      </w:rPr>
    </w:lvl>
  </w:abstractNum>
  <w:abstractNum w:abstractNumId="863080">
    <w:lvl>
      <w:start w:val="21"/>
      <w:numFmt w:val="decimal"/>
      <w:suff w:val="tab"/>
      <w:lvlText w:val="%1."/>
      <w:rPr>
        <w:color w:val="3370ff"/>
      </w:rPr>
    </w:lvl>
  </w:abstractNum>
  <w:abstractNum w:abstractNumId="863081">
    <w:lvl>
      <w:start w:val="22"/>
      <w:numFmt w:val="decimal"/>
      <w:suff w:val="tab"/>
      <w:lvlText w:val="%1."/>
      <w:rPr>
        <w:color w:val="3370ff"/>
      </w:rPr>
    </w:lvl>
  </w:abstractNum>
  <w:num w:numId="1">
    <w:abstractNumId w:val="862947"/>
  </w:num>
  <w:num w:numId="2">
    <w:abstractNumId w:val="862948"/>
  </w:num>
  <w:num w:numId="3">
    <w:abstractNumId w:val="862949"/>
  </w:num>
  <w:num w:numId="4">
    <w:abstractNumId w:val="862950"/>
  </w:num>
  <w:num w:numId="5">
    <w:abstractNumId w:val="862951"/>
  </w:num>
  <w:num w:numId="6">
    <w:abstractNumId w:val="862952"/>
  </w:num>
  <w:num w:numId="7">
    <w:abstractNumId w:val="862953"/>
  </w:num>
  <w:num w:numId="8">
    <w:abstractNumId w:val="862954"/>
  </w:num>
  <w:num w:numId="9">
    <w:abstractNumId w:val="862955"/>
  </w:num>
  <w:num w:numId="10">
    <w:abstractNumId w:val="862956"/>
  </w:num>
  <w:num w:numId="11">
    <w:abstractNumId w:val="862957"/>
  </w:num>
  <w:num w:numId="12">
    <w:abstractNumId w:val="862958"/>
  </w:num>
  <w:num w:numId="13">
    <w:abstractNumId w:val="862959"/>
  </w:num>
  <w:num w:numId="14">
    <w:abstractNumId w:val="862960"/>
  </w:num>
  <w:num w:numId="15">
    <w:abstractNumId w:val="862961"/>
  </w:num>
  <w:num w:numId="16">
    <w:abstractNumId w:val="862962"/>
  </w:num>
  <w:num w:numId="17">
    <w:abstractNumId w:val="862963"/>
  </w:num>
  <w:num w:numId="18">
    <w:abstractNumId w:val="862964"/>
  </w:num>
  <w:num w:numId="19">
    <w:abstractNumId w:val="862965"/>
  </w:num>
  <w:num w:numId="20">
    <w:abstractNumId w:val="862966"/>
  </w:num>
  <w:num w:numId="21">
    <w:abstractNumId w:val="862967"/>
  </w:num>
  <w:num w:numId="22">
    <w:abstractNumId w:val="862968"/>
  </w:num>
  <w:num w:numId="23">
    <w:abstractNumId w:val="862969"/>
  </w:num>
  <w:num w:numId="24">
    <w:abstractNumId w:val="862970"/>
  </w:num>
  <w:num w:numId="25">
    <w:abstractNumId w:val="862971"/>
  </w:num>
  <w:num w:numId="26">
    <w:abstractNumId w:val="862972"/>
  </w:num>
  <w:num w:numId="27">
    <w:abstractNumId w:val="862973"/>
  </w:num>
  <w:num w:numId="28">
    <w:abstractNumId w:val="862974"/>
  </w:num>
  <w:num w:numId="29">
    <w:abstractNumId w:val="862975"/>
  </w:num>
  <w:num w:numId="30">
    <w:abstractNumId w:val="862976"/>
  </w:num>
  <w:num w:numId="31">
    <w:abstractNumId w:val="862977"/>
  </w:num>
  <w:num w:numId="32">
    <w:abstractNumId w:val="862978"/>
  </w:num>
  <w:num w:numId="33">
    <w:abstractNumId w:val="862979"/>
  </w:num>
  <w:num w:numId="34">
    <w:abstractNumId w:val="862980"/>
  </w:num>
  <w:num w:numId="35">
    <w:abstractNumId w:val="862981"/>
  </w:num>
  <w:num w:numId="36">
    <w:abstractNumId w:val="862982"/>
  </w:num>
  <w:num w:numId="37">
    <w:abstractNumId w:val="862983"/>
  </w:num>
  <w:num w:numId="38">
    <w:abstractNumId w:val="862984"/>
  </w:num>
  <w:num w:numId="39">
    <w:abstractNumId w:val="862985"/>
  </w:num>
  <w:num w:numId="40">
    <w:abstractNumId w:val="862986"/>
  </w:num>
  <w:num w:numId="41">
    <w:abstractNumId w:val="862987"/>
  </w:num>
  <w:num w:numId="42">
    <w:abstractNumId w:val="862988"/>
  </w:num>
  <w:num w:numId="43">
    <w:abstractNumId w:val="862989"/>
  </w:num>
  <w:num w:numId="44">
    <w:abstractNumId w:val="862990"/>
  </w:num>
  <w:num w:numId="45">
    <w:abstractNumId w:val="862991"/>
  </w:num>
  <w:num w:numId="46">
    <w:abstractNumId w:val="862992"/>
  </w:num>
  <w:num w:numId="47">
    <w:abstractNumId w:val="862993"/>
  </w:num>
  <w:num w:numId="48">
    <w:abstractNumId w:val="862994"/>
  </w:num>
  <w:num w:numId="49">
    <w:abstractNumId w:val="862995"/>
  </w:num>
  <w:num w:numId="50">
    <w:abstractNumId w:val="862996"/>
  </w:num>
  <w:num w:numId="51">
    <w:abstractNumId w:val="862997"/>
  </w:num>
  <w:num w:numId="52">
    <w:abstractNumId w:val="862998"/>
  </w:num>
  <w:num w:numId="53">
    <w:abstractNumId w:val="862999"/>
  </w:num>
  <w:num w:numId="54">
    <w:abstractNumId w:val="863000"/>
  </w:num>
  <w:num w:numId="55">
    <w:abstractNumId w:val="863001"/>
  </w:num>
  <w:num w:numId="56">
    <w:abstractNumId w:val="863002"/>
  </w:num>
  <w:num w:numId="57">
    <w:abstractNumId w:val="863003"/>
  </w:num>
  <w:num w:numId="58">
    <w:abstractNumId w:val="863004"/>
  </w:num>
  <w:num w:numId="59">
    <w:abstractNumId w:val="863005"/>
  </w:num>
  <w:num w:numId="60">
    <w:abstractNumId w:val="863006"/>
  </w:num>
  <w:num w:numId="61">
    <w:abstractNumId w:val="863007"/>
  </w:num>
  <w:num w:numId="62">
    <w:abstractNumId w:val="863008"/>
  </w:num>
  <w:num w:numId="63">
    <w:abstractNumId w:val="863009"/>
  </w:num>
  <w:num w:numId="64">
    <w:abstractNumId w:val="863010"/>
  </w:num>
  <w:num w:numId="65">
    <w:abstractNumId w:val="863011"/>
  </w:num>
  <w:num w:numId="66">
    <w:abstractNumId w:val="863012"/>
  </w:num>
  <w:num w:numId="67">
    <w:abstractNumId w:val="863013"/>
  </w:num>
  <w:num w:numId="68">
    <w:abstractNumId w:val="863014"/>
  </w:num>
  <w:num w:numId="69">
    <w:abstractNumId w:val="863015"/>
  </w:num>
  <w:num w:numId="70">
    <w:abstractNumId w:val="863016"/>
  </w:num>
  <w:num w:numId="71">
    <w:abstractNumId w:val="863017"/>
  </w:num>
  <w:num w:numId="72">
    <w:abstractNumId w:val="863018"/>
  </w:num>
  <w:num w:numId="73">
    <w:abstractNumId w:val="863019"/>
  </w:num>
  <w:num w:numId="74">
    <w:abstractNumId w:val="863020"/>
  </w:num>
  <w:num w:numId="75">
    <w:abstractNumId w:val="863021"/>
  </w:num>
  <w:num w:numId="76">
    <w:abstractNumId w:val="863022"/>
  </w:num>
  <w:num w:numId="77">
    <w:abstractNumId w:val="863023"/>
  </w:num>
  <w:num w:numId="78">
    <w:abstractNumId w:val="863024"/>
  </w:num>
  <w:num w:numId="79">
    <w:abstractNumId w:val="863025"/>
  </w:num>
  <w:num w:numId="80">
    <w:abstractNumId w:val="863026"/>
  </w:num>
  <w:num w:numId="81">
    <w:abstractNumId w:val="863027"/>
  </w:num>
  <w:num w:numId="82">
    <w:abstractNumId w:val="863028"/>
  </w:num>
  <w:num w:numId="83">
    <w:abstractNumId w:val="863029"/>
  </w:num>
  <w:num w:numId="84">
    <w:abstractNumId w:val="863030"/>
  </w:num>
  <w:num w:numId="85">
    <w:abstractNumId w:val="863031"/>
  </w:num>
  <w:num w:numId="86">
    <w:abstractNumId w:val="863032"/>
  </w:num>
  <w:num w:numId="87">
    <w:abstractNumId w:val="863033"/>
  </w:num>
  <w:num w:numId="88">
    <w:abstractNumId w:val="863034"/>
  </w:num>
  <w:num w:numId="89">
    <w:abstractNumId w:val="863035"/>
  </w:num>
  <w:num w:numId="90">
    <w:abstractNumId w:val="863036"/>
  </w:num>
  <w:num w:numId="91">
    <w:abstractNumId w:val="863037"/>
  </w:num>
  <w:num w:numId="92">
    <w:abstractNumId w:val="863038"/>
  </w:num>
  <w:num w:numId="93">
    <w:abstractNumId w:val="863039"/>
  </w:num>
  <w:num w:numId="94">
    <w:abstractNumId w:val="863040"/>
  </w:num>
  <w:num w:numId="95">
    <w:abstractNumId w:val="863041"/>
  </w:num>
  <w:num w:numId="96">
    <w:abstractNumId w:val="863042"/>
  </w:num>
  <w:num w:numId="97">
    <w:abstractNumId w:val="863043"/>
  </w:num>
  <w:num w:numId="98">
    <w:abstractNumId w:val="863044"/>
  </w:num>
  <w:num w:numId="99">
    <w:abstractNumId w:val="863045"/>
  </w:num>
  <w:num w:numId="100">
    <w:abstractNumId w:val="863046"/>
  </w:num>
  <w:num w:numId="101">
    <w:abstractNumId w:val="863047"/>
  </w:num>
  <w:num w:numId="102">
    <w:abstractNumId w:val="863048"/>
  </w:num>
  <w:num w:numId="103">
    <w:abstractNumId w:val="863049"/>
  </w:num>
  <w:num w:numId="104">
    <w:abstractNumId w:val="863050"/>
  </w:num>
  <w:num w:numId="105">
    <w:abstractNumId w:val="863051"/>
  </w:num>
  <w:num w:numId="106">
    <w:abstractNumId w:val="863052"/>
  </w:num>
  <w:num w:numId="107">
    <w:abstractNumId w:val="863053"/>
  </w:num>
  <w:num w:numId="108">
    <w:abstractNumId w:val="863054"/>
  </w:num>
  <w:num w:numId="109">
    <w:abstractNumId w:val="863055"/>
  </w:num>
  <w:num w:numId="110">
    <w:abstractNumId w:val="863056"/>
  </w:num>
  <w:num w:numId="111">
    <w:abstractNumId w:val="863057"/>
  </w:num>
  <w:num w:numId="112">
    <w:abstractNumId w:val="863058"/>
  </w:num>
  <w:num w:numId="113">
    <w:abstractNumId w:val="863059"/>
  </w:num>
  <w:num w:numId="114">
    <w:abstractNumId w:val="863060"/>
  </w:num>
  <w:num w:numId="115">
    <w:abstractNumId w:val="863061"/>
  </w:num>
  <w:num w:numId="116">
    <w:abstractNumId w:val="863062"/>
  </w:num>
  <w:num w:numId="117">
    <w:abstractNumId w:val="863063"/>
  </w:num>
  <w:num w:numId="118">
    <w:abstractNumId w:val="863064"/>
  </w:num>
  <w:num w:numId="119">
    <w:abstractNumId w:val="863065"/>
  </w:num>
  <w:num w:numId="120">
    <w:abstractNumId w:val="863066"/>
  </w:num>
  <w:num w:numId="121">
    <w:abstractNumId w:val="863067"/>
  </w:num>
  <w:num w:numId="122">
    <w:abstractNumId w:val="863068"/>
  </w:num>
  <w:num w:numId="123">
    <w:abstractNumId w:val="863069"/>
  </w:num>
  <w:num w:numId="124">
    <w:abstractNumId w:val="863070"/>
  </w:num>
  <w:num w:numId="125">
    <w:abstractNumId w:val="863071"/>
  </w:num>
  <w:num w:numId="126">
    <w:abstractNumId w:val="863072"/>
  </w:num>
  <w:num w:numId="127">
    <w:abstractNumId w:val="863073"/>
  </w:num>
  <w:num w:numId="128">
    <w:abstractNumId w:val="863074"/>
  </w:num>
  <w:num w:numId="129">
    <w:abstractNumId w:val="863075"/>
  </w:num>
  <w:num w:numId="130">
    <w:abstractNumId w:val="863076"/>
  </w:num>
  <w:num w:numId="131">
    <w:abstractNumId w:val="863077"/>
  </w:num>
  <w:num w:numId="132">
    <w:abstractNumId w:val="863078"/>
  </w:num>
  <w:num w:numId="133">
    <w:abstractNumId w:val="863079"/>
  </w:num>
  <w:num w:numId="134">
    <w:abstractNumId w:val="863080"/>
  </w:num>
  <w:num w:numId="135">
    <w:abstractNumId w:val="8630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2026-06-16T00:40:01Z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{"Label":"1","ContentProducer":"001191110102MACQD9K64010000","ProduceID":"7651786560265882803","ReservedCode1":"","ContentPropagator":"","PropagateID":"","ReservedCode2":""}</vt:lpwstr>
  </property>
</Properties>
</file>