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228EB" w14:textId="53657597" w:rsidR="00F30003" w:rsidRDefault="00F30003" w:rsidP="00F30003">
      <w:pPr>
        <w:pStyle w:val="Author"/>
        <w:tabs>
          <w:tab w:val="center" w:pos="4505"/>
        </w:tabs>
        <w:spacing w:before="100" w:beforeAutospacing="1" w:after="100" w:afterAutospacing="1"/>
        <w:rPr>
          <w:rFonts w:eastAsia="MS Mincho"/>
          <w:kern w:val="48"/>
          <w:sz w:val="48"/>
          <w:szCs w:val="48"/>
        </w:rPr>
      </w:pPr>
    </w:p>
    <w:p w14:paraId="27827BD8" w14:textId="13297B0C" w:rsidR="008566F9" w:rsidRDefault="004A7D1F" w:rsidP="00F30003">
      <w:pPr>
        <w:pStyle w:val="Author"/>
        <w:tabs>
          <w:tab w:val="center" w:pos="4505"/>
        </w:tabs>
        <w:spacing w:before="100" w:beforeAutospacing="1" w:after="100" w:afterAutospacing="1"/>
        <w:rPr>
          <w:rFonts w:eastAsia="MS Mincho"/>
          <w:kern w:val="48"/>
          <w:sz w:val="48"/>
          <w:szCs w:val="48"/>
        </w:rPr>
      </w:pPr>
      <w:r>
        <w:rPr>
          <w:rFonts w:eastAsia="MS Mincho"/>
          <w:kern w:val="48"/>
          <w:sz w:val="48"/>
          <w:szCs w:val="48"/>
        </w:rPr>
        <w:tab/>
      </w:r>
      <w:r>
        <w:rPr>
          <w:rFonts w:eastAsia="MS Mincho"/>
          <w:kern w:val="48"/>
          <w:sz w:val="48"/>
          <w:szCs w:val="48"/>
        </w:rPr>
        <w:tab/>
      </w:r>
      <w:r>
        <w:rPr>
          <w:rFonts w:eastAsia="MS Mincho"/>
          <w:kern w:val="48"/>
          <w:sz w:val="48"/>
          <w:szCs w:val="48"/>
        </w:rPr>
        <w:tab/>
      </w:r>
      <w:r>
        <w:rPr>
          <w:rFonts w:eastAsia="MS Mincho"/>
          <w:kern w:val="48"/>
          <w:sz w:val="48"/>
          <w:szCs w:val="48"/>
        </w:rPr>
        <w:tab/>
      </w:r>
      <w:r>
        <w:rPr>
          <w:rFonts w:eastAsia="MS Mincho"/>
          <w:kern w:val="48"/>
          <w:sz w:val="48"/>
          <w:szCs w:val="48"/>
        </w:rPr>
        <w:tab/>
      </w:r>
      <w:r>
        <w:rPr>
          <w:rFonts w:eastAsia="MS Mincho"/>
          <w:kern w:val="48"/>
          <w:sz w:val="48"/>
          <w:szCs w:val="48"/>
        </w:rPr>
        <w:tab/>
      </w:r>
      <w:r w:rsidR="004442C0">
        <w:rPr>
          <w:rFonts w:eastAsia="MS Mincho"/>
          <w:kern w:val="48"/>
          <w:sz w:val="48"/>
          <w:szCs w:val="48"/>
        </w:rPr>
        <mc:AlternateContent>
          <mc:Choice Requires="wps">
            <w:drawing>
              <wp:anchor distT="0" distB="0" distL="114300" distR="114300" simplePos="0" relativeHeight="251669504" behindDoc="0" locked="0" layoutInCell="1" allowOverlap="1" wp14:anchorId="4934686D" wp14:editId="3B1A581C">
                <wp:simplePos x="0" y="0"/>
                <wp:positionH relativeFrom="page">
                  <wp:align>left</wp:align>
                </wp:positionH>
                <wp:positionV relativeFrom="paragraph">
                  <wp:posOffset>295275</wp:posOffset>
                </wp:positionV>
                <wp:extent cx="7543800" cy="38100"/>
                <wp:effectExtent l="0" t="0" r="19050" b="19050"/>
                <wp:wrapNone/>
                <wp:docPr id="1088335223" name="Straight Connector 1"/>
                <wp:cNvGraphicFramePr/>
                <a:graphic xmlns:a="http://schemas.openxmlformats.org/drawingml/2006/main">
                  <a:graphicData uri="http://schemas.microsoft.com/office/word/2010/wordprocessingShape">
                    <wps:wsp>
                      <wps:cNvCnPr/>
                      <wps:spPr>
                        <a:xfrm flipV="1">
                          <a:off x="0" y="0"/>
                          <a:ext cx="75438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D8BE7" id="Straight Connector 1" o:spid="_x0000_s1026" style="position:absolute;flip:y;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3.25pt" to="59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" strokecolor="#5b9bd5 [3204]" strokeweight=".5pt">
                <v:stroke joinstyle="miter"/>
                <w10:wrap anchorx="page"/>
              </v:line>
            </w:pict>
          </mc:Fallback>
        </mc:AlternateContent>
      </w:r>
    </w:p>
    <w:p w14:paraId="711E5B42" w14:textId="560ED773" w:rsidR="009303D9" w:rsidRDefault="00753FC9" w:rsidP="008B6524">
      <w:pPr>
        <w:pStyle w:val="Author"/>
        <w:spacing w:before="100" w:beforeAutospacing="1" w:after="100" w:afterAutospacing="1"/>
        <w:rPr>
          <w:sz w:val="16"/>
          <w:szCs w:val="16"/>
        </w:rPr>
      </w:pPr>
      <w:r w:rsidRPr="00753FC9">
        <w:rPr>
          <w:rFonts w:eastAsia="MS Mincho"/>
          <w:kern w:val="48"/>
          <w:sz w:val="48"/>
          <w:szCs w:val="48"/>
        </w:rPr>
        <w:t>Churn Analytics</w:t>
      </w:r>
      <w:r w:rsidR="006140D8">
        <w:rPr>
          <w:rFonts w:eastAsia="MS Mincho"/>
          <w:kern w:val="48"/>
          <w:sz w:val="48"/>
          <w:szCs w:val="48"/>
        </w:rPr>
        <w:t xml:space="preserve"> A</w:t>
      </w:r>
      <w:r w:rsidR="00551FF8">
        <w:rPr>
          <w:rFonts w:eastAsia="MS Mincho"/>
          <w:kern w:val="48"/>
          <w:sz w:val="48"/>
          <w:szCs w:val="48"/>
        </w:rPr>
        <w:t>nd Prediction</w:t>
      </w:r>
      <w:r w:rsidRPr="00753FC9">
        <w:rPr>
          <w:rFonts w:eastAsia="MS Mincho"/>
          <w:kern w:val="48"/>
          <w:sz w:val="48"/>
          <w:szCs w:val="48"/>
        </w:rPr>
        <w:t>: Unveiling Customer Retention Dynamics in Telecom</w:t>
      </w:r>
    </w:p>
    <w:p w14:paraId="78075475" w14:textId="77777777" w:rsidR="00D7522C" w:rsidRPr="00CA4392" w:rsidRDefault="00D7522C" w:rsidP="00DD156C">
      <w:pPr>
        <w:pStyle w:val="Author"/>
        <w:spacing w:before="100" w:beforeAutospacing="1" w:after="100" w:afterAutospacing="1" w:line="120" w:lineRule="auto"/>
        <w:jc w:val="both"/>
        <w:rPr>
          <w:sz w:val="16"/>
          <w:szCs w:val="16"/>
        </w:rPr>
        <w:sectPr w:rsidR="00D7522C" w:rsidRPr="00CA4392" w:rsidSect="009D2C2C">
          <w:headerReference w:type="default" r:id="rId8"/>
          <w:footerReference w:type="even" r:id="rId9"/>
          <w:footerReference w:type="default" r:id="rId10"/>
          <w:headerReference w:type="first" r:id="rId11"/>
          <w:footerReference w:type="first" r:id="rId12"/>
          <w:pgSz w:w="11906" w:h="16838" w:code="9"/>
          <w:pgMar w:top="539" w:right="890" w:bottom="1440" w:left="890" w:header="720" w:footer="720" w:gutter="0"/>
          <w:cols w:space="720"/>
          <w:titlePg/>
          <w:docGrid w:linePitch="360"/>
        </w:sectPr>
      </w:pPr>
    </w:p>
    <w:p w14:paraId="12A0175D" w14:textId="689A3ECE" w:rsidR="0092540F" w:rsidRPr="008A4384" w:rsidRDefault="00DB00B5" w:rsidP="00DD156C">
      <w:pPr>
        <w:jc w:val="both"/>
        <w:rPr>
          <w:noProof/>
          <w:sz w:val="22"/>
          <w:szCs w:val="22"/>
        </w:rPr>
      </w:pPr>
      <w:r>
        <w:rPr>
          <w:noProof/>
          <w:sz w:val="22"/>
          <w:szCs w:val="22"/>
        </w:rPr>
        <mc:AlternateContent>
          <mc:Choice Requires="wps">
            <w:drawing>
              <wp:anchor distT="0" distB="0" distL="114300" distR="114300" simplePos="0" relativeHeight="251670528" behindDoc="0" locked="0" layoutInCell="1" allowOverlap="1" wp14:anchorId="006856F5" wp14:editId="307F8FA9">
                <wp:simplePos x="0" y="0"/>
                <wp:positionH relativeFrom="column">
                  <wp:posOffset>-541655</wp:posOffset>
                </wp:positionH>
                <wp:positionV relativeFrom="paragraph">
                  <wp:posOffset>458470</wp:posOffset>
                </wp:positionV>
                <wp:extent cx="7524750" cy="25400"/>
                <wp:effectExtent l="0" t="0" r="19050" b="31750"/>
                <wp:wrapNone/>
                <wp:docPr id="645151548" name="Straight Connector 3"/>
                <wp:cNvGraphicFramePr/>
                <a:graphic xmlns:a="http://schemas.openxmlformats.org/drawingml/2006/main">
                  <a:graphicData uri="http://schemas.microsoft.com/office/word/2010/wordprocessingShape">
                    <wps:wsp>
                      <wps:cNvCnPr/>
                      <wps:spPr>
                        <a:xfrm flipV="1">
                          <a:off x="0" y="0"/>
                          <a:ext cx="7524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333DC" id="Straight Connector 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2.65pt,36.1pt" to="549.8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" strokecolor="#5b9bd5 [3204]" strokeweight=".5pt">
                <v:stroke joinstyle="miter"/>
              </v:line>
            </w:pict>
          </mc:Fallback>
        </mc:AlternateContent>
      </w:r>
      <w:r w:rsidR="00FC2256" w:rsidRPr="008A4384">
        <w:rPr>
          <w:noProof/>
          <w:sz w:val="22"/>
          <w:szCs w:val="22"/>
        </w:rPr>
        <w:t>ADEBAYO ADETOLA ALIU</w:t>
      </w:r>
      <w:r w:rsidR="0092540F" w:rsidRPr="008A4384">
        <w:rPr>
          <w:noProof/>
          <w:sz w:val="22"/>
          <w:szCs w:val="22"/>
        </w:rPr>
        <w:t xml:space="preserve"> | B</w:t>
      </w:r>
      <w:r w:rsidR="008A4384" w:rsidRPr="008A4384">
        <w:rPr>
          <w:noProof/>
          <w:sz w:val="22"/>
          <w:szCs w:val="22"/>
        </w:rPr>
        <w:t>1158902</w:t>
      </w:r>
      <w:r w:rsidR="0092540F" w:rsidRPr="008A4384">
        <w:rPr>
          <w:noProof/>
          <w:sz w:val="22"/>
          <w:szCs w:val="22"/>
        </w:rPr>
        <w:t>@live.tees.ac.uk</w:t>
      </w:r>
    </w:p>
    <w:p w14:paraId="56E060D2" w14:textId="77777777" w:rsidR="00BF297F" w:rsidRDefault="0092540F" w:rsidP="00A56EFB">
      <w:pPr>
        <w:ind w:firstLine="272"/>
        <w:rPr>
          <w:noProof/>
          <w:sz w:val="24"/>
          <w:szCs w:val="24"/>
        </w:rPr>
      </w:pPr>
      <w:r w:rsidRPr="00D148BD">
        <w:rPr>
          <w:noProof/>
          <w:sz w:val="24"/>
          <w:szCs w:val="24"/>
        </w:rPr>
        <w:t>School of Computing and Digital</w:t>
      </w:r>
      <w:r w:rsidR="00364260" w:rsidRPr="00D148BD">
        <w:rPr>
          <w:noProof/>
          <w:sz w:val="24"/>
          <w:szCs w:val="24"/>
        </w:rPr>
        <w:t xml:space="preserve"> </w:t>
      </w:r>
      <w:r w:rsidRPr="00D148BD">
        <w:rPr>
          <w:noProof/>
          <w:sz w:val="24"/>
          <w:szCs w:val="24"/>
        </w:rPr>
        <w:t xml:space="preserve">Technologies, </w:t>
      </w:r>
    </w:p>
    <w:p w14:paraId="0A4EFA14" w14:textId="77777777" w:rsidR="009F1D79" w:rsidRDefault="0092540F" w:rsidP="00A56EFB">
      <w:pPr>
        <w:ind w:firstLine="272"/>
        <w:rPr>
          <w:noProof/>
          <w:sz w:val="24"/>
          <w:szCs w:val="24"/>
        </w:rPr>
      </w:pPr>
      <w:r w:rsidRPr="00D148BD">
        <w:rPr>
          <w:noProof/>
          <w:sz w:val="24"/>
          <w:szCs w:val="24"/>
        </w:rPr>
        <w:t>Teesside University, United Kingdom</w:t>
      </w:r>
    </w:p>
    <w:p w14:paraId="329DAA86" w14:textId="77777777" w:rsidR="00BF297F" w:rsidRDefault="00BF297F" w:rsidP="00A56EFB">
      <w:pPr>
        <w:ind w:firstLine="272"/>
        <w:rPr>
          <w:noProof/>
          <w:sz w:val="24"/>
          <w:szCs w:val="24"/>
        </w:rPr>
      </w:pPr>
    </w:p>
    <w:p w14:paraId="771D92CC" w14:textId="29B3195A" w:rsidR="00BF297F" w:rsidRPr="00D148BD" w:rsidRDefault="00BF297F" w:rsidP="00A56EFB">
      <w:pPr>
        <w:ind w:firstLine="272"/>
        <w:rPr>
          <w:sz w:val="24"/>
          <w:szCs w:val="24"/>
        </w:rPr>
        <w:sectPr w:rsidR="00BF297F" w:rsidRPr="00D148BD" w:rsidSect="009D2C2C">
          <w:type w:val="continuous"/>
          <w:pgSz w:w="11906" w:h="16838" w:code="9"/>
          <w:pgMar w:top="450" w:right="893" w:bottom="1440" w:left="893" w:header="720" w:footer="720" w:gutter="0"/>
          <w:cols w:num="3" w:space="720"/>
          <w:docGrid w:linePitch="360"/>
        </w:sectPr>
      </w:pPr>
    </w:p>
    <w:p w14:paraId="44959C9D" w14:textId="77777777" w:rsidR="009303D9" w:rsidRPr="00D148BD" w:rsidRDefault="00BD670B">
      <w:pPr>
        <w:rPr>
          <w:sz w:val="24"/>
          <w:szCs w:val="24"/>
        </w:rPr>
        <w:sectPr w:rsidR="009303D9" w:rsidRPr="00D148BD" w:rsidSect="009D2C2C">
          <w:type w:val="continuous"/>
          <w:pgSz w:w="11906" w:h="16838" w:code="9"/>
          <w:pgMar w:top="450" w:right="893" w:bottom="1440" w:left="893" w:header="720" w:footer="720" w:gutter="0"/>
          <w:cols w:num="3" w:space="720"/>
          <w:docGrid w:linePitch="360"/>
        </w:sectPr>
      </w:pPr>
      <w:r w:rsidRPr="00D148BD">
        <w:rPr>
          <w:sz w:val="24"/>
          <w:szCs w:val="24"/>
        </w:rPr>
        <w:br w:type="column"/>
      </w:r>
    </w:p>
    <w:p w14:paraId="36836E52" w14:textId="0057215C" w:rsidR="00702B42" w:rsidRPr="004B6138" w:rsidRDefault="009303D9" w:rsidP="00BF297F">
      <w:pPr>
        <w:pStyle w:val="Abstract"/>
        <w:ind w:firstLine="0"/>
        <w:rPr>
          <w:rFonts w:ascii="Arial" w:hAnsi="Arial" w:cs="Arial"/>
          <w:sz w:val="22"/>
          <w:szCs w:val="22"/>
        </w:rPr>
      </w:pPr>
      <w:r>
        <w:rPr>
          <w:i/>
          <w:iCs/>
        </w:rPr>
        <w:t>Abstract</w:t>
      </w:r>
      <w:r>
        <w:t>—</w:t>
      </w:r>
      <w:r w:rsidR="00702B42" w:rsidRPr="00702B42">
        <w:t xml:space="preserve"> </w:t>
      </w:r>
      <w:r w:rsidR="00FA1F0B" w:rsidRPr="00FA1F0B">
        <w:rPr>
          <w:rFonts w:ascii="Arial" w:hAnsi="Arial" w:cs="Arial"/>
          <w:sz w:val="22"/>
          <w:szCs w:val="22"/>
        </w:rPr>
        <w:t xml:space="preserve">This study focuses on the critical issue of customer churn in the telecommunications industry, exploring various predictive models to identify at-risk customers effectively. It delves into the effectiveness of traditional logistic-regression, decision-trees, k-nearest neighbor, support-vector-machine and advanced ensemble models in detecting patterns indicative of potential churn. The analysis highlights Random-Forest's superior performance due to its ability to handle large datasets and complex customer </w:t>
      </w:r>
      <w:r w:rsidR="006E5E95" w:rsidRPr="00FA1F0B">
        <w:rPr>
          <w:rFonts w:ascii="Arial" w:hAnsi="Arial" w:cs="Arial"/>
          <w:sz w:val="22"/>
          <w:szCs w:val="22"/>
        </w:rPr>
        <w:t>behaviors</w:t>
      </w:r>
      <w:r w:rsidR="00FA1F0B" w:rsidRPr="00FA1F0B">
        <w:rPr>
          <w:rFonts w:ascii="Arial" w:hAnsi="Arial" w:cs="Arial"/>
          <w:sz w:val="22"/>
          <w:szCs w:val="22"/>
        </w:rPr>
        <w:t xml:space="preserve"> efficiently, achieving high</w:t>
      </w:r>
      <w:r w:rsidR="00687DF2">
        <w:rPr>
          <w:rFonts w:ascii="Arial" w:hAnsi="Arial" w:cs="Arial"/>
          <w:sz w:val="22"/>
          <w:szCs w:val="22"/>
        </w:rPr>
        <w:t>-</w:t>
      </w:r>
      <w:r w:rsidR="00FA1F0B" w:rsidRPr="00FA1F0B">
        <w:rPr>
          <w:rFonts w:ascii="Arial" w:hAnsi="Arial" w:cs="Arial"/>
          <w:sz w:val="22"/>
          <w:szCs w:val="22"/>
        </w:rPr>
        <w:t xml:space="preserve">accuracy and precision. Comparative studies underscore the varying strengths of each model, with advanced techniques like </w:t>
      </w:r>
      <w:proofErr w:type="spellStart"/>
      <w:r w:rsidR="00FA1F0B" w:rsidRPr="00FA1F0B">
        <w:rPr>
          <w:rFonts w:ascii="Arial" w:hAnsi="Arial" w:cs="Arial"/>
          <w:sz w:val="22"/>
          <w:szCs w:val="22"/>
        </w:rPr>
        <w:t>XGBoost</w:t>
      </w:r>
      <w:proofErr w:type="spellEnd"/>
      <w:r w:rsidR="00FA1F0B" w:rsidRPr="00FA1F0B">
        <w:rPr>
          <w:rFonts w:ascii="Arial" w:hAnsi="Arial" w:cs="Arial"/>
          <w:sz w:val="22"/>
          <w:szCs w:val="22"/>
        </w:rPr>
        <w:t xml:space="preserve"> also showing promising results. Th</w:t>
      </w:r>
      <w:r w:rsidR="008709C9">
        <w:rPr>
          <w:rFonts w:ascii="Arial" w:hAnsi="Arial" w:cs="Arial"/>
          <w:sz w:val="22"/>
          <w:szCs w:val="22"/>
        </w:rPr>
        <w:t>is</w:t>
      </w:r>
      <w:r w:rsidR="00FA1F0B" w:rsidRPr="00FA1F0B">
        <w:rPr>
          <w:rFonts w:ascii="Arial" w:hAnsi="Arial" w:cs="Arial"/>
          <w:sz w:val="22"/>
          <w:szCs w:val="22"/>
        </w:rPr>
        <w:t xml:space="preserve"> study emphasizes the strategic importance of integrating these predictive models into business operations to enhance customer-retention strategies, reduce churn-rates, and ultimately improve profitability in the competitive telecom-sector.</w:t>
      </w:r>
    </w:p>
    <w:p w14:paraId="0C7FDF20" w14:textId="187DB06C" w:rsidR="009303D9" w:rsidRDefault="004D72B5" w:rsidP="002A7797">
      <w:pPr>
        <w:pStyle w:val="Abstract"/>
        <w:jc w:val="left"/>
        <w:rPr>
          <w:rFonts w:ascii="Arial" w:hAnsi="Arial" w:cs="Arial"/>
          <w:i/>
          <w:iCs/>
        </w:rPr>
      </w:pPr>
      <w:r w:rsidRPr="004B6138">
        <w:rPr>
          <w:rFonts w:ascii="Arial" w:hAnsi="Arial" w:cs="Arial"/>
          <w:sz w:val="22"/>
          <w:szCs w:val="22"/>
        </w:rPr>
        <w:t>Keywords—</w:t>
      </w:r>
      <w:r w:rsidR="00B01C72" w:rsidRPr="008B64C1">
        <w:rPr>
          <w:rFonts w:ascii="Arial" w:hAnsi="Arial" w:cs="Arial"/>
          <w:i/>
          <w:iCs/>
        </w:rPr>
        <w:t>Customer-churn</w:t>
      </w:r>
      <w:r w:rsidR="00D7522C" w:rsidRPr="008B64C1">
        <w:rPr>
          <w:rFonts w:ascii="Arial" w:hAnsi="Arial" w:cs="Arial"/>
          <w:i/>
          <w:iCs/>
        </w:rPr>
        <w:t>,</w:t>
      </w:r>
      <w:r w:rsidR="009303D9" w:rsidRPr="008B64C1">
        <w:rPr>
          <w:rFonts w:ascii="Arial" w:hAnsi="Arial" w:cs="Arial"/>
          <w:i/>
          <w:iCs/>
        </w:rPr>
        <w:t xml:space="preserve"> </w:t>
      </w:r>
      <w:r w:rsidR="00CB7482" w:rsidRPr="008B64C1">
        <w:rPr>
          <w:rFonts w:ascii="Arial" w:hAnsi="Arial" w:cs="Arial"/>
          <w:i/>
          <w:iCs/>
        </w:rPr>
        <w:t>M</w:t>
      </w:r>
      <w:r w:rsidR="00B01C72" w:rsidRPr="008B64C1">
        <w:rPr>
          <w:rFonts w:ascii="Arial" w:hAnsi="Arial" w:cs="Arial"/>
          <w:i/>
          <w:iCs/>
        </w:rPr>
        <w:t>achine-</w:t>
      </w:r>
      <w:r w:rsidR="00CB7482" w:rsidRPr="008B64C1">
        <w:rPr>
          <w:rFonts w:ascii="Arial" w:hAnsi="Arial" w:cs="Arial"/>
          <w:i/>
          <w:iCs/>
        </w:rPr>
        <w:t>L</w:t>
      </w:r>
      <w:r w:rsidR="00B01C72" w:rsidRPr="008B64C1">
        <w:rPr>
          <w:rFonts w:ascii="Arial" w:hAnsi="Arial" w:cs="Arial"/>
          <w:i/>
          <w:iCs/>
        </w:rPr>
        <w:t>earning</w:t>
      </w:r>
      <w:r w:rsidR="00D7522C" w:rsidRPr="008B64C1">
        <w:rPr>
          <w:rFonts w:ascii="Arial" w:hAnsi="Arial" w:cs="Arial"/>
          <w:i/>
          <w:iCs/>
        </w:rPr>
        <w:t>,</w:t>
      </w:r>
      <w:r w:rsidR="009303D9" w:rsidRPr="008B64C1">
        <w:rPr>
          <w:rFonts w:ascii="Arial" w:hAnsi="Arial" w:cs="Arial"/>
          <w:i/>
          <w:iCs/>
        </w:rPr>
        <w:t xml:space="preserve"> </w:t>
      </w:r>
      <w:r w:rsidR="00B445C5" w:rsidRPr="008B64C1">
        <w:rPr>
          <w:rFonts w:ascii="Arial" w:hAnsi="Arial" w:cs="Arial"/>
          <w:i/>
          <w:iCs/>
        </w:rPr>
        <w:t>Telecom</w:t>
      </w:r>
      <w:r w:rsidR="00B8517C" w:rsidRPr="008B64C1">
        <w:rPr>
          <w:rFonts w:ascii="Arial" w:hAnsi="Arial" w:cs="Arial"/>
          <w:i/>
          <w:iCs/>
        </w:rPr>
        <w:t>-Industry</w:t>
      </w:r>
      <w:r w:rsidR="00D7522C" w:rsidRPr="008B64C1">
        <w:rPr>
          <w:rFonts w:ascii="Arial" w:hAnsi="Arial" w:cs="Arial"/>
          <w:i/>
          <w:iCs/>
        </w:rPr>
        <w:t>,</w:t>
      </w:r>
      <w:r w:rsidR="009303D9" w:rsidRPr="008B64C1">
        <w:rPr>
          <w:rFonts w:ascii="Arial" w:hAnsi="Arial" w:cs="Arial"/>
          <w:i/>
          <w:iCs/>
        </w:rPr>
        <w:t xml:space="preserve"> </w:t>
      </w:r>
      <w:r w:rsidR="00D9098B" w:rsidRPr="008B64C1">
        <w:rPr>
          <w:rFonts w:ascii="Arial" w:hAnsi="Arial" w:cs="Arial"/>
          <w:i/>
          <w:iCs/>
        </w:rPr>
        <w:t>Predictive</w:t>
      </w:r>
      <w:r w:rsidR="001A29CB" w:rsidRPr="008B64C1">
        <w:rPr>
          <w:rFonts w:ascii="Arial" w:hAnsi="Arial" w:cs="Arial"/>
          <w:i/>
          <w:iCs/>
        </w:rPr>
        <w:t>-</w:t>
      </w:r>
      <w:r w:rsidR="00D9098B" w:rsidRPr="008B64C1">
        <w:rPr>
          <w:rFonts w:ascii="Arial" w:hAnsi="Arial" w:cs="Arial"/>
          <w:i/>
          <w:iCs/>
        </w:rPr>
        <w:t>Analytics</w:t>
      </w:r>
      <w:r w:rsidR="00D7522C" w:rsidRPr="008B64C1">
        <w:rPr>
          <w:rFonts w:ascii="Arial" w:hAnsi="Arial" w:cs="Arial"/>
          <w:i/>
          <w:iCs/>
        </w:rPr>
        <w:t>,</w:t>
      </w:r>
      <w:r w:rsidR="00C02C3C" w:rsidRPr="008B64C1">
        <w:rPr>
          <w:rFonts w:ascii="Arial" w:hAnsi="Arial" w:cs="Arial"/>
          <w:i/>
          <w:iCs/>
        </w:rPr>
        <w:t xml:space="preserve"> </w:t>
      </w:r>
      <w:r w:rsidR="00855F78">
        <w:rPr>
          <w:rFonts w:ascii="Arial" w:hAnsi="Arial" w:cs="Arial"/>
          <w:i/>
          <w:iCs/>
        </w:rPr>
        <w:t>Customer-retention</w:t>
      </w:r>
      <w:r w:rsidR="00AA2C99" w:rsidRPr="008B64C1">
        <w:rPr>
          <w:rFonts w:ascii="Arial" w:hAnsi="Arial" w:cs="Arial"/>
          <w:i/>
          <w:iCs/>
        </w:rPr>
        <w:t>,</w:t>
      </w:r>
      <w:r w:rsidR="00C02C3C" w:rsidRPr="008B64C1">
        <w:rPr>
          <w:rFonts w:ascii="Arial" w:hAnsi="Arial" w:cs="Arial"/>
          <w:i/>
          <w:iCs/>
        </w:rPr>
        <w:t xml:space="preserve"> Model</w:t>
      </w:r>
      <w:r w:rsidR="00901384">
        <w:rPr>
          <w:rFonts w:ascii="Arial" w:hAnsi="Arial" w:cs="Arial"/>
          <w:i/>
          <w:iCs/>
        </w:rPr>
        <w:t>-</w:t>
      </w:r>
      <w:r w:rsidR="00C02C3C" w:rsidRPr="008B64C1">
        <w:rPr>
          <w:rFonts w:ascii="Arial" w:hAnsi="Arial" w:cs="Arial"/>
          <w:i/>
          <w:iCs/>
        </w:rPr>
        <w:t>Performance</w:t>
      </w:r>
    </w:p>
    <w:p w14:paraId="7E655AC3" w14:textId="77777777" w:rsidR="00FC2658" w:rsidRPr="004B6138" w:rsidRDefault="00FC2658" w:rsidP="002A7797">
      <w:pPr>
        <w:pStyle w:val="Abstract"/>
        <w:jc w:val="left"/>
        <w:rPr>
          <w:rFonts w:ascii="Arial" w:hAnsi="Arial" w:cs="Arial"/>
          <w:sz w:val="22"/>
          <w:szCs w:val="22"/>
        </w:rPr>
      </w:pPr>
    </w:p>
    <w:p w14:paraId="209F73DE" w14:textId="326B1B37" w:rsidR="009303D9" w:rsidRPr="00FC2658" w:rsidRDefault="009303D9" w:rsidP="005340BC">
      <w:pPr>
        <w:pStyle w:val="Heading1"/>
        <w:rPr>
          <w:b/>
          <w:bCs/>
        </w:rPr>
      </w:pPr>
      <w:r w:rsidRPr="00FC2658">
        <w:rPr>
          <w:b/>
          <w:bCs/>
        </w:rPr>
        <w:t xml:space="preserve">Introduction </w:t>
      </w:r>
    </w:p>
    <w:p w14:paraId="202CC9B1" w14:textId="1A5F6FBB" w:rsidR="009303D9" w:rsidRDefault="008B7368" w:rsidP="008B7360">
      <w:pPr>
        <w:pStyle w:val="BodyText"/>
        <w:rPr>
          <w:rFonts w:ascii="Arial" w:hAnsi="Arial" w:cs="Arial"/>
          <w:sz w:val="22"/>
          <w:szCs w:val="22"/>
        </w:rPr>
      </w:pPr>
      <w:r w:rsidRPr="004B6138">
        <w:rPr>
          <w:rFonts w:ascii="Arial" w:hAnsi="Arial" w:cs="Arial"/>
          <w:sz w:val="22"/>
          <w:szCs w:val="22"/>
        </w:rPr>
        <w:t>Customer-churn, which is defined as the loss of clients or customers who choose to discontinue their services with a company, is a significant concern in the telecommunications sector (Wei and Chiu, 2002). Understanding and forecasting churn is essential for preserving a steady income stream and fostering sustainable business growth in a sector marked by intense competition and high client acquisition expenses</w:t>
      </w:r>
      <w:r w:rsidR="00C654B3">
        <w:rPr>
          <w:rFonts w:ascii="Arial" w:hAnsi="Arial" w:cs="Arial"/>
          <w:sz w:val="22"/>
          <w:szCs w:val="22"/>
        </w:rPr>
        <w:t xml:space="preserve"> </w:t>
      </w:r>
      <w:r w:rsidR="00C457F3">
        <w:rPr>
          <w:rFonts w:ascii="Arial" w:hAnsi="Arial" w:cs="Arial"/>
          <w:sz w:val="22"/>
          <w:szCs w:val="22"/>
        </w:rPr>
        <w:t>(</w:t>
      </w:r>
      <w:r w:rsidR="00C654B3" w:rsidRPr="009F06BE">
        <w:rPr>
          <w:rFonts w:ascii="Arial" w:hAnsi="Arial" w:cs="Arial"/>
          <w:sz w:val="22"/>
          <w:szCs w:val="22"/>
        </w:rPr>
        <w:t>Yang, Q</w:t>
      </w:r>
      <w:r w:rsidR="00435152">
        <w:rPr>
          <w:rFonts w:ascii="Arial" w:hAnsi="Arial" w:cs="Arial"/>
          <w:sz w:val="22"/>
          <w:szCs w:val="22"/>
        </w:rPr>
        <w:t xml:space="preserve"> et al.,2022</w:t>
      </w:r>
      <w:r w:rsidR="00C457F3">
        <w:rPr>
          <w:rFonts w:ascii="Arial" w:hAnsi="Arial" w:cs="Arial"/>
          <w:sz w:val="22"/>
          <w:szCs w:val="22"/>
        </w:rPr>
        <w:t>)</w:t>
      </w:r>
      <w:r w:rsidRPr="004B6138">
        <w:rPr>
          <w:rFonts w:ascii="Arial" w:hAnsi="Arial" w:cs="Arial"/>
          <w:sz w:val="22"/>
          <w:szCs w:val="22"/>
        </w:rPr>
        <w:t>. The direct financial</w:t>
      </w:r>
      <w:r w:rsidR="00974924">
        <w:rPr>
          <w:rFonts w:ascii="Arial" w:hAnsi="Arial" w:cs="Arial"/>
          <w:sz w:val="22"/>
          <w:szCs w:val="22"/>
        </w:rPr>
        <w:t>-</w:t>
      </w:r>
      <w:r w:rsidRPr="004B6138">
        <w:rPr>
          <w:rFonts w:ascii="Arial" w:hAnsi="Arial" w:cs="Arial"/>
          <w:sz w:val="22"/>
          <w:szCs w:val="22"/>
        </w:rPr>
        <w:t xml:space="preserve">impact of losing customers, </w:t>
      </w:r>
      <w:r w:rsidRPr="004B6138">
        <w:rPr>
          <w:rFonts w:ascii="Arial" w:hAnsi="Arial" w:cs="Arial"/>
          <w:sz w:val="22"/>
          <w:szCs w:val="22"/>
        </w:rPr>
        <w:t>which not only lowers immediate revenue but also raises marketing and acquisition costs that are frequently much higher than those associated with keeping current ones, emphasizes the significance of churn analysis (Autor et al., 2020)</w:t>
      </w:r>
      <w:r w:rsidR="009303D9" w:rsidRPr="004B6138">
        <w:rPr>
          <w:rFonts w:ascii="Arial" w:hAnsi="Arial" w:cs="Arial"/>
          <w:sz w:val="22"/>
          <w:szCs w:val="22"/>
        </w:rPr>
        <w:t>.</w:t>
      </w:r>
    </w:p>
    <w:p w14:paraId="54C7FC83" w14:textId="77777777" w:rsidR="006F68F5" w:rsidRPr="004B6138" w:rsidRDefault="006F68F5" w:rsidP="008B7360">
      <w:pPr>
        <w:pStyle w:val="BodyText"/>
        <w:rPr>
          <w:rFonts w:ascii="Arial" w:hAnsi="Arial" w:cs="Arial"/>
          <w:sz w:val="22"/>
          <w:szCs w:val="22"/>
        </w:rPr>
      </w:pPr>
    </w:p>
    <w:p w14:paraId="71424E0F" w14:textId="529C3F11" w:rsidR="009303D9" w:rsidRPr="006A4A01" w:rsidRDefault="006A4A01" w:rsidP="006A4A01">
      <w:pPr>
        <w:pStyle w:val="Heading1"/>
        <w:rPr>
          <w:b/>
          <w:bCs/>
        </w:rPr>
      </w:pPr>
      <w:r w:rsidRPr="006A4A01">
        <w:rPr>
          <w:b/>
          <w:bCs/>
        </w:rPr>
        <w:t>Related work</w:t>
      </w:r>
    </w:p>
    <w:p w14:paraId="6DE47BC1" w14:textId="5AC35988" w:rsidR="00302B08" w:rsidRPr="004B6138" w:rsidRDefault="00302B08" w:rsidP="00302B08">
      <w:pPr>
        <w:jc w:val="both"/>
        <w:rPr>
          <w:rFonts w:ascii="Arial" w:hAnsi="Arial" w:cs="Arial"/>
          <w:sz w:val="22"/>
          <w:szCs w:val="22"/>
        </w:rPr>
      </w:pPr>
      <w:r w:rsidRPr="004B6138">
        <w:rPr>
          <w:rFonts w:ascii="Arial" w:hAnsi="Arial" w:cs="Arial"/>
          <w:sz w:val="22"/>
          <w:szCs w:val="22"/>
        </w:rPr>
        <w:t>Many data-driven approaches have been deployed to solve this problem, as the churn-prediction</w:t>
      </w:r>
      <w:r w:rsidR="002C3043">
        <w:rPr>
          <w:rFonts w:ascii="Arial" w:hAnsi="Arial" w:cs="Arial"/>
          <w:sz w:val="22"/>
          <w:szCs w:val="22"/>
        </w:rPr>
        <w:t xml:space="preserve"> </w:t>
      </w:r>
      <w:r w:rsidRPr="004B6138">
        <w:rPr>
          <w:rFonts w:ascii="Arial" w:hAnsi="Arial" w:cs="Arial"/>
          <w:sz w:val="22"/>
          <w:szCs w:val="22"/>
        </w:rPr>
        <w:t xml:space="preserve">thoroughly documented. </w:t>
      </w:r>
      <w:proofErr w:type="spellStart"/>
      <w:r w:rsidRPr="004B6138">
        <w:rPr>
          <w:rFonts w:ascii="Arial" w:hAnsi="Arial" w:cs="Arial"/>
          <w:sz w:val="22"/>
          <w:szCs w:val="22"/>
        </w:rPr>
        <w:t>Naradhi</w:t>
      </w:r>
      <w:proofErr w:type="spellEnd"/>
      <w:r w:rsidRPr="004B6138">
        <w:rPr>
          <w:rFonts w:ascii="Arial" w:hAnsi="Arial" w:cs="Arial"/>
          <w:sz w:val="22"/>
          <w:szCs w:val="22"/>
        </w:rPr>
        <w:t xml:space="preserve"> and Palshikar (2011) state that studies have historically used statistical approaches and, more recently, sophisticated machine-learning techniques to forecast churn. These techniques sort through enormous volumes of c</w:t>
      </w:r>
      <w:r w:rsidR="00174ED7">
        <w:rPr>
          <w:rFonts w:ascii="Arial" w:hAnsi="Arial" w:cs="Arial"/>
          <w:sz w:val="22"/>
          <w:szCs w:val="22"/>
        </w:rPr>
        <w:t>u</w:t>
      </w:r>
      <w:r w:rsidR="00D33718">
        <w:rPr>
          <w:rFonts w:ascii="Arial" w:hAnsi="Arial" w:cs="Arial"/>
          <w:sz w:val="22"/>
          <w:szCs w:val="22"/>
        </w:rPr>
        <w:t>s</w:t>
      </w:r>
      <w:r w:rsidR="00174ED7">
        <w:rPr>
          <w:rFonts w:ascii="Arial" w:hAnsi="Arial" w:cs="Arial"/>
          <w:sz w:val="22"/>
          <w:szCs w:val="22"/>
        </w:rPr>
        <w:t>tomer</w:t>
      </w:r>
      <w:r w:rsidRPr="004B6138">
        <w:rPr>
          <w:rFonts w:ascii="Arial" w:hAnsi="Arial" w:cs="Arial"/>
          <w:sz w:val="22"/>
          <w:szCs w:val="22"/>
        </w:rPr>
        <w:t xml:space="preserve"> data to find probable churn-predictors, ranging from individual demographics to comprehensive</w:t>
      </w:r>
      <w:r w:rsidR="00F37A3A">
        <w:rPr>
          <w:rFonts w:ascii="Arial" w:hAnsi="Arial" w:cs="Arial"/>
          <w:sz w:val="22"/>
          <w:szCs w:val="22"/>
        </w:rPr>
        <w:t>-</w:t>
      </w:r>
      <w:r w:rsidRPr="004B6138">
        <w:rPr>
          <w:rFonts w:ascii="Arial" w:hAnsi="Arial" w:cs="Arial"/>
          <w:sz w:val="22"/>
          <w:szCs w:val="22"/>
        </w:rPr>
        <w:t>service usage patterns.</w:t>
      </w:r>
    </w:p>
    <w:p w14:paraId="716C8FA0" w14:textId="39AE5EAB" w:rsidR="00302B08" w:rsidRPr="004B6138" w:rsidRDefault="00302B08" w:rsidP="00C56705">
      <w:pPr>
        <w:spacing w:after="240"/>
        <w:jc w:val="both"/>
        <w:rPr>
          <w:rFonts w:ascii="Arial" w:hAnsi="Arial" w:cs="Arial"/>
          <w:sz w:val="22"/>
          <w:szCs w:val="22"/>
        </w:rPr>
      </w:pPr>
      <w:r w:rsidRPr="004B6138">
        <w:rPr>
          <w:rFonts w:ascii="Arial" w:hAnsi="Arial" w:cs="Arial"/>
          <w:sz w:val="22"/>
          <w:szCs w:val="22"/>
        </w:rPr>
        <w:t xml:space="preserve">The incorporation of machine-learning algorithms, which can handle big, complicated </w:t>
      </w:r>
      <w:r w:rsidR="00814E49" w:rsidRPr="004B6138">
        <w:rPr>
          <w:rFonts w:ascii="Arial" w:hAnsi="Arial" w:cs="Arial"/>
          <w:sz w:val="22"/>
          <w:szCs w:val="22"/>
        </w:rPr>
        <w:t>datasets,</w:t>
      </w:r>
      <w:r w:rsidRPr="004B6138">
        <w:rPr>
          <w:rFonts w:ascii="Arial" w:hAnsi="Arial" w:cs="Arial"/>
          <w:sz w:val="22"/>
          <w:szCs w:val="22"/>
        </w:rPr>
        <w:t xml:space="preserve"> has become increasingly important in the sector. In </w:t>
      </w:r>
      <w:proofErr w:type="spellStart"/>
      <w:r w:rsidRPr="004B6138">
        <w:rPr>
          <w:rFonts w:ascii="Arial" w:hAnsi="Arial" w:cs="Arial"/>
          <w:sz w:val="22"/>
          <w:szCs w:val="22"/>
        </w:rPr>
        <w:t>Thangeda</w:t>
      </w:r>
      <w:proofErr w:type="spellEnd"/>
      <w:r w:rsidRPr="004B6138">
        <w:rPr>
          <w:rFonts w:ascii="Arial" w:hAnsi="Arial" w:cs="Arial"/>
          <w:sz w:val="22"/>
          <w:szCs w:val="22"/>
        </w:rPr>
        <w:t>, Kumar, and Majhi's research (2024), neural</w:t>
      </w:r>
      <w:r w:rsidR="007C3E6A">
        <w:rPr>
          <w:rFonts w:ascii="Arial" w:hAnsi="Arial" w:cs="Arial"/>
          <w:sz w:val="22"/>
          <w:szCs w:val="22"/>
        </w:rPr>
        <w:t>-</w:t>
      </w:r>
      <w:r w:rsidRPr="004B6138">
        <w:rPr>
          <w:rFonts w:ascii="Arial" w:hAnsi="Arial" w:cs="Arial"/>
          <w:sz w:val="22"/>
          <w:szCs w:val="22"/>
        </w:rPr>
        <w:t>networks were employed to model the probability of churn based on customer</w:t>
      </w:r>
      <w:r w:rsidR="007C3E6A">
        <w:rPr>
          <w:rFonts w:ascii="Arial" w:hAnsi="Arial" w:cs="Arial"/>
          <w:sz w:val="22"/>
          <w:szCs w:val="22"/>
        </w:rPr>
        <w:t>-</w:t>
      </w:r>
      <w:r w:rsidRPr="004B6138">
        <w:rPr>
          <w:rFonts w:ascii="Arial" w:hAnsi="Arial" w:cs="Arial"/>
          <w:sz w:val="22"/>
          <w:szCs w:val="22"/>
        </w:rPr>
        <w:t>contact data, whereas Ullah et al.'s (2019) study included ensemble</w:t>
      </w:r>
      <w:r w:rsidR="002A5001">
        <w:rPr>
          <w:rFonts w:ascii="Arial" w:hAnsi="Arial" w:cs="Arial"/>
          <w:sz w:val="22"/>
          <w:szCs w:val="22"/>
        </w:rPr>
        <w:t>-</w:t>
      </w:r>
      <w:r w:rsidRPr="004B6138">
        <w:rPr>
          <w:rFonts w:ascii="Arial" w:hAnsi="Arial" w:cs="Arial"/>
          <w:sz w:val="22"/>
          <w:szCs w:val="22"/>
        </w:rPr>
        <w:t>approaches to enhance prediction</w:t>
      </w:r>
      <w:r w:rsidR="002A5001">
        <w:rPr>
          <w:rFonts w:ascii="Arial" w:hAnsi="Arial" w:cs="Arial"/>
          <w:sz w:val="22"/>
          <w:szCs w:val="22"/>
        </w:rPr>
        <w:t>-</w:t>
      </w:r>
      <w:r w:rsidRPr="004B6138">
        <w:rPr>
          <w:rFonts w:ascii="Arial" w:hAnsi="Arial" w:cs="Arial"/>
          <w:sz w:val="22"/>
          <w:szCs w:val="22"/>
        </w:rPr>
        <w:t>accuracy.</w:t>
      </w:r>
    </w:p>
    <w:p w14:paraId="369A7851" w14:textId="77777777" w:rsidR="007074BB" w:rsidRPr="007074BB" w:rsidRDefault="00302B08" w:rsidP="007074BB">
      <w:pPr>
        <w:pStyle w:val="BodyText"/>
        <w:rPr>
          <w:rFonts w:ascii="Arial" w:hAnsi="Arial" w:cs="Arial"/>
          <w:sz w:val="22"/>
          <w:szCs w:val="22"/>
        </w:rPr>
      </w:pPr>
      <w:r w:rsidRPr="004B6138">
        <w:rPr>
          <w:rFonts w:ascii="Arial" w:hAnsi="Arial" w:cs="Arial"/>
          <w:sz w:val="22"/>
          <w:szCs w:val="22"/>
        </w:rPr>
        <w:t>Even with the advances, it is still difficult to combine and understand different kinds of data in prediction</w:t>
      </w:r>
      <w:r w:rsidR="004C4C6D">
        <w:rPr>
          <w:rFonts w:ascii="Arial" w:hAnsi="Arial" w:cs="Arial"/>
          <w:sz w:val="22"/>
          <w:szCs w:val="22"/>
        </w:rPr>
        <w:t>-</w:t>
      </w:r>
      <w:r w:rsidRPr="004B6138">
        <w:rPr>
          <w:rFonts w:ascii="Arial" w:hAnsi="Arial" w:cs="Arial"/>
          <w:sz w:val="22"/>
          <w:szCs w:val="22"/>
        </w:rPr>
        <w:t xml:space="preserve">models. Research on the relative significance of several features such as contract-terms, billing-information, and customer-service interactions that are crucial for forecasting </w:t>
      </w:r>
      <w:r w:rsidR="000C5B63">
        <w:rPr>
          <w:rFonts w:ascii="Arial" w:hAnsi="Arial" w:cs="Arial"/>
          <w:sz w:val="22"/>
          <w:szCs w:val="22"/>
        </w:rPr>
        <w:t>churn</w:t>
      </w:r>
      <w:r w:rsidRPr="004B6138">
        <w:rPr>
          <w:rFonts w:ascii="Arial" w:hAnsi="Arial" w:cs="Arial"/>
          <w:sz w:val="22"/>
          <w:szCs w:val="22"/>
        </w:rPr>
        <w:t xml:space="preserve"> is also underway. </w:t>
      </w:r>
      <w:r w:rsidR="007074BB" w:rsidRPr="007074BB">
        <w:rPr>
          <w:rFonts w:ascii="Arial" w:hAnsi="Arial" w:cs="Arial"/>
          <w:sz w:val="22"/>
          <w:szCs w:val="22"/>
        </w:rPr>
        <w:t xml:space="preserve">However, there are still unresolved issues. This study aims to address these gaps by </w:t>
      </w:r>
      <w:proofErr w:type="spellStart"/>
      <w:r w:rsidR="007074BB" w:rsidRPr="007074BB">
        <w:rPr>
          <w:rFonts w:ascii="Arial" w:hAnsi="Arial" w:cs="Arial"/>
          <w:sz w:val="22"/>
          <w:szCs w:val="22"/>
        </w:rPr>
        <w:t>analyzing</w:t>
      </w:r>
      <w:proofErr w:type="spellEnd"/>
      <w:r w:rsidR="007074BB" w:rsidRPr="007074BB">
        <w:rPr>
          <w:rFonts w:ascii="Arial" w:hAnsi="Arial" w:cs="Arial"/>
          <w:sz w:val="22"/>
          <w:szCs w:val="22"/>
        </w:rPr>
        <w:t xml:space="preserve"> a comprehensive telecom dataset.</w:t>
      </w:r>
    </w:p>
    <w:p w14:paraId="67E38DC9" w14:textId="5F067BCA" w:rsidR="00965295" w:rsidRDefault="007074BB" w:rsidP="007074BB">
      <w:pPr>
        <w:pStyle w:val="BodyText"/>
        <w:rPr>
          <w:rFonts w:ascii="Arial" w:hAnsi="Arial" w:cs="Arial"/>
          <w:sz w:val="22"/>
          <w:szCs w:val="22"/>
        </w:rPr>
      </w:pPr>
      <w:r w:rsidRPr="007D6E3F">
        <w:rPr>
          <w:rFonts w:ascii="Arial" w:hAnsi="Arial" w:cs="Arial"/>
          <w:b/>
          <w:bCs/>
          <w:sz w:val="22"/>
          <w:szCs w:val="22"/>
        </w:rPr>
        <w:lastRenderedPageBreak/>
        <w:t>Study Objective</w:t>
      </w:r>
      <w:r w:rsidRPr="007074BB">
        <w:rPr>
          <w:rFonts w:ascii="Arial" w:hAnsi="Arial" w:cs="Arial"/>
          <w:sz w:val="22"/>
          <w:szCs w:val="22"/>
        </w:rPr>
        <w:t>: By leveraging a wide range of prediction methods, we seek to validate earlier findings and provide novel insights into the effectiveness of different algorithms in the highly competitive telecom industry.</w:t>
      </w:r>
    </w:p>
    <w:p w14:paraId="4522DCB3" w14:textId="77777777" w:rsidR="005340BC" w:rsidRPr="004B6138" w:rsidRDefault="005340BC" w:rsidP="00965295">
      <w:pPr>
        <w:pStyle w:val="BodyText"/>
        <w:rPr>
          <w:rFonts w:ascii="Arial" w:hAnsi="Arial" w:cs="Arial"/>
          <w:sz w:val="22"/>
          <w:szCs w:val="22"/>
        </w:rPr>
      </w:pPr>
    </w:p>
    <w:p w14:paraId="28ED5A5D" w14:textId="60628BBC" w:rsidR="006C2BF5" w:rsidRPr="00765DB1" w:rsidRDefault="006C2BF5" w:rsidP="00926A30">
      <w:pPr>
        <w:pStyle w:val="Heading1"/>
        <w:rPr>
          <w:b/>
          <w:bCs/>
        </w:rPr>
      </w:pPr>
      <w:r w:rsidRPr="00765DB1">
        <w:rPr>
          <w:b/>
          <w:bCs/>
        </w:rPr>
        <w:t>Data</w:t>
      </w:r>
      <w:r w:rsidR="007969A4" w:rsidRPr="00765DB1">
        <w:rPr>
          <w:b/>
          <w:bCs/>
        </w:rPr>
        <w:t>-</w:t>
      </w:r>
      <w:r w:rsidRPr="00765DB1">
        <w:rPr>
          <w:b/>
          <w:bCs/>
        </w:rPr>
        <w:t>Exploration and Features</w:t>
      </w:r>
      <w:r w:rsidR="007969A4" w:rsidRPr="00765DB1">
        <w:rPr>
          <w:b/>
          <w:bCs/>
        </w:rPr>
        <w:t>-</w:t>
      </w:r>
      <w:r w:rsidRPr="00765DB1">
        <w:rPr>
          <w:b/>
          <w:bCs/>
        </w:rPr>
        <w:t>Selection</w:t>
      </w:r>
    </w:p>
    <w:p w14:paraId="1C5AD2C5" w14:textId="3049845B" w:rsidR="00AD389F" w:rsidRPr="004B6138" w:rsidRDefault="00AD389F" w:rsidP="00571CE0">
      <w:pPr>
        <w:pStyle w:val="BodyText"/>
        <w:ind w:firstLine="0"/>
        <w:rPr>
          <w:rFonts w:ascii="Arial" w:hAnsi="Arial" w:cs="Arial"/>
          <w:sz w:val="22"/>
          <w:szCs w:val="22"/>
        </w:rPr>
      </w:pPr>
      <w:r w:rsidRPr="008F009D">
        <w:rPr>
          <w:rFonts w:ascii="Arial" w:hAnsi="Arial" w:cs="Arial"/>
          <w:b/>
          <w:bCs/>
          <w:sz w:val="22"/>
          <w:szCs w:val="22"/>
        </w:rPr>
        <w:t>Data</w:t>
      </w:r>
      <w:r w:rsidR="007969A4">
        <w:rPr>
          <w:rFonts w:ascii="Arial" w:hAnsi="Arial" w:cs="Arial"/>
          <w:b/>
          <w:bCs/>
          <w:sz w:val="22"/>
          <w:szCs w:val="22"/>
        </w:rPr>
        <w:t>-</w:t>
      </w:r>
      <w:r w:rsidRPr="008F009D">
        <w:rPr>
          <w:rFonts w:ascii="Arial" w:hAnsi="Arial" w:cs="Arial"/>
          <w:b/>
          <w:bCs/>
          <w:sz w:val="22"/>
          <w:szCs w:val="22"/>
        </w:rPr>
        <w:t>Cleaning</w:t>
      </w:r>
      <w:r w:rsidR="00CB403B">
        <w:rPr>
          <w:rFonts w:ascii="Arial" w:hAnsi="Arial" w:cs="Arial"/>
          <w:b/>
          <w:bCs/>
          <w:sz w:val="22"/>
          <w:szCs w:val="22"/>
        </w:rPr>
        <w:t>-</w:t>
      </w:r>
      <w:r w:rsidRPr="008F009D">
        <w:rPr>
          <w:rFonts w:ascii="Arial" w:hAnsi="Arial" w:cs="Arial"/>
          <w:b/>
          <w:bCs/>
          <w:sz w:val="22"/>
          <w:szCs w:val="22"/>
        </w:rPr>
        <w:t>and</w:t>
      </w:r>
      <w:r w:rsidR="00CB403B">
        <w:rPr>
          <w:rFonts w:ascii="Arial" w:hAnsi="Arial" w:cs="Arial"/>
          <w:b/>
          <w:bCs/>
          <w:sz w:val="22"/>
          <w:szCs w:val="22"/>
        </w:rPr>
        <w:t>-</w:t>
      </w:r>
      <w:r w:rsidRPr="008F009D">
        <w:rPr>
          <w:rFonts w:ascii="Arial" w:hAnsi="Arial" w:cs="Arial"/>
          <w:b/>
          <w:bCs/>
          <w:sz w:val="22"/>
          <w:szCs w:val="22"/>
        </w:rPr>
        <w:t>Preprocessing</w:t>
      </w:r>
      <w:r w:rsidRPr="004B6138">
        <w:rPr>
          <w:rFonts w:ascii="Arial" w:hAnsi="Arial" w:cs="Arial"/>
          <w:sz w:val="22"/>
          <w:szCs w:val="22"/>
        </w:rPr>
        <w:t>: Understanding the distribution, quality, and structure of the data in the dataset which contained extensive customer-data from a telecom-company was the primary goal of the initial data research. The dataset</w:t>
      </w:r>
      <w:r w:rsidR="00EE5B36">
        <w:rPr>
          <w:rFonts w:ascii="Arial" w:hAnsi="Arial" w:cs="Arial"/>
          <w:sz w:val="22"/>
          <w:szCs w:val="22"/>
        </w:rPr>
        <w:t xml:space="preserve"> </w:t>
      </w:r>
      <w:r w:rsidR="00C47B67">
        <w:rPr>
          <w:rFonts w:ascii="Arial" w:hAnsi="Arial" w:cs="Arial"/>
          <w:sz w:val="22"/>
          <w:szCs w:val="22"/>
        </w:rPr>
        <w:t xml:space="preserve">from </w:t>
      </w:r>
      <w:proofErr w:type="spellStart"/>
      <w:r w:rsidR="00C47B67">
        <w:rPr>
          <w:rFonts w:ascii="Arial" w:hAnsi="Arial" w:cs="Arial"/>
          <w:sz w:val="22"/>
          <w:szCs w:val="22"/>
        </w:rPr>
        <w:t>kaggle</w:t>
      </w:r>
      <w:proofErr w:type="spellEnd"/>
      <w:r w:rsidR="00311E67">
        <w:fldChar w:fldCharType="begin"/>
      </w:r>
      <w:r w:rsidR="00311E67">
        <w:instrText>HYPERLINK "https://www.kaggle.com/datasets/shilongzhuang/telecom-customer-churn-by-maven-analytics"</w:instrText>
      </w:r>
      <w:r w:rsidR="00311E67">
        <w:fldChar w:fldCharType="separate"/>
      </w:r>
      <w:r w:rsidR="0086221C">
        <w:rPr>
          <w:rStyle w:val="Hyperlink"/>
          <w:rFonts w:ascii="Segoe UI Emoji" w:hAnsi="Segoe UI Emoji" w:cs="Segoe UI Emoji"/>
        </w:rPr>
        <w:t>🙁📡</w:t>
      </w:r>
      <w:r w:rsidR="0086221C">
        <w:rPr>
          <w:rStyle w:val="Hyperlink"/>
        </w:rPr>
        <w:t xml:space="preserve"> Telecom Customer Churn Prediction (kaggle.com)</w:t>
      </w:r>
      <w:r w:rsidR="00311E67">
        <w:rPr>
          <w:rStyle w:val="Hyperlink"/>
        </w:rPr>
        <w:fldChar w:fldCharType="end"/>
      </w:r>
      <w:r w:rsidRPr="004B6138">
        <w:rPr>
          <w:rFonts w:ascii="Arial" w:hAnsi="Arial" w:cs="Arial"/>
          <w:sz w:val="22"/>
          <w:szCs w:val="22"/>
        </w:rPr>
        <w:t xml:space="preserve"> included 7,043 entries, each of which represented a c</w:t>
      </w:r>
      <w:r w:rsidR="007A7EC4">
        <w:rPr>
          <w:rFonts w:ascii="Arial" w:hAnsi="Arial" w:cs="Arial"/>
          <w:sz w:val="22"/>
          <w:szCs w:val="22"/>
        </w:rPr>
        <w:t>usto</w:t>
      </w:r>
      <w:r w:rsidRPr="004B6138">
        <w:rPr>
          <w:rFonts w:ascii="Arial" w:hAnsi="Arial" w:cs="Arial"/>
          <w:sz w:val="22"/>
          <w:szCs w:val="22"/>
        </w:rPr>
        <w:t>mer. It had 37 attributes, which included billing-information, demographics, service details, and measures related to customer-interaction.</w:t>
      </w:r>
    </w:p>
    <w:p w14:paraId="635499F8" w14:textId="2062C2CC" w:rsidR="00AD389F" w:rsidRPr="004B6138" w:rsidRDefault="00AD389F" w:rsidP="001E55CC">
      <w:pPr>
        <w:pStyle w:val="BodyText"/>
        <w:ind w:firstLine="0"/>
        <w:rPr>
          <w:rFonts w:ascii="Arial" w:hAnsi="Arial" w:cs="Arial"/>
          <w:sz w:val="22"/>
          <w:szCs w:val="22"/>
        </w:rPr>
      </w:pPr>
      <w:r w:rsidRPr="001E55CC">
        <w:rPr>
          <w:rFonts w:ascii="Arial" w:hAnsi="Arial" w:cs="Arial"/>
          <w:b/>
          <w:bCs/>
          <w:sz w:val="22"/>
          <w:szCs w:val="22"/>
        </w:rPr>
        <w:t>Quality-Inspected</w:t>
      </w:r>
      <w:r w:rsidRPr="00644F06">
        <w:rPr>
          <w:rFonts w:ascii="Arial" w:hAnsi="Arial" w:cs="Arial"/>
          <w:sz w:val="22"/>
          <w:szCs w:val="22"/>
        </w:rPr>
        <w:t>:</w:t>
      </w:r>
      <w:r w:rsidRPr="004B6138">
        <w:rPr>
          <w:rFonts w:ascii="Arial" w:hAnsi="Arial" w:cs="Arial"/>
          <w:sz w:val="22"/>
          <w:szCs w:val="22"/>
        </w:rPr>
        <w:t xml:space="preserve"> A comprehensive-evaluation of the data-quality was carried out. The absence of duplicate records was determined, indicating clean data in terms of consumer uniqueness. </w:t>
      </w:r>
    </w:p>
    <w:p w14:paraId="26D939AD" w14:textId="03BCC875" w:rsidR="009303D9" w:rsidRDefault="00AD389F" w:rsidP="001E55CC">
      <w:pPr>
        <w:pStyle w:val="BodyText"/>
        <w:ind w:firstLine="0"/>
        <w:rPr>
          <w:rFonts w:ascii="Arial" w:hAnsi="Arial" w:cs="Arial"/>
          <w:sz w:val="22"/>
          <w:szCs w:val="22"/>
        </w:rPr>
      </w:pPr>
      <w:r w:rsidRPr="008F009D">
        <w:rPr>
          <w:rFonts w:ascii="Arial" w:hAnsi="Arial" w:cs="Arial"/>
          <w:b/>
          <w:bCs/>
          <w:sz w:val="22"/>
          <w:szCs w:val="22"/>
        </w:rPr>
        <w:t>Managing</w:t>
      </w:r>
      <w:r w:rsidR="009C6F07" w:rsidRPr="008F009D">
        <w:rPr>
          <w:rFonts w:ascii="Arial" w:hAnsi="Arial" w:cs="Arial"/>
          <w:b/>
          <w:bCs/>
          <w:sz w:val="22"/>
          <w:szCs w:val="22"/>
        </w:rPr>
        <w:t xml:space="preserve"> </w:t>
      </w:r>
      <w:r w:rsidRPr="008F009D">
        <w:rPr>
          <w:rFonts w:ascii="Arial" w:hAnsi="Arial" w:cs="Arial"/>
          <w:b/>
          <w:bCs/>
          <w:sz w:val="22"/>
          <w:szCs w:val="22"/>
        </w:rPr>
        <w:t>Missing-Value and Outlier</w:t>
      </w:r>
      <w:r w:rsidRPr="004B6138">
        <w:rPr>
          <w:rFonts w:ascii="Arial" w:hAnsi="Arial" w:cs="Arial"/>
          <w:sz w:val="22"/>
          <w:szCs w:val="22"/>
        </w:rPr>
        <w:t>: To address inconsistencies, missing-values, and outlier</w:t>
      </w:r>
      <w:r w:rsidR="000016CC">
        <w:rPr>
          <w:rFonts w:ascii="Arial" w:hAnsi="Arial" w:cs="Arial"/>
          <w:sz w:val="22"/>
          <w:szCs w:val="22"/>
        </w:rPr>
        <w:t>-</w:t>
      </w:r>
      <w:r w:rsidRPr="004B6138">
        <w:rPr>
          <w:rFonts w:ascii="Arial" w:hAnsi="Arial" w:cs="Arial"/>
          <w:sz w:val="22"/>
          <w:szCs w:val="22"/>
        </w:rPr>
        <w:t>adjustments,</w:t>
      </w:r>
      <w:r w:rsidR="00283BC6">
        <w:rPr>
          <w:rFonts w:ascii="Arial" w:hAnsi="Arial" w:cs="Arial"/>
          <w:sz w:val="22"/>
          <w:szCs w:val="22"/>
        </w:rPr>
        <w:t xml:space="preserve"> </w:t>
      </w:r>
      <w:r w:rsidRPr="004B6138">
        <w:rPr>
          <w:rFonts w:ascii="Arial" w:hAnsi="Arial" w:cs="Arial"/>
          <w:sz w:val="22"/>
          <w:szCs w:val="22"/>
        </w:rPr>
        <w:t>'No</w:t>
      </w:r>
      <w:r w:rsidR="00283BC6">
        <w:rPr>
          <w:rFonts w:ascii="Arial" w:hAnsi="Arial" w:cs="Arial"/>
          <w:sz w:val="22"/>
          <w:szCs w:val="22"/>
        </w:rPr>
        <w:t>-</w:t>
      </w:r>
      <w:r w:rsidRPr="004B6138">
        <w:rPr>
          <w:rFonts w:ascii="Arial" w:hAnsi="Arial" w:cs="Arial"/>
          <w:sz w:val="22"/>
          <w:szCs w:val="22"/>
        </w:rPr>
        <w:t xml:space="preserve">Internet-Service' was imputed to fill in the blanks in sections like Internet-Type and </w:t>
      </w:r>
      <w:r w:rsidR="00143239">
        <w:rPr>
          <w:rFonts w:ascii="Arial" w:hAnsi="Arial" w:cs="Arial"/>
          <w:sz w:val="22"/>
          <w:szCs w:val="22"/>
        </w:rPr>
        <w:t>other internet</w:t>
      </w:r>
      <w:r w:rsidR="00DE41F6">
        <w:rPr>
          <w:rFonts w:ascii="Arial" w:hAnsi="Arial" w:cs="Arial"/>
          <w:sz w:val="22"/>
          <w:szCs w:val="22"/>
        </w:rPr>
        <w:t>-</w:t>
      </w:r>
      <w:r w:rsidR="00143239">
        <w:rPr>
          <w:rFonts w:ascii="Arial" w:hAnsi="Arial" w:cs="Arial"/>
          <w:sz w:val="22"/>
          <w:szCs w:val="22"/>
        </w:rPr>
        <w:t>features</w:t>
      </w:r>
      <w:r w:rsidRPr="004B6138">
        <w:rPr>
          <w:rFonts w:ascii="Arial" w:hAnsi="Arial" w:cs="Arial"/>
          <w:sz w:val="22"/>
          <w:szCs w:val="22"/>
        </w:rPr>
        <w:t>, presuming that the missing entries did not have internet</w:t>
      </w:r>
      <w:r w:rsidR="00DE41F6">
        <w:rPr>
          <w:rFonts w:ascii="Arial" w:hAnsi="Arial" w:cs="Arial"/>
          <w:sz w:val="22"/>
          <w:szCs w:val="22"/>
        </w:rPr>
        <w:t>-</w:t>
      </w:r>
      <w:r w:rsidRPr="004B6138">
        <w:rPr>
          <w:rFonts w:ascii="Arial" w:hAnsi="Arial" w:cs="Arial"/>
          <w:sz w:val="22"/>
          <w:szCs w:val="22"/>
        </w:rPr>
        <w:t xml:space="preserve">access. Similarly, to </w:t>
      </w:r>
      <w:r w:rsidR="00551237" w:rsidRPr="004B6138">
        <w:rPr>
          <w:rFonts w:ascii="Arial" w:hAnsi="Arial" w:cs="Arial"/>
          <w:sz w:val="22"/>
          <w:szCs w:val="22"/>
        </w:rPr>
        <w:t xml:space="preserve"> </w:t>
      </w:r>
      <w:r w:rsidRPr="004B6138">
        <w:rPr>
          <w:rFonts w:ascii="Arial" w:hAnsi="Arial" w:cs="Arial"/>
          <w:sz w:val="22"/>
          <w:szCs w:val="22"/>
        </w:rPr>
        <w:t>preserve the integrity of the distribution, missing-values for numerical-variables such as the average monthly long-distance charges were imputed using the median value. Additionally, to enhance model</w:t>
      </w:r>
      <w:r w:rsidR="008A1E52">
        <w:rPr>
          <w:rFonts w:ascii="Arial" w:hAnsi="Arial" w:cs="Arial"/>
          <w:sz w:val="22"/>
          <w:szCs w:val="22"/>
        </w:rPr>
        <w:t>-</w:t>
      </w:r>
      <w:r w:rsidRPr="004B6138">
        <w:rPr>
          <w:rFonts w:ascii="Arial" w:hAnsi="Arial" w:cs="Arial"/>
          <w:sz w:val="22"/>
          <w:szCs w:val="22"/>
        </w:rPr>
        <w:t>performance, a few characteristics with outliers were normalized or rectified</w:t>
      </w:r>
      <w:r w:rsidR="009303D9" w:rsidRPr="004B6138">
        <w:rPr>
          <w:rFonts w:ascii="Arial" w:hAnsi="Arial" w:cs="Arial"/>
          <w:sz w:val="22"/>
          <w:szCs w:val="22"/>
        </w:rPr>
        <w:t>.</w:t>
      </w:r>
    </w:p>
    <w:p w14:paraId="4D329B43" w14:textId="77777777" w:rsidR="001E6204" w:rsidRPr="004B6138" w:rsidRDefault="001E6204" w:rsidP="001E55CC">
      <w:pPr>
        <w:pStyle w:val="BodyText"/>
        <w:ind w:firstLine="0"/>
        <w:rPr>
          <w:rFonts w:ascii="Arial" w:hAnsi="Arial" w:cs="Arial"/>
          <w:sz w:val="22"/>
          <w:szCs w:val="22"/>
        </w:rPr>
      </w:pPr>
    </w:p>
    <w:p w14:paraId="793B20B7" w14:textId="77777777" w:rsidR="00006F6D" w:rsidRPr="009C6F07" w:rsidRDefault="00006F6D" w:rsidP="001B5E4F">
      <w:pPr>
        <w:pStyle w:val="Heading1"/>
        <w:rPr>
          <w:b/>
          <w:bCs/>
        </w:rPr>
      </w:pPr>
      <w:r w:rsidRPr="009C6F07">
        <w:rPr>
          <w:b/>
          <w:bCs/>
        </w:rPr>
        <w:t>Exploratory Data Analysis (EDA)</w:t>
      </w:r>
    </w:p>
    <w:p w14:paraId="6C630A6F" w14:textId="22B96F13" w:rsidR="00006F6D" w:rsidRPr="004B6138" w:rsidRDefault="00006F6D" w:rsidP="005100C2">
      <w:pPr>
        <w:spacing w:after="240"/>
        <w:jc w:val="both"/>
        <w:rPr>
          <w:rFonts w:ascii="Arial" w:hAnsi="Arial" w:cs="Arial"/>
          <w:sz w:val="22"/>
          <w:szCs w:val="22"/>
        </w:rPr>
      </w:pPr>
      <w:r w:rsidRPr="004B6138">
        <w:rPr>
          <w:rFonts w:ascii="Arial" w:hAnsi="Arial" w:cs="Arial"/>
          <w:sz w:val="22"/>
          <w:szCs w:val="22"/>
        </w:rPr>
        <w:t xml:space="preserve">The variability and core tendency of characteristics were explained by </w:t>
      </w:r>
      <w:r w:rsidR="00825142" w:rsidRPr="004B6138">
        <w:rPr>
          <w:rFonts w:ascii="Arial" w:hAnsi="Arial" w:cs="Arial"/>
          <w:sz w:val="22"/>
          <w:szCs w:val="22"/>
        </w:rPr>
        <w:t>descriptive</w:t>
      </w:r>
      <w:r w:rsidR="00825142">
        <w:rPr>
          <w:rFonts w:ascii="Arial" w:hAnsi="Arial" w:cs="Arial"/>
          <w:sz w:val="22"/>
          <w:szCs w:val="22"/>
        </w:rPr>
        <w:t xml:space="preserve"> statistics</w:t>
      </w:r>
      <w:r w:rsidRPr="004B6138">
        <w:rPr>
          <w:rFonts w:ascii="Arial" w:hAnsi="Arial" w:cs="Arial"/>
          <w:sz w:val="22"/>
          <w:szCs w:val="22"/>
        </w:rPr>
        <w:t>. Indicating varying c</w:t>
      </w:r>
      <w:r w:rsidR="00BF1F5E">
        <w:rPr>
          <w:rFonts w:ascii="Arial" w:hAnsi="Arial" w:cs="Arial"/>
          <w:sz w:val="22"/>
          <w:szCs w:val="22"/>
        </w:rPr>
        <w:t>ustomer</w:t>
      </w:r>
      <w:r w:rsidR="00A42F41">
        <w:rPr>
          <w:rFonts w:ascii="Arial" w:hAnsi="Arial" w:cs="Arial"/>
          <w:sz w:val="22"/>
          <w:szCs w:val="22"/>
        </w:rPr>
        <w:t>-</w:t>
      </w:r>
      <w:r w:rsidRPr="004B6138">
        <w:rPr>
          <w:rFonts w:ascii="Arial" w:hAnsi="Arial" w:cs="Arial"/>
          <w:sz w:val="22"/>
          <w:szCs w:val="22"/>
        </w:rPr>
        <w:t>behaviors and usage</w:t>
      </w:r>
      <w:r w:rsidR="00A42F41">
        <w:rPr>
          <w:rFonts w:ascii="Arial" w:hAnsi="Arial" w:cs="Arial"/>
          <w:sz w:val="22"/>
          <w:szCs w:val="22"/>
        </w:rPr>
        <w:t>-</w:t>
      </w:r>
      <w:r w:rsidRPr="004B6138">
        <w:rPr>
          <w:rFonts w:ascii="Arial" w:hAnsi="Arial" w:cs="Arial"/>
          <w:sz w:val="22"/>
          <w:szCs w:val="22"/>
        </w:rPr>
        <w:t xml:space="preserve">patterns, metrics such as Age, Tenure in Months, and Monthly-Charges, for example, displayed significant variation. The identification of discrete consumer categories that are susceptible to </w:t>
      </w:r>
      <w:r w:rsidR="008F26ED">
        <w:rPr>
          <w:rFonts w:ascii="Arial" w:hAnsi="Arial" w:cs="Arial"/>
          <w:sz w:val="22"/>
          <w:szCs w:val="22"/>
        </w:rPr>
        <w:t>churn</w:t>
      </w:r>
      <w:r w:rsidRPr="004B6138">
        <w:rPr>
          <w:rFonts w:ascii="Arial" w:hAnsi="Arial" w:cs="Arial"/>
          <w:sz w:val="22"/>
          <w:szCs w:val="22"/>
        </w:rPr>
        <w:t xml:space="preserve"> depends on this heterogeneity.</w:t>
      </w:r>
    </w:p>
    <w:p w14:paraId="054A2C81" w14:textId="77EB9071" w:rsidR="00006F6D" w:rsidRPr="004B6138" w:rsidRDefault="00006F6D" w:rsidP="00006F6D">
      <w:pPr>
        <w:jc w:val="both"/>
        <w:rPr>
          <w:rFonts w:ascii="Arial" w:hAnsi="Arial" w:cs="Arial"/>
          <w:sz w:val="22"/>
          <w:szCs w:val="22"/>
        </w:rPr>
      </w:pPr>
      <w:r w:rsidRPr="004B6138">
        <w:rPr>
          <w:rFonts w:ascii="Arial" w:hAnsi="Arial" w:cs="Arial"/>
          <w:sz w:val="22"/>
          <w:szCs w:val="22"/>
        </w:rPr>
        <w:t>Younger</w:t>
      </w:r>
      <w:r w:rsidR="00107B6C">
        <w:rPr>
          <w:rFonts w:ascii="Arial" w:hAnsi="Arial" w:cs="Arial"/>
          <w:sz w:val="22"/>
          <w:szCs w:val="22"/>
        </w:rPr>
        <w:t>-</w:t>
      </w:r>
      <w:r w:rsidR="00A42F41">
        <w:rPr>
          <w:rFonts w:ascii="Arial" w:hAnsi="Arial" w:cs="Arial"/>
          <w:sz w:val="22"/>
          <w:szCs w:val="22"/>
        </w:rPr>
        <w:t>C</w:t>
      </w:r>
      <w:r w:rsidR="008F26ED">
        <w:rPr>
          <w:rFonts w:ascii="Arial" w:hAnsi="Arial" w:cs="Arial"/>
          <w:sz w:val="22"/>
          <w:szCs w:val="22"/>
        </w:rPr>
        <w:t>ustomers</w:t>
      </w:r>
      <w:r w:rsidRPr="004B6138">
        <w:rPr>
          <w:rFonts w:ascii="Arial" w:hAnsi="Arial" w:cs="Arial"/>
          <w:sz w:val="22"/>
          <w:szCs w:val="22"/>
        </w:rPr>
        <w:t xml:space="preserve"> are presumably more prone to churn, according to </w:t>
      </w:r>
      <w:r w:rsidR="00606112" w:rsidRPr="004B6138">
        <w:rPr>
          <w:rFonts w:ascii="Arial" w:hAnsi="Arial" w:cs="Arial"/>
          <w:sz w:val="22"/>
          <w:szCs w:val="22"/>
        </w:rPr>
        <w:t>Fig1</w:t>
      </w:r>
      <w:r w:rsidRPr="004B6138">
        <w:rPr>
          <w:rFonts w:ascii="Arial" w:hAnsi="Arial" w:cs="Arial"/>
          <w:sz w:val="22"/>
          <w:szCs w:val="22"/>
        </w:rPr>
        <w:t>. Different service expectations compared to older c</w:t>
      </w:r>
      <w:r w:rsidR="003B1E93">
        <w:rPr>
          <w:rFonts w:ascii="Arial" w:hAnsi="Arial" w:cs="Arial"/>
          <w:sz w:val="22"/>
          <w:szCs w:val="22"/>
        </w:rPr>
        <w:t>ustomer</w:t>
      </w:r>
      <w:r w:rsidRPr="004B6138">
        <w:rPr>
          <w:rFonts w:ascii="Arial" w:hAnsi="Arial" w:cs="Arial"/>
          <w:sz w:val="22"/>
          <w:szCs w:val="22"/>
        </w:rPr>
        <w:t>s, changes in lifestyle, or the pursuit of better discounts could all be the cause of this.</w:t>
      </w:r>
      <w:r w:rsidR="00FF0271">
        <w:rPr>
          <w:rFonts w:ascii="Arial" w:hAnsi="Arial" w:cs="Arial"/>
          <w:sz w:val="22"/>
          <w:szCs w:val="22"/>
        </w:rPr>
        <w:t xml:space="preserve"> </w:t>
      </w:r>
      <w:r w:rsidRPr="004B6138">
        <w:rPr>
          <w:rFonts w:ascii="Arial" w:hAnsi="Arial" w:cs="Arial"/>
          <w:sz w:val="22"/>
          <w:szCs w:val="22"/>
        </w:rPr>
        <w:t>Younger</w:t>
      </w:r>
      <w:r w:rsidR="00D56404">
        <w:rPr>
          <w:rFonts w:ascii="Arial" w:hAnsi="Arial" w:cs="Arial"/>
          <w:sz w:val="22"/>
          <w:szCs w:val="22"/>
        </w:rPr>
        <w:t>-</w:t>
      </w:r>
      <w:r w:rsidR="00606112">
        <w:rPr>
          <w:rFonts w:ascii="Arial" w:hAnsi="Arial" w:cs="Arial"/>
          <w:sz w:val="22"/>
          <w:szCs w:val="22"/>
        </w:rPr>
        <w:t>C</w:t>
      </w:r>
      <w:r w:rsidR="006C3868">
        <w:rPr>
          <w:rFonts w:ascii="Arial" w:hAnsi="Arial" w:cs="Arial"/>
          <w:sz w:val="22"/>
          <w:szCs w:val="22"/>
        </w:rPr>
        <w:t>usto</w:t>
      </w:r>
      <w:r w:rsidRPr="004B6138">
        <w:rPr>
          <w:rFonts w:ascii="Arial" w:hAnsi="Arial" w:cs="Arial"/>
          <w:sz w:val="22"/>
          <w:szCs w:val="22"/>
        </w:rPr>
        <w:t>mers' greater incidence of customer</w:t>
      </w:r>
      <w:r w:rsidR="002B3B5A">
        <w:rPr>
          <w:rFonts w:ascii="Arial" w:hAnsi="Arial" w:cs="Arial"/>
          <w:sz w:val="22"/>
          <w:szCs w:val="22"/>
        </w:rPr>
        <w:t>-chur</w:t>
      </w:r>
      <w:r w:rsidRPr="004B6138">
        <w:rPr>
          <w:rFonts w:ascii="Arial" w:hAnsi="Arial" w:cs="Arial"/>
          <w:sz w:val="22"/>
          <w:szCs w:val="22"/>
        </w:rPr>
        <w:t>n may suggest that specific retention tactics are required, such as loyalty plans or tailored offers.</w:t>
      </w:r>
      <w:r w:rsidR="00740C45" w:rsidRPr="00740C45">
        <w:rPr>
          <w:rFonts w:ascii="Arial" w:eastAsia="Times New Roman" w:hAnsi="Arial" w:cs="Arial"/>
          <w:noProof/>
          <w:color w:val="000000"/>
          <w:sz w:val="22"/>
          <w:szCs w:val="22"/>
        </w:rPr>
        <w:t xml:space="preserve"> </w:t>
      </w:r>
    </w:p>
    <w:p w14:paraId="099A16B3" w14:textId="02A278D7" w:rsidR="00006F6D" w:rsidRDefault="00006F6D" w:rsidP="00006F6D">
      <w:pPr>
        <w:jc w:val="both"/>
        <w:rPr>
          <w:rFonts w:ascii="Arial" w:hAnsi="Arial" w:cs="Arial"/>
          <w:sz w:val="22"/>
          <w:szCs w:val="22"/>
        </w:rPr>
      </w:pPr>
      <w:r w:rsidRPr="004B6138">
        <w:rPr>
          <w:rFonts w:ascii="Arial" w:hAnsi="Arial" w:cs="Arial"/>
          <w:sz w:val="22"/>
          <w:szCs w:val="22"/>
        </w:rPr>
        <w:t>Since there is a good retention rate across all age groups, the company might consider analyzing the factors contributing to this success to apply them more effectively to the age groups with higher churn rates.</w:t>
      </w:r>
    </w:p>
    <w:p w14:paraId="61546833" w14:textId="77777777" w:rsidR="00571CE0" w:rsidRPr="004B6138" w:rsidRDefault="00571CE0" w:rsidP="00006F6D">
      <w:pPr>
        <w:jc w:val="both"/>
        <w:rPr>
          <w:rFonts w:ascii="Arial" w:hAnsi="Arial" w:cs="Arial"/>
          <w:sz w:val="22"/>
          <w:szCs w:val="22"/>
        </w:rPr>
      </w:pPr>
    </w:p>
    <w:p w14:paraId="77658F97" w14:textId="18D97508" w:rsidR="00006F6D" w:rsidRPr="004B6138" w:rsidRDefault="00006F6D" w:rsidP="00006F6D">
      <w:pPr>
        <w:jc w:val="both"/>
        <w:rPr>
          <w:rFonts w:ascii="Arial" w:hAnsi="Arial" w:cs="Arial"/>
          <w:sz w:val="22"/>
          <w:szCs w:val="22"/>
        </w:rPr>
      </w:pPr>
      <w:r w:rsidRPr="00C04518">
        <w:rPr>
          <w:rFonts w:ascii="Arial" w:hAnsi="Arial" w:cs="Arial"/>
          <w:b/>
          <w:bCs/>
          <w:sz w:val="22"/>
          <w:szCs w:val="22"/>
        </w:rPr>
        <w:t>Data-Driven Actions</w:t>
      </w:r>
      <w:r w:rsidRPr="004B6138">
        <w:rPr>
          <w:rFonts w:ascii="Arial" w:hAnsi="Arial" w:cs="Arial"/>
          <w:sz w:val="22"/>
          <w:szCs w:val="22"/>
        </w:rPr>
        <w:t>: Telecom</w:t>
      </w:r>
      <w:r w:rsidR="00C852A0">
        <w:rPr>
          <w:rFonts w:ascii="Arial" w:hAnsi="Arial" w:cs="Arial"/>
          <w:sz w:val="22"/>
          <w:szCs w:val="22"/>
        </w:rPr>
        <w:t>-</w:t>
      </w:r>
      <w:r w:rsidRPr="004B6138">
        <w:rPr>
          <w:rFonts w:ascii="Arial" w:hAnsi="Arial" w:cs="Arial"/>
          <w:sz w:val="22"/>
          <w:szCs w:val="22"/>
        </w:rPr>
        <w:t>businesses may choose to concentrate on tailored engagement and retention</w:t>
      </w:r>
      <w:r w:rsidR="00C852A0">
        <w:rPr>
          <w:rFonts w:ascii="Arial" w:hAnsi="Arial" w:cs="Arial"/>
          <w:sz w:val="22"/>
          <w:szCs w:val="22"/>
        </w:rPr>
        <w:t>-</w:t>
      </w:r>
      <w:r w:rsidRPr="004B6138">
        <w:rPr>
          <w:rFonts w:ascii="Arial" w:hAnsi="Arial" w:cs="Arial"/>
          <w:sz w:val="22"/>
          <w:szCs w:val="22"/>
        </w:rPr>
        <w:t>tactics for various age</w:t>
      </w:r>
      <w:r w:rsidR="00C852A0">
        <w:rPr>
          <w:rFonts w:ascii="Arial" w:hAnsi="Arial" w:cs="Arial"/>
          <w:sz w:val="22"/>
          <w:szCs w:val="22"/>
        </w:rPr>
        <w:t>-</w:t>
      </w:r>
      <w:r w:rsidRPr="004B6138">
        <w:rPr>
          <w:rFonts w:ascii="Arial" w:hAnsi="Arial" w:cs="Arial"/>
          <w:sz w:val="22"/>
          <w:szCs w:val="22"/>
        </w:rPr>
        <w:t xml:space="preserve">groups considering these insights. </w:t>
      </w:r>
      <w:proofErr w:type="gramStart"/>
      <w:r w:rsidRPr="004B6138">
        <w:rPr>
          <w:rFonts w:ascii="Arial" w:hAnsi="Arial" w:cs="Arial"/>
          <w:sz w:val="22"/>
          <w:szCs w:val="22"/>
        </w:rPr>
        <w:t>Younger</w:t>
      </w:r>
      <w:r w:rsidR="0083791F">
        <w:rPr>
          <w:rFonts w:ascii="Arial" w:hAnsi="Arial" w:cs="Arial"/>
          <w:sz w:val="22"/>
          <w:szCs w:val="22"/>
        </w:rPr>
        <w:t>-</w:t>
      </w:r>
      <w:r w:rsidRPr="004B6138">
        <w:rPr>
          <w:rFonts w:ascii="Arial" w:hAnsi="Arial" w:cs="Arial"/>
          <w:sz w:val="22"/>
          <w:szCs w:val="22"/>
        </w:rPr>
        <w:t>c</w:t>
      </w:r>
      <w:r w:rsidR="00C852A0">
        <w:rPr>
          <w:rFonts w:ascii="Arial" w:hAnsi="Arial" w:cs="Arial"/>
          <w:sz w:val="22"/>
          <w:szCs w:val="22"/>
        </w:rPr>
        <w:t>ustomer</w:t>
      </w:r>
      <w:r w:rsidRPr="004B6138">
        <w:rPr>
          <w:rFonts w:ascii="Arial" w:hAnsi="Arial" w:cs="Arial"/>
          <w:sz w:val="22"/>
          <w:szCs w:val="22"/>
        </w:rPr>
        <w:t>s</w:t>
      </w:r>
      <w:proofErr w:type="gramEnd"/>
      <w:r w:rsidRPr="004B6138">
        <w:rPr>
          <w:rFonts w:ascii="Arial" w:hAnsi="Arial" w:cs="Arial"/>
          <w:sz w:val="22"/>
          <w:szCs w:val="22"/>
        </w:rPr>
        <w:t xml:space="preserve"> may find tech-savvy offerings and flexible plans more appealing, but older generations may place a higher importance on stability and customer service.</w:t>
      </w:r>
    </w:p>
    <w:p w14:paraId="0E428766" w14:textId="3FF3EE3F" w:rsidR="00006F6D" w:rsidRPr="004B6138" w:rsidRDefault="00AB0F9F" w:rsidP="00006F6D">
      <w:pPr>
        <w:jc w:val="both"/>
        <w:rPr>
          <w:rFonts w:ascii="Arial" w:hAnsi="Arial" w:cs="Arial"/>
          <w:sz w:val="22"/>
          <w:szCs w:val="22"/>
        </w:rPr>
      </w:pPr>
      <w:r>
        <w:rPr>
          <w:rFonts w:ascii="Arial" w:hAnsi="Arial" w:cs="Arial"/>
          <w:sz w:val="22"/>
          <w:szCs w:val="22"/>
        </w:rPr>
        <w:t xml:space="preserve">Fig1 shows </w:t>
      </w:r>
      <w:r w:rsidR="00006F6D" w:rsidRPr="004B6138">
        <w:rPr>
          <w:rFonts w:ascii="Arial" w:hAnsi="Arial" w:cs="Arial"/>
          <w:sz w:val="22"/>
          <w:szCs w:val="22"/>
        </w:rPr>
        <w:t>that age influences customer</w:t>
      </w:r>
      <w:r w:rsidR="00F94FBE">
        <w:rPr>
          <w:rFonts w:ascii="Arial" w:hAnsi="Arial" w:cs="Arial"/>
          <w:sz w:val="22"/>
          <w:szCs w:val="22"/>
        </w:rPr>
        <w:t>-</w:t>
      </w:r>
      <w:r w:rsidR="00006F6D" w:rsidRPr="004B6138">
        <w:rPr>
          <w:rFonts w:ascii="Arial" w:hAnsi="Arial" w:cs="Arial"/>
          <w:sz w:val="22"/>
          <w:szCs w:val="22"/>
        </w:rPr>
        <w:t>behavior when it comes to churn, and that age-sensitive retention strategies are necessary.</w:t>
      </w:r>
    </w:p>
    <w:p w14:paraId="526FF793" w14:textId="3A472AF5" w:rsidR="00045C66" w:rsidRPr="004B6138" w:rsidRDefault="00045C66" w:rsidP="00006F6D">
      <w:pPr>
        <w:jc w:val="both"/>
        <w:rPr>
          <w:rFonts w:ascii="Arial" w:hAnsi="Arial" w:cs="Arial"/>
          <w:sz w:val="22"/>
          <w:szCs w:val="22"/>
        </w:rPr>
      </w:pPr>
    </w:p>
    <w:p w14:paraId="29510B21" w14:textId="684ADFBF" w:rsidR="00006F6D" w:rsidRPr="004B6138" w:rsidRDefault="00006F6D" w:rsidP="00006F6D">
      <w:pPr>
        <w:jc w:val="both"/>
        <w:rPr>
          <w:rFonts w:ascii="Arial" w:hAnsi="Arial" w:cs="Arial"/>
          <w:sz w:val="22"/>
          <w:szCs w:val="22"/>
        </w:rPr>
      </w:pPr>
      <w:r w:rsidRPr="004B6138">
        <w:rPr>
          <w:rFonts w:ascii="Arial" w:eastAsia="Times New Roman" w:hAnsi="Arial" w:cs="Arial"/>
          <w:noProof/>
          <w:color w:val="000000"/>
          <w:sz w:val="22"/>
          <w:szCs w:val="22"/>
        </w:rPr>
        <w:drawing>
          <wp:inline distT="0" distB="0" distL="0" distR="0" wp14:anchorId="650054DE" wp14:editId="0AF28FDD">
            <wp:extent cx="2533650" cy="2152650"/>
            <wp:effectExtent l="0" t="0" r="0" b="0"/>
            <wp:docPr id="1315306798" name="Picture 8" descr="A graph of customer behavi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06798" name="Picture 8" descr="A graph of customer behavio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2152650"/>
                    </a:xfrm>
                    <a:prstGeom prst="rect">
                      <a:avLst/>
                    </a:prstGeom>
                    <a:noFill/>
                    <a:ln>
                      <a:noFill/>
                    </a:ln>
                  </pic:spPr>
                </pic:pic>
              </a:graphicData>
            </a:graphic>
          </wp:inline>
        </w:drawing>
      </w:r>
    </w:p>
    <w:p w14:paraId="2524B7DF" w14:textId="77479AB6" w:rsidR="00006F6D" w:rsidRPr="004B6138" w:rsidRDefault="00006F6D" w:rsidP="00006F6D">
      <w:pPr>
        <w:jc w:val="both"/>
        <w:rPr>
          <w:rFonts w:ascii="Arial" w:hAnsi="Arial" w:cs="Arial"/>
          <w:sz w:val="22"/>
          <w:szCs w:val="22"/>
        </w:rPr>
      </w:pPr>
      <w:r w:rsidRPr="004B6138">
        <w:rPr>
          <w:rFonts w:ascii="Arial" w:hAnsi="Arial" w:cs="Arial"/>
          <w:sz w:val="22"/>
          <w:szCs w:val="22"/>
        </w:rPr>
        <w:t>Fig: 1</w:t>
      </w:r>
    </w:p>
    <w:p w14:paraId="232DDCFD" w14:textId="2DEB05C1" w:rsidR="00045C66" w:rsidRPr="004B6138" w:rsidRDefault="00045C66" w:rsidP="00006F6D">
      <w:pPr>
        <w:jc w:val="both"/>
        <w:rPr>
          <w:rFonts w:ascii="Arial" w:hAnsi="Arial" w:cs="Arial"/>
          <w:sz w:val="22"/>
          <w:szCs w:val="22"/>
        </w:rPr>
      </w:pPr>
    </w:p>
    <w:p w14:paraId="4491D935" w14:textId="706181EA" w:rsidR="00B37E06" w:rsidRPr="004B6138" w:rsidRDefault="001C071F" w:rsidP="00006F6D">
      <w:pPr>
        <w:jc w:val="both"/>
        <w:rPr>
          <w:rFonts w:ascii="Arial" w:hAnsi="Arial" w:cs="Arial"/>
          <w:sz w:val="22"/>
          <w:szCs w:val="22"/>
        </w:rPr>
      </w:pPr>
      <w:r w:rsidRPr="001C071F">
        <w:rPr>
          <w:rFonts w:ascii="Arial" w:hAnsi="Arial" w:cs="Arial"/>
          <w:sz w:val="22"/>
          <w:szCs w:val="22"/>
        </w:rPr>
        <w:t>Customers who churned generally paid higher monthly charges (median near 80), whereas those who stayed or joined have lower and similar median charges, suggesting higher</w:t>
      </w:r>
      <w:r w:rsidR="00014390">
        <w:rPr>
          <w:rFonts w:ascii="Arial" w:hAnsi="Arial" w:cs="Arial"/>
          <w:sz w:val="22"/>
          <w:szCs w:val="22"/>
        </w:rPr>
        <w:t>-</w:t>
      </w:r>
      <w:r w:rsidRPr="001C071F">
        <w:rPr>
          <w:rFonts w:ascii="Arial" w:hAnsi="Arial" w:cs="Arial"/>
          <w:sz w:val="22"/>
          <w:szCs w:val="22"/>
        </w:rPr>
        <w:t>charges might be a factor influencing customer</w:t>
      </w:r>
      <w:r w:rsidR="00014390">
        <w:rPr>
          <w:rFonts w:ascii="Arial" w:hAnsi="Arial" w:cs="Arial"/>
          <w:sz w:val="22"/>
          <w:szCs w:val="22"/>
        </w:rPr>
        <w:t>-</w:t>
      </w:r>
      <w:r w:rsidRPr="001C071F">
        <w:rPr>
          <w:rFonts w:ascii="Arial" w:hAnsi="Arial" w:cs="Arial"/>
          <w:sz w:val="22"/>
          <w:szCs w:val="22"/>
        </w:rPr>
        <w:t>churn</w:t>
      </w:r>
      <w:r>
        <w:rPr>
          <w:rFonts w:ascii="Arial" w:hAnsi="Arial" w:cs="Arial"/>
          <w:sz w:val="22"/>
          <w:szCs w:val="22"/>
        </w:rPr>
        <w:t xml:space="preserve"> in </w:t>
      </w:r>
      <w:r w:rsidR="00014390">
        <w:rPr>
          <w:rFonts w:ascii="Arial" w:hAnsi="Arial" w:cs="Arial"/>
          <w:sz w:val="22"/>
          <w:szCs w:val="22"/>
        </w:rPr>
        <w:t>Fig2</w:t>
      </w:r>
      <w:r w:rsidRPr="001C071F">
        <w:rPr>
          <w:rFonts w:ascii="Arial" w:hAnsi="Arial" w:cs="Arial"/>
          <w:sz w:val="22"/>
          <w:szCs w:val="22"/>
        </w:rPr>
        <w:t>.</w:t>
      </w:r>
    </w:p>
    <w:p w14:paraId="3598FCBF" w14:textId="11FCDE95" w:rsidR="008049CF" w:rsidRDefault="00B37E06" w:rsidP="00006F6D">
      <w:pPr>
        <w:jc w:val="both"/>
        <w:rPr>
          <w:rFonts w:ascii="Arial" w:hAnsi="Arial" w:cs="Arial"/>
          <w:sz w:val="22"/>
          <w:szCs w:val="22"/>
        </w:rPr>
      </w:pPr>
      <w:r w:rsidRPr="004B6138">
        <w:rPr>
          <w:rFonts w:ascii="Arial" w:eastAsia="Times New Roman" w:hAnsi="Arial" w:cs="Arial"/>
          <w:noProof/>
          <w:color w:val="000000"/>
          <w:sz w:val="22"/>
          <w:szCs w:val="22"/>
        </w:rPr>
        <w:drawing>
          <wp:inline distT="0" distB="0" distL="0" distR="0" wp14:anchorId="2CF3A297" wp14:editId="18B28CDB">
            <wp:extent cx="2774950" cy="2000250"/>
            <wp:effectExtent l="0" t="0" r="6350" b="0"/>
            <wp:docPr id="2081245972" name="Picture 12" descr="A diagram of a group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45972" name="Picture 12" descr="A diagram of a group of box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2000250"/>
                    </a:xfrm>
                    <a:prstGeom prst="rect">
                      <a:avLst/>
                    </a:prstGeom>
                    <a:noFill/>
                    <a:ln>
                      <a:noFill/>
                    </a:ln>
                  </pic:spPr>
                </pic:pic>
              </a:graphicData>
            </a:graphic>
          </wp:inline>
        </w:drawing>
      </w:r>
    </w:p>
    <w:p w14:paraId="6366FBF0" w14:textId="6A0DFC67" w:rsidR="00551237" w:rsidRPr="004B6138" w:rsidRDefault="00A3625F" w:rsidP="00006F6D">
      <w:pPr>
        <w:jc w:val="both"/>
        <w:rPr>
          <w:rFonts w:ascii="Arial" w:hAnsi="Arial" w:cs="Arial"/>
          <w:sz w:val="22"/>
          <w:szCs w:val="22"/>
        </w:rPr>
      </w:pPr>
      <w:r>
        <w:rPr>
          <w:rFonts w:ascii="Arial" w:hAnsi="Arial" w:cs="Arial"/>
          <w:sz w:val="22"/>
          <w:szCs w:val="22"/>
        </w:rPr>
        <w:t>Fig:2</w:t>
      </w:r>
    </w:p>
    <w:p w14:paraId="0DD05F6C" w14:textId="2167C44F" w:rsidR="006226E9" w:rsidRPr="004B6138" w:rsidRDefault="006226E9" w:rsidP="00006F6D">
      <w:pPr>
        <w:jc w:val="both"/>
        <w:rPr>
          <w:rFonts w:ascii="Arial" w:hAnsi="Arial" w:cs="Arial"/>
          <w:sz w:val="22"/>
          <w:szCs w:val="22"/>
        </w:rPr>
      </w:pPr>
    </w:p>
    <w:p w14:paraId="05FE5A46" w14:textId="19DF7A26" w:rsidR="000B7973" w:rsidRDefault="000B7973" w:rsidP="00006F6D">
      <w:pPr>
        <w:jc w:val="both"/>
        <w:rPr>
          <w:rFonts w:ascii="Arial" w:hAnsi="Arial" w:cs="Arial"/>
          <w:sz w:val="22"/>
          <w:szCs w:val="22"/>
        </w:rPr>
      </w:pPr>
    </w:p>
    <w:p w14:paraId="01A03F23" w14:textId="77777777" w:rsidR="00B14939" w:rsidRPr="004B6138" w:rsidRDefault="00B14939" w:rsidP="00006F6D">
      <w:pPr>
        <w:jc w:val="both"/>
        <w:rPr>
          <w:rFonts w:ascii="Arial" w:hAnsi="Arial" w:cs="Arial"/>
          <w:sz w:val="22"/>
          <w:szCs w:val="22"/>
        </w:rPr>
      </w:pPr>
    </w:p>
    <w:p w14:paraId="02BA6E7C" w14:textId="57D1E821" w:rsidR="000B7973" w:rsidRPr="006A4A01" w:rsidRDefault="00E87BAC" w:rsidP="006A4A01">
      <w:pPr>
        <w:pStyle w:val="Heading1"/>
        <w:rPr>
          <w:b/>
          <w:bCs/>
        </w:rPr>
      </w:pPr>
      <w:r w:rsidRPr="006A4A01">
        <w:rPr>
          <w:b/>
          <w:bCs/>
        </w:rPr>
        <w:lastRenderedPageBreak/>
        <w:t>FEATURES SELECTION</w:t>
      </w:r>
    </w:p>
    <w:p w14:paraId="1F8C920C" w14:textId="313C990F" w:rsidR="00461B9F" w:rsidRPr="004B6138" w:rsidRDefault="00006F6D" w:rsidP="00006F6D">
      <w:pPr>
        <w:jc w:val="both"/>
        <w:rPr>
          <w:rFonts w:ascii="Arial" w:hAnsi="Arial" w:cs="Arial"/>
          <w:sz w:val="22"/>
          <w:szCs w:val="22"/>
        </w:rPr>
      </w:pPr>
      <w:r w:rsidRPr="004B6138">
        <w:rPr>
          <w:rFonts w:ascii="Arial" w:hAnsi="Arial" w:cs="Arial"/>
          <w:sz w:val="22"/>
          <w:szCs w:val="22"/>
        </w:rPr>
        <w:t>Choosing the appropriate features is essential to creating prediction</w:t>
      </w:r>
      <w:r w:rsidR="003D7D37">
        <w:rPr>
          <w:rFonts w:ascii="Arial" w:hAnsi="Arial" w:cs="Arial"/>
          <w:sz w:val="22"/>
          <w:szCs w:val="22"/>
        </w:rPr>
        <w:t>-</w:t>
      </w:r>
      <w:r w:rsidRPr="004B6138">
        <w:rPr>
          <w:rFonts w:ascii="Arial" w:hAnsi="Arial" w:cs="Arial"/>
          <w:sz w:val="22"/>
          <w:szCs w:val="22"/>
        </w:rPr>
        <w:t xml:space="preserve">models that work. Both </w:t>
      </w:r>
      <w:proofErr w:type="gramStart"/>
      <w:r w:rsidRPr="004B6138">
        <w:rPr>
          <w:rFonts w:ascii="Arial" w:hAnsi="Arial" w:cs="Arial"/>
          <w:sz w:val="22"/>
          <w:szCs w:val="22"/>
        </w:rPr>
        <w:t>statistical-analysis</w:t>
      </w:r>
      <w:proofErr w:type="gramEnd"/>
      <w:r w:rsidRPr="004B6138">
        <w:rPr>
          <w:rFonts w:ascii="Arial" w:hAnsi="Arial" w:cs="Arial"/>
          <w:sz w:val="22"/>
          <w:szCs w:val="22"/>
        </w:rPr>
        <w:t xml:space="preserve"> and subject expertise served as guidance for the selection process: associations between features and the turnover rate were investigated. Particularly noteworthy features included contract-type, monthly-charges, and tenure, which all had strong correlations with churn. Customers with high monthly-bills or those on month-to-month contracts, </w:t>
      </w:r>
      <w:r w:rsidR="0072402A">
        <w:rPr>
          <w:rFonts w:ascii="Arial" w:hAnsi="Arial" w:cs="Arial"/>
          <w:sz w:val="22"/>
          <w:szCs w:val="22"/>
        </w:rPr>
        <w:t>(Fig</w:t>
      </w:r>
      <w:r w:rsidR="006A4A01">
        <w:rPr>
          <w:rFonts w:ascii="Arial" w:hAnsi="Arial" w:cs="Arial"/>
          <w:sz w:val="22"/>
          <w:szCs w:val="22"/>
        </w:rPr>
        <w:t>3</w:t>
      </w:r>
      <w:r w:rsidR="0072402A">
        <w:rPr>
          <w:rFonts w:ascii="Arial" w:hAnsi="Arial" w:cs="Arial"/>
          <w:sz w:val="22"/>
          <w:szCs w:val="22"/>
        </w:rPr>
        <w:t>)</w:t>
      </w:r>
      <w:r w:rsidRPr="004B6138">
        <w:rPr>
          <w:rFonts w:ascii="Arial" w:hAnsi="Arial" w:cs="Arial"/>
          <w:sz w:val="22"/>
          <w:szCs w:val="22"/>
        </w:rPr>
        <w:t>, were more likely to</w:t>
      </w:r>
      <w:r w:rsidR="006226E9" w:rsidRPr="004B6138">
        <w:rPr>
          <w:rFonts w:ascii="Arial" w:hAnsi="Arial" w:cs="Arial"/>
          <w:sz w:val="22"/>
          <w:szCs w:val="22"/>
        </w:rPr>
        <w:t xml:space="preserve"> leave.</w:t>
      </w:r>
    </w:p>
    <w:p w14:paraId="169DECED" w14:textId="0916B69D" w:rsidR="00461B9F" w:rsidRPr="004B6138" w:rsidRDefault="00461B9F" w:rsidP="00006F6D">
      <w:pPr>
        <w:jc w:val="both"/>
        <w:rPr>
          <w:rFonts w:ascii="Arial" w:hAnsi="Arial" w:cs="Arial"/>
          <w:sz w:val="22"/>
          <w:szCs w:val="22"/>
        </w:rPr>
      </w:pPr>
    </w:p>
    <w:p w14:paraId="68674BF0" w14:textId="2929B6B7" w:rsidR="00006F6D" w:rsidRPr="004B6138" w:rsidRDefault="00006F6D" w:rsidP="00006F6D">
      <w:pPr>
        <w:jc w:val="both"/>
        <w:rPr>
          <w:rFonts w:ascii="Arial" w:hAnsi="Arial" w:cs="Arial"/>
          <w:sz w:val="22"/>
          <w:szCs w:val="22"/>
        </w:rPr>
      </w:pPr>
      <w:r w:rsidRPr="004B6138">
        <w:rPr>
          <w:rFonts w:ascii="Arial" w:eastAsia="Times New Roman" w:hAnsi="Arial" w:cs="Arial"/>
          <w:noProof/>
          <w:color w:val="000000"/>
          <w:sz w:val="22"/>
          <w:szCs w:val="22"/>
        </w:rPr>
        <w:drawing>
          <wp:inline distT="0" distB="0" distL="0" distR="0" wp14:anchorId="7A5FB592" wp14:editId="0F9D1F2B">
            <wp:extent cx="3067050" cy="2546350"/>
            <wp:effectExtent l="0" t="0" r="0" b="6350"/>
            <wp:docPr id="2058570724" name="Picture 10"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70724" name="Picture 10" descr="A graph of a number of different colored ba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546350"/>
                    </a:xfrm>
                    <a:prstGeom prst="rect">
                      <a:avLst/>
                    </a:prstGeom>
                    <a:noFill/>
                    <a:ln>
                      <a:noFill/>
                    </a:ln>
                  </pic:spPr>
                </pic:pic>
              </a:graphicData>
            </a:graphic>
          </wp:inline>
        </w:drawing>
      </w:r>
      <w:r w:rsidRPr="004B6138">
        <w:rPr>
          <w:rFonts w:ascii="Arial" w:hAnsi="Arial" w:cs="Arial"/>
          <w:sz w:val="22"/>
          <w:szCs w:val="22"/>
        </w:rPr>
        <w:t xml:space="preserve"> </w:t>
      </w:r>
    </w:p>
    <w:p w14:paraId="700E5740" w14:textId="085A4778" w:rsidR="00006F6D" w:rsidRPr="004B6138" w:rsidRDefault="00006F6D" w:rsidP="00006F6D">
      <w:pPr>
        <w:jc w:val="both"/>
        <w:rPr>
          <w:rFonts w:ascii="Arial" w:hAnsi="Arial" w:cs="Arial"/>
          <w:sz w:val="22"/>
          <w:szCs w:val="22"/>
        </w:rPr>
      </w:pPr>
      <w:r w:rsidRPr="004B6138">
        <w:rPr>
          <w:rFonts w:ascii="Arial" w:hAnsi="Arial" w:cs="Arial"/>
          <w:sz w:val="22"/>
          <w:szCs w:val="22"/>
        </w:rPr>
        <w:t xml:space="preserve"> Fig: </w:t>
      </w:r>
      <w:r w:rsidR="006A4A01">
        <w:rPr>
          <w:rFonts w:ascii="Arial" w:hAnsi="Arial" w:cs="Arial"/>
          <w:sz w:val="22"/>
          <w:szCs w:val="22"/>
        </w:rPr>
        <w:t>3</w:t>
      </w:r>
    </w:p>
    <w:p w14:paraId="783A58B9" w14:textId="0D82AF6D" w:rsidR="00045C66" w:rsidRPr="004B6138" w:rsidRDefault="00045C66" w:rsidP="00006F6D">
      <w:pPr>
        <w:jc w:val="both"/>
        <w:rPr>
          <w:rFonts w:ascii="Arial" w:hAnsi="Arial" w:cs="Arial"/>
          <w:sz w:val="22"/>
          <w:szCs w:val="22"/>
        </w:rPr>
      </w:pPr>
    </w:p>
    <w:p w14:paraId="713618E6" w14:textId="387A1F55" w:rsidR="00006F6D" w:rsidRPr="004B6138" w:rsidRDefault="00006F6D" w:rsidP="00006F6D">
      <w:pPr>
        <w:jc w:val="both"/>
        <w:rPr>
          <w:rFonts w:ascii="Arial" w:hAnsi="Arial" w:cs="Arial"/>
          <w:sz w:val="22"/>
          <w:szCs w:val="22"/>
        </w:rPr>
      </w:pPr>
      <w:r w:rsidRPr="004B6138">
        <w:rPr>
          <w:rFonts w:ascii="Arial" w:hAnsi="Arial" w:cs="Arial"/>
          <w:sz w:val="22"/>
          <w:szCs w:val="22"/>
        </w:rPr>
        <w:t>The correlation</w:t>
      </w:r>
      <w:r w:rsidR="00B0413B">
        <w:rPr>
          <w:rFonts w:ascii="Arial" w:hAnsi="Arial" w:cs="Arial"/>
          <w:sz w:val="22"/>
          <w:szCs w:val="22"/>
        </w:rPr>
        <w:t>-</w:t>
      </w:r>
      <w:r w:rsidRPr="004B6138">
        <w:rPr>
          <w:rFonts w:ascii="Arial" w:hAnsi="Arial" w:cs="Arial"/>
          <w:sz w:val="22"/>
          <w:szCs w:val="22"/>
        </w:rPr>
        <w:t>matrix's heatmap</w:t>
      </w:r>
      <w:r w:rsidR="005F1D39">
        <w:rPr>
          <w:rFonts w:ascii="Arial" w:hAnsi="Arial" w:cs="Arial"/>
          <w:sz w:val="22"/>
          <w:szCs w:val="22"/>
        </w:rPr>
        <w:t xml:space="preserve"> </w:t>
      </w:r>
      <w:r w:rsidR="00B0413B">
        <w:rPr>
          <w:rFonts w:ascii="Arial" w:hAnsi="Arial" w:cs="Arial"/>
          <w:sz w:val="22"/>
          <w:szCs w:val="22"/>
        </w:rPr>
        <w:t>(Fig</w:t>
      </w:r>
      <w:r w:rsidR="006F68F5">
        <w:rPr>
          <w:rFonts w:ascii="Arial" w:hAnsi="Arial" w:cs="Arial"/>
          <w:sz w:val="22"/>
          <w:szCs w:val="22"/>
        </w:rPr>
        <w:t>4</w:t>
      </w:r>
      <w:r w:rsidR="00B0413B">
        <w:rPr>
          <w:rFonts w:ascii="Arial" w:hAnsi="Arial" w:cs="Arial"/>
          <w:sz w:val="22"/>
          <w:szCs w:val="22"/>
        </w:rPr>
        <w:t>)</w:t>
      </w:r>
      <w:r w:rsidRPr="004B6138">
        <w:rPr>
          <w:rFonts w:ascii="Arial" w:hAnsi="Arial" w:cs="Arial"/>
          <w:sz w:val="22"/>
          <w:szCs w:val="22"/>
        </w:rPr>
        <w:t xml:space="preserve"> gave a visualization of the relationships between the various features. Customers tend to spend more when they remain longer, according to a strong positive association found between Tenure and Total-Charges. Predictive</w:t>
      </w:r>
      <w:r w:rsidR="00D2758C">
        <w:rPr>
          <w:rFonts w:ascii="Arial" w:hAnsi="Arial" w:cs="Arial"/>
          <w:sz w:val="22"/>
          <w:szCs w:val="22"/>
        </w:rPr>
        <w:t>-</w:t>
      </w:r>
      <w:r w:rsidRPr="004B6138">
        <w:rPr>
          <w:rFonts w:ascii="Arial" w:hAnsi="Arial" w:cs="Arial"/>
          <w:sz w:val="22"/>
          <w:szCs w:val="22"/>
        </w:rPr>
        <w:t>modeling feature selection was aided by an understanding of these linkages.</w:t>
      </w:r>
    </w:p>
    <w:p w14:paraId="0693AA94" w14:textId="4A31FBA5" w:rsidR="00F64F8C" w:rsidRPr="004B6138" w:rsidRDefault="00F64F8C" w:rsidP="00006F6D">
      <w:pPr>
        <w:jc w:val="both"/>
        <w:rPr>
          <w:rFonts w:ascii="Arial" w:hAnsi="Arial" w:cs="Arial"/>
          <w:sz w:val="22"/>
          <w:szCs w:val="22"/>
        </w:rPr>
      </w:pPr>
    </w:p>
    <w:p w14:paraId="43662A10" w14:textId="77777777" w:rsidR="00006F6D" w:rsidRPr="004B6138" w:rsidRDefault="00006F6D" w:rsidP="00006F6D">
      <w:pPr>
        <w:jc w:val="both"/>
        <w:rPr>
          <w:rFonts w:ascii="Arial" w:hAnsi="Arial" w:cs="Arial"/>
          <w:sz w:val="22"/>
          <w:szCs w:val="22"/>
        </w:rPr>
      </w:pPr>
      <w:r w:rsidRPr="004B6138">
        <w:rPr>
          <w:rFonts w:ascii="Arial" w:eastAsia="Times New Roman" w:hAnsi="Arial" w:cs="Arial"/>
          <w:noProof/>
          <w:color w:val="000000"/>
          <w:sz w:val="22"/>
          <w:szCs w:val="22"/>
        </w:rPr>
        <w:drawing>
          <wp:inline distT="0" distB="0" distL="0" distR="0" wp14:anchorId="096B857D" wp14:editId="04249739">
            <wp:extent cx="3419475" cy="2162175"/>
            <wp:effectExtent l="0" t="0" r="9525" b="9525"/>
            <wp:docPr id="1537891241" name="Picture 4"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91241" name="Picture 4" descr="A screen shot of a computer generated imag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9475" cy="2162175"/>
                    </a:xfrm>
                    <a:prstGeom prst="rect">
                      <a:avLst/>
                    </a:prstGeom>
                    <a:noFill/>
                    <a:ln>
                      <a:noFill/>
                    </a:ln>
                  </pic:spPr>
                </pic:pic>
              </a:graphicData>
            </a:graphic>
          </wp:inline>
        </w:drawing>
      </w:r>
    </w:p>
    <w:p w14:paraId="4168810D" w14:textId="0228B98B" w:rsidR="00006F6D" w:rsidRPr="004B6138" w:rsidRDefault="00006F6D" w:rsidP="00006F6D">
      <w:pPr>
        <w:jc w:val="both"/>
        <w:rPr>
          <w:rFonts w:ascii="Arial" w:hAnsi="Arial" w:cs="Arial"/>
          <w:sz w:val="22"/>
          <w:szCs w:val="22"/>
        </w:rPr>
      </w:pPr>
      <w:r w:rsidRPr="004B6138">
        <w:rPr>
          <w:rFonts w:ascii="Arial" w:hAnsi="Arial" w:cs="Arial"/>
          <w:sz w:val="22"/>
          <w:szCs w:val="22"/>
        </w:rPr>
        <w:t xml:space="preserve">Fig: </w:t>
      </w:r>
      <w:r w:rsidR="006F68F5">
        <w:rPr>
          <w:rFonts w:ascii="Arial" w:hAnsi="Arial" w:cs="Arial"/>
          <w:sz w:val="22"/>
          <w:szCs w:val="22"/>
        </w:rPr>
        <w:t>4</w:t>
      </w:r>
    </w:p>
    <w:p w14:paraId="45FA79EA" w14:textId="30D68EB9" w:rsidR="00373D89" w:rsidRDefault="00006F6D" w:rsidP="00373D89">
      <w:pPr>
        <w:pStyle w:val="equation"/>
        <w:jc w:val="both"/>
        <w:rPr>
          <w:rFonts w:ascii="Arial" w:hAnsi="Arial" w:cs="Arial"/>
          <w:sz w:val="22"/>
          <w:szCs w:val="22"/>
        </w:rPr>
      </w:pPr>
      <w:r w:rsidRPr="008F009D">
        <w:rPr>
          <w:rFonts w:ascii="Arial" w:hAnsi="Arial" w:cs="Arial"/>
          <w:b/>
          <w:bCs/>
          <w:sz w:val="22"/>
          <w:szCs w:val="22"/>
        </w:rPr>
        <w:t>Feature</w:t>
      </w:r>
      <w:r w:rsidR="007111BF">
        <w:rPr>
          <w:rFonts w:ascii="Arial" w:hAnsi="Arial" w:cs="Arial"/>
          <w:b/>
          <w:bCs/>
          <w:sz w:val="22"/>
          <w:szCs w:val="22"/>
        </w:rPr>
        <w:t>-</w:t>
      </w:r>
      <w:r w:rsidRPr="008F009D">
        <w:rPr>
          <w:rFonts w:ascii="Arial" w:hAnsi="Arial" w:cs="Arial"/>
          <w:b/>
          <w:bCs/>
          <w:sz w:val="22"/>
          <w:szCs w:val="22"/>
        </w:rPr>
        <w:t>Engineering:</w:t>
      </w:r>
      <w:r w:rsidRPr="004B6138">
        <w:rPr>
          <w:rFonts w:ascii="Arial" w:hAnsi="Arial" w:cs="Arial"/>
          <w:sz w:val="22"/>
          <w:szCs w:val="22"/>
        </w:rPr>
        <w:t xml:space="preserve"> New features were derived from existing data to enhance the model’s predictive capability. For example, </w:t>
      </w:r>
      <w:r w:rsidR="003E33F8">
        <w:rPr>
          <w:rFonts w:ascii="Arial" w:hAnsi="Arial" w:cs="Arial"/>
          <w:sz w:val="22"/>
          <w:szCs w:val="22"/>
        </w:rPr>
        <w:t xml:space="preserve">the </w:t>
      </w:r>
      <w:r w:rsidR="00536B96">
        <w:rPr>
          <w:rFonts w:ascii="Arial" w:hAnsi="Arial" w:cs="Arial"/>
          <w:sz w:val="22"/>
          <w:szCs w:val="22"/>
        </w:rPr>
        <w:t xml:space="preserve">categorical and numerical </w:t>
      </w:r>
      <w:r w:rsidR="00777EF3">
        <w:rPr>
          <w:rFonts w:ascii="Arial" w:hAnsi="Arial" w:cs="Arial"/>
          <w:sz w:val="22"/>
          <w:szCs w:val="22"/>
        </w:rPr>
        <w:t>columns</w:t>
      </w:r>
      <w:r w:rsidR="00536B96">
        <w:rPr>
          <w:rFonts w:ascii="Arial" w:hAnsi="Arial" w:cs="Arial"/>
          <w:sz w:val="22"/>
          <w:szCs w:val="22"/>
        </w:rPr>
        <w:t xml:space="preserve"> were form</w:t>
      </w:r>
      <w:r w:rsidR="00777EF3">
        <w:rPr>
          <w:rFonts w:ascii="Arial" w:hAnsi="Arial" w:cs="Arial"/>
          <w:sz w:val="22"/>
          <w:szCs w:val="22"/>
        </w:rPr>
        <w:t>ed</w:t>
      </w:r>
      <w:r w:rsidR="00D50B34">
        <w:rPr>
          <w:rFonts w:ascii="Arial" w:hAnsi="Arial" w:cs="Arial"/>
          <w:sz w:val="22"/>
          <w:szCs w:val="22"/>
        </w:rPr>
        <w:t xml:space="preserve"> to </w:t>
      </w:r>
      <w:r w:rsidR="002F78FB">
        <w:rPr>
          <w:rFonts w:ascii="Arial" w:hAnsi="Arial" w:cs="Arial"/>
          <w:sz w:val="22"/>
          <w:szCs w:val="22"/>
        </w:rPr>
        <w:t>handle</w:t>
      </w:r>
      <w:r w:rsidR="00D50B34">
        <w:rPr>
          <w:rFonts w:ascii="Arial" w:hAnsi="Arial" w:cs="Arial"/>
          <w:sz w:val="22"/>
          <w:szCs w:val="22"/>
        </w:rPr>
        <w:t xml:space="preserve"> the miss</w:t>
      </w:r>
      <w:r w:rsidR="00965863">
        <w:rPr>
          <w:rFonts w:ascii="Arial" w:hAnsi="Arial" w:cs="Arial"/>
          <w:sz w:val="22"/>
          <w:szCs w:val="22"/>
        </w:rPr>
        <w:t>ing value accordingly</w:t>
      </w:r>
      <w:r w:rsidRPr="004B6138">
        <w:rPr>
          <w:rFonts w:ascii="Arial" w:hAnsi="Arial" w:cs="Arial"/>
          <w:sz w:val="22"/>
          <w:szCs w:val="22"/>
        </w:rPr>
        <w:t xml:space="preserve">. Techniques such as </w:t>
      </w:r>
    </w:p>
    <w:p w14:paraId="1D97DA5E" w14:textId="77777777" w:rsidR="00BC719A" w:rsidRPr="004B6138" w:rsidRDefault="00BC719A" w:rsidP="00373D89">
      <w:pPr>
        <w:pStyle w:val="equation"/>
        <w:jc w:val="both"/>
        <w:rPr>
          <w:rFonts w:ascii="Arial" w:hAnsi="Arial" w:cs="Arial"/>
          <w:sz w:val="22"/>
          <w:szCs w:val="22"/>
        </w:rPr>
      </w:pPr>
    </w:p>
    <w:p w14:paraId="4BB9BEBF" w14:textId="3311669C" w:rsidR="009303D9" w:rsidRPr="00821819" w:rsidRDefault="00821819" w:rsidP="00821819">
      <w:pPr>
        <w:pStyle w:val="Heading1"/>
        <w:rPr>
          <w:b/>
          <w:bCs/>
        </w:rPr>
      </w:pPr>
      <w:r w:rsidRPr="00821819">
        <w:rPr>
          <w:b/>
          <w:bCs/>
        </w:rPr>
        <w:t>EXPERIMENTS</w:t>
      </w:r>
    </w:p>
    <w:p w14:paraId="094A891C" w14:textId="2C5A4C07" w:rsidR="007670D8" w:rsidRPr="007670D8" w:rsidRDefault="007670D8" w:rsidP="007670D8">
      <w:pPr>
        <w:jc w:val="both"/>
        <w:rPr>
          <w:rFonts w:ascii="Arial" w:hAnsi="Arial" w:cs="Arial"/>
          <w:sz w:val="22"/>
          <w:szCs w:val="22"/>
        </w:rPr>
      </w:pPr>
      <w:r w:rsidRPr="00A26F9E">
        <w:rPr>
          <w:rFonts w:ascii="Arial" w:hAnsi="Arial" w:cs="Arial"/>
          <w:b/>
          <w:bCs/>
          <w:sz w:val="22"/>
          <w:szCs w:val="22"/>
        </w:rPr>
        <w:t>Experimental</w:t>
      </w:r>
      <w:r w:rsidR="007111BF">
        <w:rPr>
          <w:rFonts w:ascii="Arial" w:hAnsi="Arial" w:cs="Arial"/>
          <w:b/>
          <w:bCs/>
          <w:sz w:val="22"/>
          <w:szCs w:val="22"/>
        </w:rPr>
        <w:t>-</w:t>
      </w:r>
      <w:r w:rsidRPr="00A26F9E">
        <w:rPr>
          <w:rFonts w:ascii="Arial" w:hAnsi="Arial" w:cs="Arial"/>
          <w:b/>
          <w:bCs/>
          <w:sz w:val="22"/>
          <w:szCs w:val="22"/>
        </w:rPr>
        <w:t>Design</w:t>
      </w:r>
      <w:r w:rsidRPr="007670D8">
        <w:rPr>
          <w:rFonts w:ascii="Arial" w:hAnsi="Arial" w:cs="Arial"/>
          <w:sz w:val="22"/>
          <w:szCs w:val="22"/>
        </w:rPr>
        <w:t>: The objective was to identify the most accurate predictor of customer churn through a comparative analysis of multiple machine learning models. The experimental approach included:</w:t>
      </w:r>
    </w:p>
    <w:p w14:paraId="0B7AAD59" w14:textId="77777777" w:rsidR="007670D8" w:rsidRPr="007670D8" w:rsidRDefault="007670D8" w:rsidP="007670D8">
      <w:pPr>
        <w:jc w:val="both"/>
        <w:rPr>
          <w:rFonts w:ascii="Arial" w:hAnsi="Arial" w:cs="Arial"/>
          <w:sz w:val="22"/>
          <w:szCs w:val="22"/>
        </w:rPr>
      </w:pPr>
    </w:p>
    <w:p w14:paraId="7C58EF51" w14:textId="2FB771C8" w:rsidR="007670D8" w:rsidRDefault="007670D8" w:rsidP="005100C2">
      <w:pPr>
        <w:spacing w:after="240"/>
        <w:jc w:val="both"/>
        <w:rPr>
          <w:rFonts w:ascii="Arial" w:hAnsi="Arial" w:cs="Arial"/>
          <w:sz w:val="22"/>
          <w:szCs w:val="22"/>
        </w:rPr>
      </w:pPr>
      <w:r w:rsidRPr="00A26F9E">
        <w:rPr>
          <w:rFonts w:ascii="Arial" w:hAnsi="Arial" w:cs="Arial"/>
          <w:b/>
          <w:bCs/>
          <w:sz w:val="22"/>
          <w:szCs w:val="22"/>
        </w:rPr>
        <w:t>Data</w:t>
      </w:r>
      <w:r w:rsidR="00CA5661">
        <w:rPr>
          <w:rFonts w:ascii="Arial" w:hAnsi="Arial" w:cs="Arial"/>
          <w:b/>
          <w:bCs/>
          <w:sz w:val="22"/>
          <w:szCs w:val="22"/>
        </w:rPr>
        <w:t>-</w:t>
      </w:r>
      <w:r w:rsidRPr="00A26F9E">
        <w:rPr>
          <w:rFonts w:ascii="Arial" w:hAnsi="Arial" w:cs="Arial"/>
          <w:b/>
          <w:bCs/>
          <w:sz w:val="22"/>
          <w:szCs w:val="22"/>
        </w:rPr>
        <w:t>Preparation</w:t>
      </w:r>
      <w:r w:rsidRPr="007670D8">
        <w:rPr>
          <w:rFonts w:ascii="Arial" w:hAnsi="Arial" w:cs="Arial"/>
          <w:sz w:val="22"/>
          <w:szCs w:val="22"/>
        </w:rPr>
        <w:t>: Data underwent preprocessing including handling missing values, encoding categorical variables, scaling numerical features, resampling, and partitioning into training and testing subsets. This ensured clean data presentation and aimed to enhance prediction accuracy by reducing biases.</w:t>
      </w:r>
    </w:p>
    <w:p w14:paraId="658EC956" w14:textId="3AD50868" w:rsidR="009442AF" w:rsidRDefault="00BA0CAF" w:rsidP="007670D8">
      <w:pPr>
        <w:jc w:val="both"/>
        <w:rPr>
          <w:rFonts w:ascii="Arial" w:hAnsi="Arial" w:cs="Arial"/>
          <w:sz w:val="22"/>
          <w:szCs w:val="22"/>
        </w:rPr>
      </w:pPr>
      <w:r w:rsidRPr="0055588A">
        <w:rPr>
          <w:rFonts w:ascii="Arial" w:hAnsi="Arial" w:cs="Arial"/>
          <w:b/>
          <w:bCs/>
          <w:sz w:val="22"/>
          <w:szCs w:val="22"/>
        </w:rPr>
        <w:t>Data Imbalanced</w:t>
      </w:r>
      <w:r>
        <w:rPr>
          <w:rFonts w:ascii="Arial" w:hAnsi="Arial" w:cs="Arial"/>
          <w:sz w:val="22"/>
          <w:szCs w:val="22"/>
        </w:rPr>
        <w:t xml:space="preserve"> </w:t>
      </w:r>
      <w:r w:rsidR="004D25DC">
        <w:rPr>
          <w:rFonts w:ascii="Arial" w:hAnsi="Arial" w:cs="Arial"/>
          <w:sz w:val="22"/>
          <w:szCs w:val="22"/>
        </w:rPr>
        <w:t>–</w:t>
      </w:r>
      <w:r w:rsidR="00FD6423">
        <w:rPr>
          <w:rFonts w:ascii="Arial" w:hAnsi="Arial" w:cs="Arial"/>
          <w:sz w:val="22"/>
          <w:szCs w:val="22"/>
        </w:rPr>
        <w:t xml:space="preserve"> </w:t>
      </w:r>
      <w:r w:rsidR="009A32C1">
        <w:rPr>
          <w:rFonts w:ascii="Arial" w:hAnsi="Arial" w:cs="Arial"/>
          <w:sz w:val="22"/>
          <w:szCs w:val="22"/>
        </w:rPr>
        <w:t>Resampling</w:t>
      </w:r>
      <w:r w:rsidR="0048004B">
        <w:rPr>
          <w:rFonts w:ascii="Arial" w:hAnsi="Arial" w:cs="Arial"/>
          <w:sz w:val="22"/>
          <w:szCs w:val="22"/>
        </w:rPr>
        <w:t>-</w:t>
      </w:r>
      <w:r w:rsidR="009A32C1">
        <w:rPr>
          <w:rFonts w:ascii="Arial" w:hAnsi="Arial" w:cs="Arial"/>
          <w:sz w:val="22"/>
          <w:szCs w:val="22"/>
        </w:rPr>
        <w:t xml:space="preserve">techniques like SMOTE and </w:t>
      </w:r>
      <w:r w:rsidR="00F07375">
        <w:rPr>
          <w:rFonts w:ascii="Arial" w:hAnsi="Arial" w:cs="Arial"/>
          <w:sz w:val="22"/>
          <w:szCs w:val="22"/>
        </w:rPr>
        <w:t>Random-Under-Sampler were used</w:t>
      </w:r>
      <w:r w:rsidR="00401125">
        <w:rPr>
          <w:rFonts w:ascii="Arial" w:hAnsi="Arial" w:cs="Arial"/>
          <w:sz w:val="22"/>
          <w:szCs w:val="22"/>
        </w:rPr>
        <w:t xml:space="preserve"> to balance dataset</w:t>
      </w:r>
      <w:r w:rsidR="006F3C5C">
        <w:rPr>
          <w:rFonts w:ascii="Arial" w:hAnsi="Arial" w:cs="Arial"/>
          <w:sz w:val="22"/>
          <w:szCs w:val="22"/>
        </w:rPr>
        <w:t xml:space="preserve">. This </w:t>
      </w:r>
      <w:r w:rsidR="0048004B">
        <w:rPr>
          <w:rFonts w:ascii="Arial" w:hAnsi="Arial" w:cs="Arial"/>
          <w:sz w:val="22"/>
          <w:szCs w:val="22"/>
        </w:rPr>
        <w:t>enhances</w:t>
      </w:r>
      <w:r w:rsidR="00C27CB3">
        <w:rPr>
          <w:rFonts w:ascii="Arial" w:hAnsi="Arial" w:cs="Arial"/>
          <w:sz w:val="22"/>
          <w:szCs w:val="22"/>
        </w:rPr>
        <w:t xml:space="preserve"> models to avoid bias</w:t>
      </w:r>
      <w:r w:rsidR="004F2FF5">
        <w:rPr>
          <w:rFonts w:ascii="Arial" w:hAnsi="Arial" w:cs="Arial"/>
          <w:sz w:val="22"/>
          <w:szCs w:val="22"/>
        </w:rPr>
        <w:t>, improved predicti</w:t>
      </w:r>
      <w:r w:rsidR="005F6B12">
        <w:rPr>
          <w:rFonts w:ascii="Arial" w:hAnsi="Arial" w:cs="Arial"/>
          <w:sz w:val="22"/>
          <w:szCs w:val="22"/>
        </w:rPr>
        <w:t>on</w:t>
      </w:r>
      <w:r w:rsidR="004F2FF5">
        <w:rPr>
          <w:rFonts w:ascii="Arial" w:hAnsi="Arial" w:cs="Arial"/>
          <w:sz w:val="22"/>
          <w:szCs w:val="22"/>
        </w:rPr>
        <w:t xml:space="preserve"> accuracy</w:t>
      </w:r>
      <w:r w:rsidR="006712B6">
        <w:rPr>
          <w:rFonts w:ascii="Arial" w:hAnsi="Arial" w:cs="Arial"/>
          <w:sz w:val="22"/>
          <w:szCs w:val="22"/>
        </w:rPr>
        <w:t xml:space="preserve"> </w:t>
      </w:r>
      <w:r w:rsidR="0048004B">
        <w:rPr>
          <w:rFonts w:ascii="Arial" w:hAnsi="Arial" w:cs="Arial"/>
          <w:sz w:val="22"/>
          <w:szCs w:val="22"/>
        </w:rPr>
        <w:t>and</w:t>
      </w:r>
      <w:r w:rsidR="006712B6">
        <w:rPr>
          <w:rFonts w:ascii="Arial" w:hAnsi="Arial" w:cs="Arial"/>
          <w:sz w:val="22"/>
          <w:szCs w:val="22"/>
        </w:rPr>
        <w:t xml:space="preserve"> fairness in predi</w:t>
      </w:r>
      <w:r w:rsidR="0010065F">
        <w:rPr>
          <w:rFonts w:ascii="Arial" w:hAnsi="Arial" w:cs="Arial"/>
          <w:sz w:val="22"/>
          <w:szCs w:val="22"/>
        </w:rPr>
        <w:t xml:space="preserve">ctive </w:t>
      </w:r>
      <w:r w:rsidR="0048004B">
        <w:rPr>
          <w:rFonts w:ascii="Arial" w:hAnsi="Arial" w:cs="Arial"/>
          <w:sz w:val="22"/>
          <w:szCs w:val="22"/>
        </w:rPr>
        <w:t>decision.</w:t>
      </w:r>
    </w:p>
    <w:p w14:paraId="051C113B" w14:textId="7A65D522" w:rsidR="000B7EAD" w:rsidRPr="007670D8" w:rsidRDefault="00680798" w:rsidP="007670D8">
      <w:pPr>
        <w:jc w:val="both"/>
        <w:rPr>
          <w:rFonts w:ascii="Arial" w:hAnsi="Arial" w:cs="Arial"/>
          <w:sz w:val="22"/>
          <w:szCs w:val="22"/>
        </w:rPr>
      </w:pPr>
      <w:r>
        <w:rPr>
          <w:rFonts w:eastAsia="Times New Roman"/>
          <w:noProof/>
          <w:lang w:eastAsia="en-GB"/>
        </w:rPr>
        <w:drawing>
          <wp:inline distT="0" distB="0" distL="0" distR="0" wp14:anchorId="6E0E1163" wp14:editId="66FCF120">
            <wp:extent cx="1358900" cy="1466669"/>
            <wp:effectExtent l="0" t="0" r="0" b="635"/>
            <wp:docPr id="962434278" name="Picture 36"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379018" cy="1488383"/>
                    </a:xfrm>
                    <a:prstGeom prst="rect">
                      <a:avLst/>
                    </a:prstGeom>
                    <a:noFill/>
                    <a:ln>
                      <a:noFill/>
                      <a:prstDash/>
                    </a:ln>
                  </pic:spPr>
                </pic:pic>
              </a:graphicData>
            </a:graphic>
          </wp:inline>
        </w:drawing>
      </w:r>
      <w:r w:rsidR="00941926">
        <w:rPr>
          <w:rFonts w:eastAsia="Times New Roman"/>
          <w:noProof/>
          <w:lang w:eastAsia="en-GB"/>
        </w:rPr>
        <w:drawing>
          <wp:inline distT="0" distB="0" distL="0" distR="0" wp14:anchorId="4224E9AA" wp14:editId="1D3DE219">
            <wp:extent cx="1651000" cy="1435100"/>
            <wp:effectExtent l="0" t="0" r="6350" b="0"/>
            <wp:docPr id="840665153" name="Picture 20" descr="No description has been provided for this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651204" cy="1435277"/>
                    </a:xfrm>
                    <a:prstGeom prst="rect">
                      <a:avLst/>
                    </a:prstGeom>
                    <a:noFill/>
                    <a:ln>
                      <a:noFill/>
                      <a:prstDash/>
                    </a:ln>
                  </pic:spPr>
                </pic:pic>
              </a:graphicData>
            </a:graphic>
          </wp:inline>
        </w:drawing>
      </w:r>
    </w:p>
    <w:p w14:paraId="686806CE" w14:textId="34116D23" w:rsidR="006A4A01" w:rsidRPr="006C7CBF" w:rsidRDefault="006C7CBF" w:rsidP="005100C2">
      <w:pPr>
        <w:spacing w:after="240"/>
        <w:jc w:val="both"/>
        <w:rPr>
          <w:rFonts w:ascii="Arial" w:hAnsi="Arial" w:cs="Arial"/>
          <w:sz w:val="22"/>
          <w:szCs w:val="22"/>
        </w:rPr>
      </w:pPr>
      <w:r w:rsidRPr="006C7CBF">
        <w:rPr>
          <w:rFonts w:ascii="Arial" w:hAnsi="Arial" w:cs="Arial"/>
          <w:sz w:val="22"/>
          <w:szCs w:val="22"/>
        </w:rPr>
        <w:t>Fig:5</w:t>
      </w:r>
    </w:p>
    <w:p w14:paraId="7AE1FB45" w14:textId="76E5C94A" w:rsidR="007670D8" w:rsidRPr="007670D8" w:rsidRDefault="007670D8" w:rsidP="007670D8">
      <w:pPr>
        <w:jc w:val="both"/>
        <w:rPr>
          <w:rFonts w:ascii="Arial" w:hAnsi="Arial" w:cs="Arial"/>
          <w:sz w:val="22"/>
          <w:szCs w:val="22"/>
        </w:rPr>
      </w:pPr>
      <w:r w:rsidRPr="00A26F9E">
        <w:rPr>
          <w:rFonts w:ascii="Arial" w:hAnsi="Arial" w:cs="Arial"/>
          <w:b/>
          <w:bCs/>
          <w:sz w:val="22"/>
          <w:szCs w:val="22"/>
        </w:rPr>
        <w:t>Model</w:t>
      </w:r>
      <w:r w:rsidR="00430B7B">
        <w:rPr>
          <w:rFonts w:ascii="Arial" w:hAnsi="Arial" w:cs="Arial"/>
          <w:b/>
          <w:bCs/>
          <w:sz w:val="22"/>
          <w:szCs w:val="22"/>
        </w:rPr>
        <w:t xml:space="preserve"> </w:t>
      </w:r>
      <w:r w:rsidRPr="00A26F9E">
        <w:rPr>
          <w:rFonts w:ascii="Arial" w:hAnsi="Arial" w:cs="Arial"/>
          <w:b/>
          <w:bCs/>
          <w:sz w:val="22"/>
          <w:szCs w:val="22"/>
        </w:rPr>
        <w:t>Selection</w:t>
      </w:r>
      <w:r w:rsidRPr="007670D8">
        <w:rPr>
          <w:rFonts w:ascii="Arial" w:hAnsi="Arial" w:cs="Arial"/>
          <w:sz w:val="22"/>
          <w:szCs w:val="22"/>
        </w:rPr>
        <w:t>: Models were chosen for their effectiveness in multi-class classification and diverse operational mechanisms:</w:t>
      </w:r>
    </w:p>
    <w:p w14:paraId="4A718837" w14:textId="77777777" w:rsidR="007670D8" w:rsidRPr="007670D8" w:rsidRDefault="007670D8" w:rsidP="007670D8">
      <w:pPr>
        <w:jc w:val="both"/>
        <w:rPr>
          <w:rFonts w:ascii="Arial" w:hAnsi="Arial" w:cs="Arial"/>
          <w:sz w:val="22"/>
          <w:szCs w:val="22"/>
        </w:rPr>
      </w:pPr>
      <w:r w:rsidRPr="00A26F9E">
        <w:rPr>
          <w:rFonts w:ascii="Arial" w:hAnsi="Arial" w:cs="Arial"/>
          <w:sz w:val="22"/>
          <w:szCs w:val="22"/>
        </w:rPr>
        <w:t>Logistic Regression</w:t>
      </w:r>
      <w:r w:rsidRPr="007670D8">
        <w:rPr>
          <w:rFonts w:ascii="Arial" w:hAnsi="Arial" w:cs="Arial"/>
          <w:sz w:val="22"/>
          <w:szCs w:val="22"/>
        </w:rPr>
        <w:t xml:space="preserve"> (LG): Used for its multinomial capabilities and probabilistic insights into customer churn.</w:t>
      </w:r>
    </w:p>
    <w:p w14:paraId="00839374" w14:textId="77777777" w:rsidR="007670D8" w:rsidRPr="007670D8" w:rsidRDefault="007670D8" w:rsidP="007670D8">
      <w:pPr>
        <w:jc w:val="both"/>
        <w:rPr>
          <w:rFonts w:ascii="Arial" w:hAnsi="Arial" w:cs="Arial"/>
          <w:sz w:val="22"/>
          <w:szCs w:val="22"/>
        </w:rPr>
      </w:pPr>
      <w:r w:rsidRPr="007670D8">
        <w:rPr>
          <w:rFonts w:ascii="Arial" w:hAnsi="Arial" w:cs="Arial"/>
          <w:sz w:val="22"/>
          <w:szCs w:val="22"/>
        </w:rPr>
        <w:t>Random Forest: Leveraged for its accuracy and robustness through averaging multiple deep decision trees.</w:t>
      </w:r>
    </w:p>
    <w:p w14:paraId="52BC8B14" w14:textId="77777777" w:rsidR="007670D8" w:rsidRPr="007670D8" w:rsidRDefault="007670D8" w:rsidP="007670D8">
      <w:pPr>
        <w:jc w:val="both"/>
        <w:rPr>
          <w:rFonts w:ascii="Arial" w:hAnsi="Arial" w:cs="Arial"/>
          <w:sz w:val="22"/>
          <w:szCs w:val="22"/>
        </w:rPr>
      </w:pPr>
      <w:proofErr w:type="spellStart"/>
      <w:r w:rsidRPr="007670D8">
        <w:rPr>
          <w:rFonts w:ascii="Arial" w:hAnsi="Arial" w:cs="Arial"/>
          <w:sz w:val="22"/>
          <w:szCs w:val="22"/>
        </w:rPr>
        <w:t>XGBoost</w:t>
      </w:r>
      <w:proofErr w:type="spellEnd"/>
      <w:r w:rsidRPr="007670D8">
        <w:rPr>
          <w:rFonts w:ascii="Arial" w:hAnsi="Arial" w:cs="Arial"/>
          <w:sz w:val="22"/>
          <w:szCs w:val="22"/>
        </w:rPr>
        <w:t>: Selected for its proficiency in handling complex nonlinear interactions and varied data types.</w:t>
      </w:r>
    </w:p>
    <w:p w14:paraId="2630521D" w14:textId="77777777" w:rsidR="007670D8" w:rsidRPr="007670D8" w:rsidRDefault="007670D8" w:rsidP="007670D8">
      <w:pPr>
        <w:jc w:val="both"/>
        <w:rPr>
          <w:rFonts w:ascii="Arial" w:hAnsi="Arial" w:cs="Arial"/>
          <w:sz w:val="22"/>
          <w:szCs w:val="22"/>
        </w:rPr>
      </w:pPr>
      <w:r w:rsidRPr="007670D8">
        <w:rPr>
          <w:rFonts w:ascii="Arial" w:hAnsi="Arial" w:cs="Arial"/>
          <w:sz w:val="22"/>
          <w:szCs w:val="22"/>
        </w:rPr>
        <w:t>Support Vector Machines (SVM): Applied due to their performance in high-dimensional spaces.</w:t>
      </w:r>
    </w:p>
    <w:p w14:paraId="26CAEB4B" w14:textId="77777777" w:rsidR="007670D8" w:rsidRPr="007670D8" w:rsidRDefault="007670D8" w:rsidP="007670D8">
      <w:pPr>
        <w:jc w:val="both"/>
        <w:rPr>
          <w:rFonts w:ascii="Arial" w:hAnsi="Arial" w:cs="Arial"/>
          <w:sz w:val="22"/>
          <w:szCs w:val="22"/>
        </w:rPr>
      </w:pPr>
      <w:r w:rsidRPr="007670D8">
        <w:rPr>
          <w:rFonts w:ascii="Arial" w:hAnsi="Arial" w:cs="Arial"/>
          <w:sz w:val="22"/>
          <w:szCs w:val="22"/>
        </w:rPr>
        <w:t>K-Nearest Neighbors (KNN): Used to examine the impact of similarity-based reasoning on churn prediction.</w:t>
      </w:r>
    </w:p>
    <w:p w14:paraId="20A234E7" w14:textId="77777777" w:rsidR="003A42DE" w:rsidRDefault="007670D8" w:rsidP="007670D8">
      <w:pPr>
        <w:jc w:val="both"/>
        <w:rPr>
          <w:rFonts w:ascii="Arial" w:hAnsi="Arial" w:cs="Arial"/>
          <w:sz w:val="22"/>
          <w:szCs w:val="22"/>
        </w:rPr>
      </w:pPr>
      <w:r w:rsidRPr="007670D8">
        <w:rPr>
          <w:rFonts w:ascii="Arial" w:hAnsi="Arial" w:cs="Arial"/>
          <w:sz w:val="22"/>
          <w:szCs w:val="22"/>
        </w:rPr>
        <w:lastRenderedPageBreak/>
        <w:t>Naive Bayes: Chosen for their probabilistic classification capabilities, assuming strong independence between features.</w:t>
      </w:r>
    </w:p>
    <w:p w14:paraId="0A7F4B5A" w14:textId="77777777" w:rsidR="00BB0E95" w:rsidRDefault="00BB0E95" w:rsidP="007670D8">
      <w:pPr>
        <w:jc w:val="both"/>
        <w:rPr>
          <w:rFonts w:ascii="Arial" w:hAnsi="Arial" w:cs="Arial"/>
          <w:sz w:val="22"/>
          <w:szCs w:val="22"/>
        </w:rPr>
      </w:pPr>
    </w:p>
    <w:p w14:paraId="6146C64F" w14:textId="34989E26" w:rsidR="00C35BB8" w:rsidRDefault="00C35BB8" w:rsidP="00AF6456">
      <w:pPr>
        <w:jc w:val="both"/>
        <w:rPr>
          <w:rFonts w:ascii="Arial" w:hAnsi="Arial" w:cs="Arial"/>
          <w:sz w:val="22"/>
          <w:szCs w:val="22"/>
        </w:rPr>
      </w:pPr>
      <w:r w:rsidRPr="00903B4A">
        <w:rPr>
          <w:rFonts w:ascii="Arial" w:hAnsi="Arial" w:cs="Arial"/>
          <w:b/>
          <w:bCs/>
          <w:sz w:val="22"/>
          <w:szCs w:val="22"/>
        </w:rPr>
        <w:t>ANOVA(Best-feature-selection)</w:t>
      </w:r>
      <w:r w:rsidR="00903B4A">
        <w:rPr>
          <w:rFonts w:ascii="Arial" w:hAnsi="Arial" w:cs="Arial"/>
          <w:sz w:val="22"/>
          <w:szCs w:val="22"/>
        </w:rPr>
        <w:t xml:space="preserve">: </w:t>
      </w:r>
      <w:r w:rsidR="003801EE" w:rsidRPr="003801EE">
        <w:rPr>
          <w:rFonts w:ascii="Arial" w:hAnsi="Arial" w:cs="Arial"/>
          <w:sz w:val="22"/>
          <w:szCs w:val="22"/>
        </w:rPr>
        <w:t>Models were subjected to k-fold cross-validation (commonly k=</w:t>
      </w:r>
      <w:r w:rsidR="003801EE">
        <w:rPr>
          <w:rFonts w:ascii="Arial" w:hAnsi="Arial" w:cs="Arial"/>
          <w:sz w:val="22"/>
          <w:szCs w:val="22"/>
        </w:rPr>
        <w:t>10</w:t>
      </w:r>
      <w:r w:rsidR="003801EE" w:rsidRPr="003801EE">
        <w:rPr>
          <w:rFonts w:ascii="Arial" w:hAnsi="Arial" w:cs="Arial"/>
          <w:sz w:val="22"/>
          <w:szCs w:val="22"/>
        </w:rPr>
        <w:t xml:space="preserve"> o</w:t>
      </w:r>
      <w:r w:rsidR="009A63D4">
        <w:rPr>
          <w:rFonts w:ascii="Arial" w:hAnsi="Arial" w:cs="Arial"/>
          <w:sz w:val="22"/>
          <w:szCs w:val="22"/>
        </w:rPr>
        <w:t>r</w:t>
      </w:r>
      <w:r w:rsidR="00903B4A">
        <w:rPr>
          <w:rFonts w:ascii="Arial" w:hAnsi="Arial" w:cs="Arial"/>
          <w:sz w:val="22"/>
          <w:szCs w:val="22"/>
        </w:rPr>
        <w:t xml:space="preserve"> </w:t>
      </w:r>
      <w:r w:rsidR="009A63D4">
        <w:rPr>
          <w:rFonts w:ascii="Arial" w:hAnsi="Arial" w:cs="Arial"/>
          <w:sz w:val="22"/>
          <w:szCs w:val="22"/>
        </w:rPr>
        <w:t>2</w:t>
      </w:r>
      <w:r w:rsidR="003801EE" w:rsidRPr="003801EE">
        <w:rPr>
          <w:rFonts w:ascii="Arial" w:hAnsi="Arial" w:cs="Arial"/>
          <w:sz w:val="22"/>
          <w:szCs w:val="22"/>
        </w:rPr>
        <w:t>0) to ensure that the model's effectiveness was not dependent on the way the data was split. The mean and standard deviation of the resulting metrics across all folds were used to assess model stability and reliability.</w:t>
      </w:r>
    </w:p>
    <w:p w14:paraId="081BB791" w14:textId="77777777" w:rsidR="00FE26A3" w:rsidRPr="004B6138" w:rsidRDefault="00FE26A3" w:rsidP="00547C5E">
      <w:pPr>
        <w:jc w:val="both"/>
        <w:rPr>
          <w:rFonts w:ascii="Arial" w:hAnsi="Arial" w:cs="Arial"/>
          <w:sz w:val="22"/>
          <w:szCs w:val="22"/>
        </w:rPr>
      </w:pPr>
    </w:p>
    <w:p w14:paraId="3DB8D7AC" w14:textId="77777777" w:rsidR="008050D8" w:rsidRDefault="00547C5E" w:rsidP="00CF7D30">
      <w:pPr>
        <w:jc w:val="both"/>
        <w:rPr>
          <w:rFonts w:ascii="Arial" w:hAnsi="Arial" w:cs="Arial"/>
          <w:sz w:val="22"/>
          <w:szCs w:val="22"/>
        </w:rPr>
      </w:pPr>
      <w:r w:rsidRPr="00EC7895">
        <w:rPr>
          <w:rFonts w:ascii="Arial" w:hAnsi="Arial" w:cs="Arial"/>
          <w:b/>
          <w:bCs/>
          <w:sz w:val="22"/>
          <w:szCs w:val="22"/>
        </w:rPr>
        <w:t>Hyperparameter</w:t>
      </w:r>
      <w:r w:rsidR="00557DA9" w:rsidRPr="00EC7895">
        <w:rPr>
          <w:rFonts w:ascii="Arial" w:hAnsi="Arial" w:cs="Arial"/>
          <w:b/>
          <w:bCs/>
          <w:sz w:val="22"/>
          <w:szCs w:val="22"/>
        </w:rPr>
        <w:t>-</w:t>
      </w:r>
      <w:r w:rsidRPr="00EC7895">
        <w:rPr>
          <w:rFonts w:ascii="Arial" w:hAnsi="Arial" w:cs="Arial"/>
          <w:b/>
          <w:bCs/>
          <w:sz w:val="22"/>
          <w:szCs w:val="22"/>
        </w:rPr>
        <w:t>tuning</w:t>
      </w:r>
      <w:r w:rsidR="00FE26A3">
        <w:rPr>
          <w:rFonts w:ascii="Arial" w:hAnsi="Arial" w:cs="Arial"/>
          <w:sz w:val="22"/>
          <w:szCs w:val="22"/>
        </w:rPr>
        <w:t>:</w:t>
      </w:r>
    </w:p>
    <w:p w14:paraId="10DA3FA1" w14:textId="664344F2" w:rsidR="00547C5E" w:rsidRDefault="00293453" w:rsidP="00CF7D30">
      <w:pPr>
        <w:jc w:val="both"/>
        <w:rPr>
          <w:rFonts w:ascii="Arial" w:hAnsi="Arial" w:cs="Arial"/>
          <w:sz w:val="22"/>
          <w:szCs w:val="22"/>
        </w:rPr>
      </w:pPr>
      <w:proofErr w:type="spellStart"/>
      <w:r>
        <w:rPr>
          <w:rFonts w:ascii="Arial" w:hAnsi="Arial" w:cs="Arial"/>
          <w:sz w:val="22"/>
          <w:szCs w:val="22"/>
        </w:rPr>
        <w:t>Grid</w:t>
      </w:r>
      <w:r w:rsidR="00EC7895">
        <w:rPr>
          <w:rFonts w:ascii="Arial" w:hAnsi="Arial" w:cs="Arial"/>
          <w:sz w:val="22"/>
          <w:szCs w:val="22"/>
        </w:rPr>
        <w:t>S</w:t>
      </w:r>
      <w:r w:rsidR="00547C5E" w:rsidRPr="004B6138">
        <w:rPr>
          <w:rFonts w:ascii="Arial" w:hAnsi="Arial" w:cs="Arial"/>
          <w:sz w:val="22"/>
          <w:szCs w:val="22"/>
        </w:rPr>
        <w:t>earch</w:t>
      </w:r>
      <w:r w:rsidR="00EC7895">
        <w:rPr>
          <w:rFonts w:ascii="Arial" w:hAnsi="Arial" w:cs="Arial"/>
          <w:sz w:val="22"/>
          <w:szCs w:val="22"/>
        </w:rPr>
        <w:t>CV</w:t>
      </w:r>
      <w:proofErr w:type="spellEnd"/>
      <w:r w:rsidR="00547C5E" w:rsidRPr="004B6138">
        <w:rPr>
          <w:rFonts w:ascii="Arial" w:hAnsi="Arial" w:cs="Arial"/>
          <w:sz w:val="22"/>
          <w:szCs w:val="22"/>
        </w:rPr>
        <w:t xml:space="preserve"> techniques were used to fine-tune each model to identify the ideal combination of parameters that produce the best results.</w:t>
      </w:r>
    </w:p>
    <w:p w14:paraId="242670B2" w14:textId="77777777" w:rsidR="004D7E71" w:rsidRDefault="004D7E71" w:rsidP="00CF7D30">
      <w:pPr>
        <w:jc w:val="both"/>
        <w:rPr>
          <w:rFonts w:ascii="Arial" w:hAnsi="Arial" w:cs="Arial"/>
          <w:sz w:val="22"/>
          <w:szCs w:val="22"/>
        </w:rPr>
      </w:pPr>
    </w:p>
    <w:p w14:paraId="285AC5C2" w14:textId="67EE9C64" w:rsidR="004D7E71" w:rsidRDefault="00D50792" w:rsidP="00CF7D30">
      <w:pPr>
        <w:jc w:val="both"/>
        <w:rPr>
          <w:rFonts w:ascii="Arial" w:hAnsi="Arial" w:cs="Arial"/>
          <w:sz w:val="22"/>
          <w:szCs w:val="22"/>
        </w:rPr>
      </w:pPr>
      <w:r w:rsidRPr="005D7FE8">
        <w:rPr>
          <w:rFonts w:ascii="Arial" w:hAnsi="Arial" w:cs="Arial"/>
          <w:b/>
          <w:bCs/>
          <w:sz w:val="22"/>
          <w:szCs w:val="22"/>
        </w:rPr>
        <w:t>Explainable AI</w:t>
      </w:r>
      <w:r>
        <w:rPr>
          <w:rFonts w:ascii="Arial" w:hAnsi="Arial" w:cs="Arial"/>
          <w:sz w:val="22"/>
          <w:szCs w:val="22"/>
        </w:rPr>
        <w:t xml:space="preserve"> like SHAP was used to </w:t>
      </w:r>
      <w:r w:rsidR="00D25161">
        <w:rPr>
          <w:rFonts w:ascii="Arial" w:hAnsi="Arial" w:cs="Arial"/>
          <w:sz w:val="22"/>
          <w:szCs w:val="22"/>
        </w:rPr>
        <w:t xml:space="preserve">explain how </w:t>
      </w:r>
      <w:r w:rsidR="00AE32D3">
        <w:rPr>
          <w:rFonts w:ascii="Arial" w:hAnsi="Arial" w:cs="Arial"/>
          <w:sz w:val="22"/>
          <w:szCs w:val="22"/>
        </w:rPr>
        <w:t>high effective model</w:t>
      </w:r>
      <w:r w:rsidR="00532680">
        <w:rPr>
          <w:rFonts w:ascii="Arial" w:hAnsi="Arial" w:cs="Arial"/>
          <w:sz w:val="22"/>
          <w:szCs w:val="22"/>
        </w:rPr>
        <w:t xml:space="preserve"> </w:t>
      </w:r>
      <w:r w:rsidR="005D7FE8">
        <w:rPr>
          <w:rFonts w:ascii="Arial" w:hAnsi="Arial" w:cs="Arial"/>
          <w:sz w:val="22"/>
          <w:szCs w:val="22"/>
        </w:rPr>
        <w:t>arrived</w:t>
      </w:r>
      <w:r w:rsidR="00D97785">
        <w:rPr>
          <w:rFonts w:ascii="Arial" w:hAnsi="Arial" w:cs="Arial"/>
          <w:sz w:val="22"/>
          <w:szCs w:val="22"/>
        </w:rPr>
        <w:t xml:space="preserve"> </w:t>
      </w:r>
      <w:r w:rsidR="005100C2">
        <w:rPr>
          <w:rFonts w:ascii="Arial" w:hAnsi="Arial" w:cs="Arial"/>
          <w:sz w:val="22"/>
          <w:szCs w:val="22"/>
        </w:rPr>
        <w:t>at</w:t>
      </w:r>
      <w:r w:rsidR="00D97785">
        <w:rPr>
          <w:rFonts w:ascii="Arial" w:hAnsi="Arial" w:cs="Arial"/>
          <w:sz w:val="22"/>
          <w:szCs w:val="22"/>
        </w:rPr>
        <w:t xml:space="preserve"> </w:t>
      </w:r>
      <w:r w:rsidR="00D33EF2">
        <w:rPr>
          <w:rFonts w:ascii="Arial" w:hAnsi="Arial" w:cs="Arial"/>
          <w:sz w:val="22"/>
          <w:szCs w:val="22"/>
        </w:rPr>
        <w:t xml:space="preserve">its </w:t>
      </w:r>
      <w:r w:rsidR="005D7FE8">
        <w:rPr>
          <w:rFonts w:ascii="Arial" w:hAnsi="Arial" w:cs="Arial"/>
          <w:sz w:val="22"/>
          <w:szCs w:val="22"/>
        </w:rPr>
        <w:t>decision.</w:t>
      </w:r>
    </w:p>
    <w:p w14:paraId="76645240" w14:textId="77777777" w:rsidR="00E4626C" w:rsidRPr="004B6138" w:rsidRDefault="00E4626C" w:rsidP="00547C5E">
      <w:pPr>
        <w:jc w:val="both"/>
        <w:rPr>
          <w:rFonts w:ascii="Arial" w:hAnsi="Arial" w:cs="Arial"/>
          <w:sz w:val="22"/>
          <w:szCs w:val="22"/>
        </w:rPr>
      </w:pPr>
    </w:p>
    <w:p w14:paraId="1FC7BB16" w14:textId="77777777" w:rsidR="00547C5E" w:rsidRPr="00E4626C" w:rsidRDefault="00547C5E" w:rsidP="00547C5E">
      <w:pPr>
        <w:jc w:val="both"/>
        <w:rPr>
          <w:rFonts w:ascii="Arial" w:hAnsi="Arial" w:cs="Arial"/>
          <w:b/>
          <w:bCs/>
          <w:sz w:val="22"/>
          <w:szCs w:val="22"/>
        </w:rPr>
      </w:pPr>
      <w:r w:rsidRPr="00E4626C">
        <w:rPr>
          <w:rFonts w:ascii="Arial" w:hAnsi="Arial" w:cs="Arial"/>
          <w:b/>
          <w:bCs/>
          <w:sz w:val="22"/>
          <w:szCs w:val="22"/>
        </w:rPr>
        <w:t>Implementation:</w:t>
      </w:r>
    </w:p>
    <w:p w14:paraId="373A4E63" w14:textId="04568A2E" w:rsidR="000A15E1" w:rsidRPr="000A15E1" w:rsidRDefault="000A15E1" w:rsidP="000A15E1">
      <w:pPr>
        <w:jc w:val="both"/>
        <w:rPr>
          <w:rFonts w:ascii="Arial" w:hAnsi="Arial" w:cs="Arial"/>
          <w:sz w:val="22"/>
          <w:szCs w:val="22"/>
        </w:rPr>
      </w:pPr>
      <w:r w:rsidRPr="000A15E1">
        <w:rPr>
          <w:rFonts w:ascii="Arial" w:hAnsi="Arial" w:cs="Arial"/>
          <w:sz w:val="22"/>
          <w:szCs w:val="22"/>
        </w:rPr>
        <w:t>To ensure model consistency and reliability, the following steps were implemented.</w:t>
      </w:r>
    </w:p>
    <w:p w14:paraId="45EDAA1B" w14:textId="52DE013B" w:rsidR="00F06DCB" w:rsidRDefault="000A15E1" w:rsidP="000A15E1">
      <w:pPr>
        <w:jc w:val="both"/>
        <w:rPr>
          <w:rFonts w:ascii="Arial" w:hAnsi="Arial" w:cs="Arial"/>
          <w:sz w:val="22"/>
          <w:szCs w:val="22"/>
        </w:rPr>
      </w:pPr>
      <w:r w:rsidRPr="000A15E1">
        <w:rPr>
          <w:rFonts w:ascii="Arial" w:hAnsi="Arial" w:cs="Arial"/>
          <w:sz w:val="22"/>
          <w:szCs w:val="22"/>
        </w:rPr>
        <w:t>The models were trained using 80% of the dataset to learn correlations between feature patterns and outcomes like churn. Cross-validation within the training dataset was employed to mitigate overfitting and provide an objective measure of model capability. Models were finally tested using a separate test set, not involved in the training phase, to assess their generalization capabilities. Techniques like SMOTE and Random-Under-Sampler were used to address class imbalance by adjusting the majority class (non-churners). This enhances the model's ability to detect nuanced trends that indicate churn. The Standard-Scaler was applied to normalize the dataset’s features, ensuring no single feature disproportionately influences the model due to scale differences. This normalization aids in equitable contribution from all features, enhancing model accuracy and training efficiency.</w:t>
      </w:r>
    </w:p>
    <w:p w14:paraId="480BB77F" w14:textId="77777777" w:rsidR="00F23303" w:rsidRPr="004B6138" w:rsidRDefault="00F23303" w:rsidP="000A15E1">
      <w:pPr>
        <w:jc w:val="both"/>
        <w:rPr>
          <w:rFonts w:ascii="Arial" w:hAnsi="Arial" w:cs="Arial"/>
          <w:sz w:val="22"/>
          <w:szCs w:val="22"/>
        </w:rPr>
      </w:pPr>
    </w:p>
    <w:p w14:paraId="15382589" w14:textId="3B960B61" w:rsidR="00304240" w:rsidRPr="00613F62" w:rsidRDefault="00F06DCB" w:rsidP="00613F62">
      <w:pPr>
        <w:pStyle w:val="Heading1"/>
        <w:rPr>
          <w:b/>
          <w:bCs/>
        </w:rPr>
      </w:pPr>
      <w:r w:rsidRPr="00613F62">
        <w:rPr>
          <w:b/>
          <w:bCs/>
        </w:rPr>
        <w:t>RESULT</w:t>
      </w:r>
    </w:p>
    <w:p w14:paraId="2FDF70AF" w14:textId="2F47777E" w:rsidR="006B6E77" w:rsidRPr="004B6138" w:rsidRDefault="006B6E77" w:rsidP="006B6E77">
      <w:pPr>
        <w:jc w:val="both"/>
        <w:rPr>
          <w:rFonts w:ascii="Arial" w:hAnsi="Arial" w:cs="Arial"/>
          <w:sz w:val="22"/>
          <w:szCs w:val="22"/>
        </w:rPr>
      </w:pPr>
      <w:r w:rsidRPr="004B6138">
        <w:rPr>
          <w:rFonts w:ascii="Arial" w:hAnsi="Arial" w:cs="Arial"/>
          <w:sz w:val="22"/>
          <w:szCs w:val="22"/>
        </w:rPr>
        <w:t>Several important measures were used in the study to give a comprehensive picture of each model's efficacy.</w:t>
      </w:r>
    </w:p>
    <w:p w14:paraId="29F2B75A"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Accuracy: Evaluates how well the model performs overall across all predictions.</w:t>
      </w:r>
    </w:p>
    <w:p w14:paraId="5F70C000"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Precision estimates the percentage of accurately detected expected churns and indicates the accuracy of positive forecasts.</w:t>
      </w:r>
    </w:p>
    <w:p w14:paraId="0382A4B5"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Recall (Sensitivity): Evaluates the model's capacity to identify real data churns.</w:t>
      </w:r>
    </w:p>
    <w:p w14:paraId="45F56C06"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F1-Score: Considers both false-positives and false-negatives, giving a single number that balances precision and recall.</w:t>
      </w:r>
    </w:p>
    <w:p w14:paraId="733E0BD3"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The area under the receiver operating characteristic curve is represented by the ROC-AUC score. A higher AUC denotes a better performing model across all classification criteria.</w:t>
      </w:r>
    </w:p>
    <w:p w14:paraId="2E58A234" w14:textId="77777777" w:rsidR="006B6E77" w:rsidRPr="004B6138" w:rsidRDefault="006B6E77" w:rsidP="006B6E77">
      <w:pPr>
        <w:jc w:val="both"/>
        <w:rPr>
          <w:rFonts w:ascii="Arial" w:hAnsi="Arial" w:cs="Arial"/>
          <w:sz w:val="22"/>
          <w:szCs w:val="22"/>
        </w:rPr>
      </w:pPr>
      <w:r w:rsidRPr="004B6138">
        <w:rPr>
          <w:rFonts w:ascii="Arial" w:hAnsi="Arial" w:cs="Arial"/>
          <w:sz w:val="22"/>
          <w:szCs w:val="22"/>
        </w:rPr>
        <w:t>The performance of each classifier across the many measures discussed is summarized in the table below.</w:t>
      </w:r>
    </w:p>
    <w:p w14:paraId="70F7913C" w14:textId="77777777" w:rsidR="00382AE2" w:rsidRPr="004B6138" w:rsidRDefault="00382AE2" w:rsidP="006B6E77">
      <w:pPr>
        <w:jc w:val="both"/>
        <w:rPr>
          <w:rFonts w:ascii="Arial" w:hAnsi="Arial" w:cs="Arial"/>
          <w:sz w:val="22"/>
          <w:szCs w:val="22"/>
        </w:rPr>
      </w:pPr>
    </w:p>
    <w:p w14:paraId="1B61FBEB" w14:textId="3A1D52D7" w:rsidR="006B6E77" w:rsidRPr="00B90E8F" w:rsidRDefault="007E13A9" w:rsidP="00B90E8F">
      <w:pPr>
        <w:pBdr>
          <w:top w:val="single" w:sz="2" w:space="0" w:color="E3E3E3"/>
          <w:left w:val="single" w:sz="2" w:space="0" w:color="E3E3E3"/>
          <w:bottom w:val="single" w:sz="2" w:space="0" w:color="E3E3E3"/>
          <w:right w:val="single" w:sz="2" w:space="0" w:color="E3E3E3"/>
        </w:pBdr>
        <w:shd w:val="clear" w:color="auto" w:fill="FFFFFF"/>
        <w:spacing w:before="240"/>
        <w:outlineLvl w:val="3"/>
        <w:rPr>
          <w:rFonts w:ascii="Segoe UI" w:eastAsia="Times New Roman" w:hAnsi="Segoe UI" w:cs="Segoe UI"/>
          <w:b/>
          <w:bCs/>
          <w:color w:val="0D0D0D"/>
          <w:lang w:eastAsia="en-GB"/>
        </w:rPr>
      </w:pPr>
      <w:r w:rsidRPr="00492CCB">
        <w:rPr>
          <w:rFonts w:ascii="Segoe UI" w:eastAsia="Times New Roman" w:hAnsi="Segoe UI" w:cs="Segoe UI"/>
          <w:b/>
          <w:bCs/>
          <w:color w:val="0D0D0D"/>
          <w:lang w:eastAsia="en-GB"/>
        </w:rPr>
        <w:t xml:space="preserve">Table of Performance Metrics </w:t>
      </w:r>
    </w:p>
    <w:tbl>
      <w:tblPr>
        <w:tblpPr w:leftFromText="180" w:rightFromText="180" w:vertAnchor="text" w:horzAnchor="page" w:tblpX="5901" w:tblpY="180"/>
        <w:tblW w:w="595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1"/>
        <w:gridCol w:w="967"/>
        <w:gridCol w:w="975"/>
        <w:gridCol w:w="761"/>
        <w:gridCol w:w="855"/>
        <w:gridCol w:w="944"/>
        <w:gridCol w:w="661"/>
      </w:tblGrid>
      <w:tr w:rsidR="007E78A6" w:rsidRPr="00492CCB" w14:paraId="4C3B8DBD" w14:textId="77777777" w:rsidTr="007E78A6">
        <w:trPr>
          <w:trHeight w:val="264"/>
          <w:tblHeader/>
          <w:tblCellSpacing w:w="15" w:type="dxa"/>
        </w:trPr>
        <w:tc>
          <w:tcPr>
            <w:tcW w:w="746"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D204E2F" w14:textId="77777777" w:rsidR="007E78A6" w:rsidRPr="00492CCB" w:rsidRDefault="007E78A6" w:rsidP="007E78A6">
            <w:pPr>
              <w:rPr>
                <w:rFonts w:ascii="Segoe UI" w:eastAsia="Times New Roman" w:hAnsi="Segoe UI" w:cs="Segoe UI"/>
                <w:b/>
                <w:bCs/>
                <w:color w:val="0D0D0D"/>
                <w:sz w:val="21"/>
                <w:szCs w:val="21"/>
                <w:lang w:eastAsia="en-GB"/>
              </w:rPr>
            </w:pPr>
            <w:r>
              <w:rPr>
                <w:rFonts w:ascii="Segoe UI" w:eastAsia="Times New Roman" w:hAnsi="Segoe UI" w:cs="Segoe UI"/>
                <w:b/>
                <w:bCs/>
                <w:color w:val="0D0D0D"/>
                <w:sz w:val="21"/>
                <w:szCs w:val="21"/>
                <w:lang w:eastAsia="en-GB"/>
              </w:rPr>
              <w:t>Model</w:t>
            </w:r>
          </w:p>
        </w:tc>
        <w:tc>
          <w:tcPr>
            <w:tcW w:w="93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B6444F5" w14:textId="77777777" w:rsidR="007E78A6" w:rsidRPr="00492CCB" w:rsidRDefault="007E78A6" w:rsidP="007E78A6">
            <w:pPr>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 xml:space="preserve">Accuracy </w:t>
            </w:r>
          </w:p>
        </w:tc>
        <w:tc>
          <w:tcPr>
            <w:tcW w:w="94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70B62359" w14:textId="77777777" w:rsidR="007E78A6" w:rsidRPr="00492CCB" w:rsidRDefault="007E78A6" w:rsidP="007E78A6">
            <w:pPr>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 xml:space="preserve">Precision </w:t>
            </w:r>
          </w:p>
        </w:tc>
        <w:tc>
          <w:tcPr>
            <w:tcW w:w="731"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676FDF4" w14:textId="77777777" w:rsidR="007E78A6" w:rsidRPr="00492CCB" w:rsidRDefault="007E78A6" w:rsidP="007E78A6">
            <w:pPr>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 xml:space="preserve">Recall </w:t>
            </w:r>
          </w:p>
        </w:tc>
        <w:tc>
          <w:tcPr>
            <w:tcW w:w="82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6DF92D6A" w14:textId="77777777" w:rsidR="007E78A6" w:rsidRPr="00492CCB" w:rsidRDefault="007E78A6" w:rsidP="007E78A6">
            <w:pPr>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F1 Score</w:t>
            </w:r>
          </w:p>
        </w:tc>
        <w:tc>
          <w:tcPr>
            <w:tcW w:w="91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0B50290E" w14:textId="77777777" w:rsidR="007E78A6" w:rsidRPr="00492CCB" w:rsidRDefault="007E78A6" w:rsidP="007E78A6">
            <w:pPr>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Positive</w:t>
            </w:r>
            <w:r>
              <w:rPr>
                <w:rFonts w:ascii="Segoe UI" w:eastAsia="Times New Roman" w:hAnsi="Segoe UI" w:cs="Segoe UI"/>
                <w:b/>
                <w:bCs/>
                <w:color w:val="0D0D0D"/>
                <w:sz w:val="21"/>
                <w:szCs w:val="21"/>
                <w:lang w:eastAsia="en-GB"/>
              </w:rPr>
              <w:t>-</w:t>
            </w:r>
            <w:r w:rsidRPr="00492CCB">
              <w:rPr>
                <w:rFonts w:ascii="Segoe UI" w:eastAsia="Times New Roman" w:hAnsi="Segoe UI" w:cs="Segoe UI"/>
                <w:b/>
                <w:bCs/>
                <w:color w:val="0D0D0D"/>
                <w:sz w:val="21"/>
                <w:szCs w:val="21"/>
                <w:lang w:eastAsia="en-GB"/>
              </w:rPr>
              <w:t xml:space="preserve">Rate </w:t>
            </w:r>
          </w:p>
        </w:tc>
        <w:tc>
          <w:tcPr>
            <w:tcW w:w="616"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D43C725" w14:textId="77777777" w:rsidR="007E78A6" w:rsidRPr="00492CCB" w:rsidRDefault="007E78A6" w:rsidP="007E78A6">
            <w:pPr>
              <w:jc w:val="left"/>
              <w:rPr>
                <w:rFonts w:ascii="Segoe UI" w:eastAsia="Times New Roman" w:hAnsi="Segoe UI" w:cs="Segoe UI"/>
                <w:b/>
                <w:bCs/>
                <w:color w:val="0D0D0D"/>
                <w:sz w:val="21"/>
                <w:szCs w:val="21"/>
                <w:lang w:eastAsia="en-GB"/>
              </w:rPr>
            </w:pPr>
            <w:r w:rsidRPr="00492CCB">
              <w:rPr>
                <w:rFonts w:ascii="Segoe UI" w:eastAsia="Times New Roman" w:hAnsi="Segoe UI" w:cs="Segoe UI"/>
                <w:b/>
                <w:bCs/>
                <w:color w:val="0D0D0D"/>
                <w:sz w:val="21"/>
                <w:szCs w:val="21"/>
                <w:lang w:eastAsia="en-GB"/>
              </w:rPr>
              <w:t>ROC AUC</w:t>
            </w:r>
          </w:p>
        </w:tc>
      </w:tr>
      <w:tr w:rsidR="007E78A6" w:rsidRPr="00492CCB" w14:paraId="5E0F90FB"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B96773"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RF</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AC26DD0"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90.47</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FFB7F88"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90.38</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E585C5F"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90.47</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EDC8BCA"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90.39</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DEBB812"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100.50</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70175C4"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97.67</w:t>
            </w:r>
          </w:p>
        </w:tc>
      </w:tr>
      <w:tr w:rsidR="007E78A6" w:rsidRPr="00492CCB" w14:paraId="36DF2422"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639D08B"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SVM</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302126D"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85.84</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189C6B3"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85.98</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D989878"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85.84</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21E0C75"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85.80</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5D0CEAE"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105.16</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95AB74"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93.67</w:t>
            </w:r>
          </w:p>
        </w:tc>
      </w:tr>
      <w:tr w:rsidR="007E78A6" w:rsidRPr="00492CCB" w14:paraId="41E8B045"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979FF86"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LR</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84C82FC"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79.48</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A49C614"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79.57</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B40C083"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79.48</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E2633DD"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79.36</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AA069B2"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106.74</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703A548"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93.33</w:t>
            </w:r>
          </w:p>
        </w:tc>
      </w:tr>
      <w:tr w:rsidR="007E78A6" w:rsidRPr="00492CCB" w14:paraId="4D5232FC"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6BF1D3D"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KNN</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CD15C4A"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84.29</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6CE6663"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85.03</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73AC631"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84.29</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4D24B06"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84.16</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294FD85"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109.57</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8CEB714"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93.67</w:t>
            </w:r>
          </w:p>
        </w:tc>
      </w:tr>
      <w:tr w:rsidR="007E78A6" w:rsidRPr="00492CCB" w14:paraId="77C98EA2"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57ADAA4"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NB</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522B167"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77.86</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EFC7E82"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77.72</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78DFCA6"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77.86</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D22215A"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76.99</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1666A9D"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111.02</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114D8AF"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91.67</w:t>
            </w:r>
          </w:p>
        </w:tc>
      </w:tr>
      <w:tr w:rsidR="007E78A6" w:rsidRPr="00492CCB" w14:paraId="31F63B8D" w14:textId="77777777" w:rsidTr="007E78A6">
        <w:trPr>
          <w:trHeight w:val="26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A71CD9F"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DT</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AEA0E79"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84.75</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03A1D43"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84.49</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0815CFF"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84.75</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DD96B52"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84.51</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8F6E39C"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101.98</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286A1B3"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94.67</w:t>
            </w:r>
          </w:p>
        </w:tc>
      </w:tr>
      <w:tr w:rsidR="007E78A6" w:rsidRPr="00492CCB" w14:paraId="7C83CAA1" w14:textId="77777777" w:rsidTr="007E78A6">
        <w:trPr>
          <w:trHeight w:val="254"/>
          <w:tblCellSpacing w:w="15" w:type="dxa"/>
        </w:trPr>
        <w:tc>
          <w:tcPr>
            <w:tcW w:w="74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E575CE0" w14:textId="77777777" w:rsidR="007E78A6" w:rsidRPr="00492CCB" w:rsidRDefault="007E78A6" w:rsidP="007E78A6">
            <w:pPr>
              <w:jc w:val="both"/>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XGB</w:t>
            </w:r>
          </w:p>
        </w:tc>
        <w:tc>
          <w:tcPr>
            <w:tcW w:w="9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892D040"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89.76</w:t>
            </w:r>
            <w:r w:rsidRPr="00492CCB">
              <w:rPr>
                <w:rFonts w:ascii="Segoe UI" w:eastAsia="Times New Roman" w:hAnsi="Segoe UI" w:cs="Segoe UI"/>
                <w:b/>
                <w:bCs/>
                <w:color w:val="0D0D0D"/>
                <w:sz w:val="21"/>
                <w:szCs w:val="21"/>
                <w:lang w:eastAsia="en-GB"/>
              </w:rPr>
              <w:t>%</w:t>
            </w:r>
          </w:p>
        </w:tc>
        <w:tc>
          <w:tcPr>
            <w:tcW w:w="94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34BD6AF"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89.65</w:t>
            </w:r>
            <w:r w:rsidRPr="00492CCB">
              <w:rPr>
                <w:rFonts w:ascii="Segoe UI" w:eastAsia="Times New Roman" w:hAnsi="Segoe UI" w:cs="Segoe UI"/>
                <w:b/>
                <w:bCs/>
                <w:color w:val="0D0D0D"/>
                <w:sz w:val="21"/>
                <w:szCs w:val="21"/>
                <w:lang w:eastAsia="en-GB"/>
              </w:rPr>
              <w:t>%</w:t>
            </w:r>
          </w:p>
        </w:tc>
        <w:tc>
          <w:tcPr>
            <w:tcW w:w="731"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F77AA3B"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89.76</w:t>
            </w:r>
            <w:r w:rsidRPr="00492CCB">
              <w:rPr>
                <w:rFonts w:ascii="Segoe UI" w:eastAsia="Times New Roman" w:hAnsi="Segoe UI" w:cs="Segoe UI"/>
                <w:b/>
                <w:bCs/>
                <w:color w:val="0D0D0D"/>
                <w:sz w:val="21"/>
                <w:szCs w:val="21"/>
                <w:lang w:eastAsia="en-GB"/>
              </w:rPr>
              <w:t>%</w:t>
            </w:r>
          </w:p>
        </w:tc>
        <w:tc>
          <w:tcPr>
            <w:tcW w:w="82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CCA44D1"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89.67</w:t>
            </w:r>
            <w:r w:rsidRPr="00492CCB">
              <w:rPr>
                <w:rFonts w:ascii="Segoe UI" w:eastAsia="Times New Roman" w:hAnsi="Segoe UI" w:cs="Segoe UI"/>
                <w:b/>
                <w:bCs/>
                <w:color w:val="0D0D0D"/>
                <w:sz w:val="21"/>
                <w:szCs w:val="21"/>
                <w:lang w:eastAsia="en-GB"/>
              </w:rPr>
              <w:t>%</w:t>
            </w:r>
          </w:p>
        </w:tc>
        <w:tc>
          <w:tcPr>
            <w:tcW w:w="91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6BEFD49"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100.99</w:t>
            </w:r>
          </w:p>
        </w:tc>
        <w:tc>
          <w:tcPr>
            <w:tcW w:w="616"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807C100" w14:textId="77777777" w:rsidR="007E78A6" w:rsidRPr="00492CCB" w:rsidRDefault="007E78A6" w:rsidP="007E78A6">
            <w:pPr>
              <w:rPr>
                <w:rFonts w:ascii="Segoe UI" w:eastAsia="Times New Roman" w:hAnsi="Segoe UI" w:cs="Segoe UI"/>
                <w:color w:val="0D0D0D"/>
                <w:sz w:val="21"/>
                <w:szCs w:val="21"/>
                <w:lang w:eastAsia="en-GB"/>
              </w:rPr>
            </w:pPr>
            <w:r w:rsidRPr="00492CCB">
              <w:rPr>
                <w:rFonts w:ascii="Segoe UI" w:eastAsia="Times New Roman" w:hAnsi="Segoe UI" w:cs="Segoe UI"/>
                <w:color w:val="0D0D0D"/>
                <w:sz w:val="21"/>
                <w:szCs w:val="21"/>
                <w:lang w:eastAsia="en-GB"/>
              </w:rPr>
              <w:t>97.33</w:t>
            </w:r>
          </w:p>
        </w:tc>
      </w:tr>
    </w:tbl>
    <w:p w14:paraId="1DB17B17" w14:textId="77777777" w:rsidR="00B90E8F" w:rsidRDefault="00B90E8F" w:rsidP="006B6E77">
      <w:pPr>
        <w:jc w:val="both"/>
        <w:rPr>
          <w:rFonts w:ascii="Arial" w:hAnsi="Arial" w:cs="Arial"/>
          <w:b/>
          <w:bCs/>
          <w:sz w:val="22"/>
          <w:szCs w:val="22"/>
        </w:rPr>
      </w:pPr>
    </w:p>
    <w:p w14:paraId="190A2756" w14:textId="11FFCEE9" w:rsidR="006B6E77" w:rsidRPr="00433EB7" w:rsidRDefault="006B6E77" w:rsidP="006B6E77">
      <w:pPr>
        <w:jc w:val="both"/>
        <w:rPr>
          <w:rFonts w:ascii="Arial" w:hAnsi="Arial" w:cs="Arial"/>
          <w:b/>
          <w:bCs/>
          <w:sz w:val="22"/>
          <w:szCs w:val="22"/>
        </w:rPr>
      </w:pPr>
      <w:r w:rsidRPr="00433EB7">
        <w:rPr>
          <w:rFonts w:ascii="Arial" w:hAnsi="Arial" w:cs="Arial"/>
          <w:b/>
          <w:bCs/>
          <w:sz w:val="22"/>
          <w:szCs w:val="22"/>
        </w:rPr>
        <w:t>Analysis of Results</w:t>
      </w:r>
    </w:p>
    <w:p w14:paraId="15E655CB" w14:textId="6697AF15" w:rsidR="00F07BAB" w:rsidRPr="00F07BAB" w:rsidRDefault="00F07BAB" w:rsidP="00F07BAB">
      <w:pPr>
        <w:jc w:val="both"/>
        <w:rPr>
          <w:rFonts w:ascii="Arial" w:hAnsi="Arial" w:cs="Arial"/>
          <w:sz w:val="22"/>
          <w:szCs w:val="22"/>
        </w:rPr>
      </w:pPr>
      <w:r w:rsidRPr="00F07BAB">
        <w:rPr>
          <w:rFonts w:ascii="Arial" w:hAnsi="Arial" w:cs="Arial"/>
          <w:sz w:val="22"/>
          <w:szCs w:val="22"/>
        </w:rPr>
        <w:t>High</w:t>
      </w:r>
      <w:r w:rsidR="00536AB4">
        <w:rPr>
          <w:rFonts w:ascii="Arial" w:hAnsi="Arial" w:cs="Arial"/>
          <w:sz w:val="22"/>
          <w:szCs w:val="22"/>
        </w:rPr>
        <w:t>-</w:t>
      </w:r>
      <w:r w:rsidRPr="00F07BAB">
        <w:rPr>
          <w:rFonts w:ascii="Arial" w:hAnsi="Arial" w:cs="Arial"/>
          <w:sz w:val="22"/>
          <w:szCs w:val="22"/>
        </w:rPr>
        <w:t>Performance of models:</w:t>
      </w:r>
      <w:r w:rsidR="0001394E">
        <w:rPr>
          <w:rFonts w:ascii="Arial" w:hAnsi="Arial" w:cs="Arial"/>
          <w:sz w:val="22"/>
          <w:szCs w:val="22"/>
        </w:rPr>
        <w:t xml:space="preserve"> </w:t>
      </w:r>
      <w:r w:rsidRPr="00F07BAB">
        <w:rPr>
          <w:rFonts w:ascii="Arial" w:hAnsi="Arial" w:cs="Arial"/>
          <w:sz w:val="22"/>
          <w:szCs w:val="22"/>
        </w:rPr>
        <w:t>Random Forest excels as the top-performing model in our analysis, showcasing exceptional precision, accuracy, recall, F1 score, and an ROC-AUC. This model effectively identifies customers at risk of churn while minimizing false positives, crucial for cost-effective customer retention strategies.</w:t>
      </w:r>
    </w:p>
    <w:p w14:paraId="407603E5" w14:textId="77777777" w:rsidR="00F07BAB" w:rsidRPr="00F07BAB" w:rsidRDefault="00F07BAB" w:rsidP="00F07BAB">
      <w:pPr>
        <w:jc w:val="both"/>
        <w:rPr>
          <w:rFonts w:ascii="Arial" w:hAnsi="Arial" w:cs="Arial"/>
          <w:sz w:val="22"/>
          <w:szCs w:val="22"/>
        </w:rPr>
      </w:pPr>
    </w:p>
    <w:p w14:paraId="0A80360C" w14:textId="5E53E8E5" w:rsidR="00F07BAB" w:rsidRPr="00CE1D80" w:rsidRDefault="00F07BAB" w:rsidP="00F07BAB">
      <w:pPr>
        <w:jc w:val="both"/>
        <w:rPr>
          <w:rFonts w:ascii="Arial" w:hAnsi="Arial" w:cs="Arial"/>
          <w:b/>
          <w:bCs/>
          <w:sz w:val="22"/>
          <w:szCs w:val="22"/>
        </w:rPr>
      </w:pPr>
      <w:r w:rsidRPr="00CE1D80">
        <w:rPr>
          <w:rFonts w:ascii="Arial" w:hAnsi="Arial" w:cs="Arial"/>
          <w:b/>
          <w:bCs/>
          <w:sz w:val="22"/>
          <w:szCs w:val="22"/>
        </w:rPr>
        <w:t>Key Advantages</w:t>
      </w:r>
    </w:p>
    <w:p w14:paraId="73A61344" w14:textId="45E0A7EE" w:rsidR="00F07BAB" w:rsidRPr="00F07BAB" w:rsidRDefault="00F07BAB" w:rsidP="00643BA2">
      <w:pPr>
        <w:spacing w:after="240"/>
        <w:jc w:val="both"/>
        <w:rPr>
          <w:rFonts w:ascii="Arial" w:hAnsi="Arial" w:cs="Arial"/>
          <w:sz w:val="22"/>
          <w:szCs w:val="22"/>
        </w:rPr>
      </w:pPr>
      <w:r w:rsidRPr="00F07BAB">
        <w:rPr>
          <w:rFonts w:ascii="Arial" w:hAnsi="Arial" w:cs="Arial"/>
          <w:sz w:val="22"/>
          <w:szCs w:val="22"/>
        </w:rPr>
        <w:t>Precision and Recall Balance: Random</w:t>
      </w:r>
      <w:r w:rsidR="00A34015">
        <w:rPr>
          <w:rFonts w:ascii="Arial" w:hAnsi="Arial" w:cs="Arial"/>
          <w:sz w:val="22"/>
          <w:szCs w:val="22"/>
        </w:rPr>
        <w:t>-</w:t>
      </w:r>
      <w:r w:rsidRPr="00F07BAB">
        <w:rPr>
          <w:rFonts w:ascii="Arial" w:hAnsi="Arial" w:cs="Arial"/>
          <w:sz w:val="22"/>
          <w:szCs w:val="22"/>
        </w:rPr>
        <w:t>Forest achieves an optimal balance between precision and recall, crucial for reducing false alarms and effectively targeting retention efforts.</w:t>
      </w:r>
    </w:p>
    <w:p w14:paraId="453E1EA6" w14:textId="77777777" w:rsidR="00F07BAB" w:rsidRPr="00F07BAB" w:rsidRDefault="00F07BAB" w:rsidP="00F07BAB">
      <w:pPr>
        <w:jc w:val="both"/>
        <w:rPr>
          <w:rFonts w:ascii="Arial" w:hAnsi="Arial" w:cs="Arial"/>
          <w:sz w:val="22"/>
          <w:szCs w:val="22"/>
        </w:rPr>
      </w:pPr>
      <w:r w:rsidRPr="00F07BAB">
        <w:rPr>
          <w:rFonts w:ascii="Arial" w:hAnsi="Arial" w:cs="Arial"/>
          <w:sz w:val="22"/>
          <w:szCs w:val="22"/>
        </w:rPr>
        <w:t>Superior ROC-AUC: A ROC-AUC of 97.67% demonstrates Random Forest's excellent ability to distinguish between churners and non-churners, which is vital for tailoring interventions based on varying customer risk levels.</w:t>
      </w:r>
    </w:p>
    <w:p w14:paraId="7B2AA563" w14:textId="77777777" w:rsidR="00F07BAB" w:rsidRPr="00F07BAB" w:rsidRDefault="00F07BAB" w:rsidP="00643BA2">
      <w:pPr>
        <w:spacing w:after="240"/>
        <w:jc w:val="both"/>
        <w:rPr>
          <w:rFonts w:ascii="Arial" w:hAnsi="Arial" w:cs="Arial"/>
          <w:sz w:val="22"/>
          <w:szCs w:val="22"/>
        </w:rPr>
      </w:pPr>
      <w:r w:rsidRPr="00F07BAB">
        <w:rPr>
          <w:rFonts w:ascii="Arial" w:hAnsi="Arial" w:cs="Arial"/>
          <w:sz w:val="22"/>
          <w:szCs w:val="22"/>
        </w:rPr>
        <w:t>Comparison with Other Models:</w:t>
      </w:r>
    </w:p>
    <w:p w14:paraId="2E17B410" w14:textId="77777777" w:rsidR="00F07BAB" w:rsidRPr="00F07BAB" w:rsidRDefault="00F07BAB" w:rsidP="00F07BAB">
      <w:pPr>
        <w:jc w:val="both"/>
        <w:rPr>
          <w:rFonts w:ascii="Arial" w:hAnsi="Arial" w:cs="Arial"/>
          <w:sz w:val="22"/>
          <w:szCs w:val="22"/>
        </w:rPr>
      </w:pPr>
      <w:r w:rsidRPr="00F07BAB">
        <w:rPr>
          <w:rFonts w:ascii="Arial" w:hAnsi="Arial" w:cs="Arial"/>
          <w:sz w:val="22"/>
          <w:szCs w:val="22"/>
        </w:rPr>
        <w:t xml:space="preserve">While </w:t>
      </w:r>
      <w:proofErr w:type="spellStart"/>
      <w:r w:rsidRPr="00F07BAB">
        <w:rPr>
          <w:rFonts w:ascii="Arial" w:hAnsi="Arial" w:cs="Arial"/>
          <w:sz w:val="22"/>
          <w:szCs w:val="22"/>
        </w:rPr>
        <w:t>XGBoost</w:t>
      </w:r>
      <w:proofErr w:type="spellEnd"/>
      <w:r w:rsidRPr="00F07BAB">
        <w:rPr>
          <w:rFonts w:ascii="Arial" w:hAnsi="Arial" w:cs="Arial"/>
          <w:sz w:val="22"/>
          <w:szCs w:val="22"/>
        </w:rPr>
        <w:t xml:space="preserve"> and Support Vector Machine also perform well, Random Forest consistently outshines them with its robust handling of the diverse data characteristics typical in telecom datasets, including customer demographics and usage patterns.</w:t>
      </w:r>
    </w:p>
    <w:p w14:paraId="5E638F45" w14:textId="77777777" w:rsidR="00F07BAB" w:rsidRPr="00F07BAB" w:rsidRDefault="00F07BAB" w:rsidP="00F07BAB">
      <w:pPr>
        <w:jc w:val="both"/>
        <w:rPr>
          <w:rFonts w:ascii="Arial" w:hAnsi="Arial" w:cs="Arial"/>
          <w:sz w:val="22"/>
          <w:szCs w:val="22"/>
        </w:rPr>
      </w:pPr>
    </w:p>
    <w:p w14:paraId="2C7C3285" w14:textId="541A8490" w:rsidR="00F07BAB" w:rsidRPr="00CE1D80" w:rsidRDefault="00F07BAB" w:rsidP="00F07BAB">
      <w:pPr>
        <w:jc w:val="both"/>
        <w:rPr>
          <w:rFonts w:ascii="Arial" w:hAnsi="Arial" w:cs="Arial"/>
          <w:b/>
          <w:bCs/>
          <w:sz w:val="22"/>
          <w:szCs w:val="22"/>
        </w:rPr>
      </w:pPr>
      <w:r w:rsidRPr="00CE1D80">
        <w:rPr>
          <w:rFonts w:ascii="Arial" w:hAnsi="Arial" w:cs="Arial"/>
          <w:b/>
          <w:bCs/>
          <w:sz w:val="22"/>
          <w:szCs w:val="22"/>
        </w:rPr>
        <w:t>Strategic Deployment Considerations</w:t>
      </w:r>
    </w:p>
    <w:p w14:paraId="33AAD3BC" w14:textId="77777777" w:rsidR="00F07BAB" w:rsidRPr="00F07BAB" w:rsidRDefault="00F07BAB" w:rsidP="002F0B97">
      <w:pPr>
        <w:spacing w:after="240"/>
        <w:jc w:val="both"/>
        <w:rPr>
          <w:rFonts w:ascii="Arial" w:hAnsi="Arial" w:cs="Arial"/>
          <w:sz w:val="22"/>
          <w:szCs w:val="22"/>
        </w:rPr>
      </w:pPr>
      <w:r w:rsidRPr="00F07BAB">
        <w:rPr>
          <w:rFonts w:ascii="Arial" w:hAnsi="Arial" w:cs="Arial"/>
          <w:sz w:val="22"/>
          <w:szCs w:val="22"/>
        </w:rPr>
        <w:t>Efficiency vs. Complexity: Random Forest's computational demands should be weighed against its high predictive accuracy and the insights it provides, making it suitable for dynamic markets like telecom.</w:t>
      </w:r>
    </w:p>
    <w:p w14:paraId="3B89AEB6" w14:textId="6B43807A" w:rsidR="00F07BAB" w:rsidRPr="00F07BAB" w:rsidRDefault="00F07BAB" w:rsidP="002F0B97">
      <w:pPr>
        <w:spacing w:after="240"/>
        <w:jc w:val="both"/>
        <w:rPr>
          <w:rFonts w:ascii="Arial" w:hAnsi="Arial" w:cs="Arial"/>
          <w:sz w:val="22"/>
          <w:szCs w:val="22"/>
        </w:rPr>
      </w:pPr>
      <w:r w:rsidRPr="00D04EAF">
        <w:rPr>
          <w:rFonts w:ascii="Arial" w:hAnsi="Arial" w:cs="Arial"/>
          <w:b/>
          <w:bCs/>
          <w:sz w:val="22"/>
          <w:szCs w:val="22"/>
        </w:rPr>
        <w:t>Actionable</w:t>
      </w:r>
      <w:r w:rsidR="00510CB1">
        <w:rPr>
          <w:rFonts w:ascii="Arial" w:hAnsi="Arial" w:cs="Arial"/>
          <w:b/>
          <w:bCs/>
          <w:sz w:val="22"/>
          <w:szCs w:val="22"/>
        </w:rPr>
        <w:t>-</w:t>
      </w:r>
      <w:r w:rsidRPr="00D04EAF">
        <w:rPr>
          <w:rFonts w:ascii="Arial" w:hAnsi="Arial" w:cs="Arial"/>
          <w:b/>
          <w:bCs/>
          <w:sz w:val="22"/>
          <w:szCs w:val="22"/>
        </w:rPr>
        <w:t>Insights</w:t>
      </w:r>
      <w:r w:rsidRPr="00F07BAB">
        <w:rPr>
          <w:rFonts w:ascii="Arial" w:hAnsi="Arial" w:cs="Arial"/>
          <w:sz w:val="22"/>
          <w:szCs w:val="22"/>
        </w:rPr>
        <w:t>: The model's interpretability is key for strategic decision-making, helping to pinpoint drivers of customer</w:t>
      </w:r>
      <w:r w:rsidR="00510CB1">
        <w:rPr>
          <w:rFonts w:ascii="Arial" w:hAnsi="Arial" w:cs="Arial"/>
          <w:sz w:val="22"/>
          <w:szCs w:val="22"/>
        </w:rPr>
        <w:t>-</w:t>
      </w:r>
      <w:r w:rsidRPr="00F07BAB">
        <w:rPr>
          <w:rFonts w:ascii="Arial" w:hAnsi="Arial" w:cs="Arial"/>
          <w:sz w:val="22"/>
          <w:szCs w:val="22"/>
        </w:rPr>
        <w:t>churn and tailor interventions.</w:t>
      </w:r>
    </w:p>
    <w:p w14:paraId="3A964488" w14:textId="4606463B" w:rsidR="006B6E77" w:rsidRPr="004B6138" w:rsidRDefault="00F07BAB" w:rsidP="00F07BAB">
      <w:pPr>
        <w:jc w:val="both"/>
        <w:rPr>
          <w:rFonts w:ascii="Arial" w:hAnsi="Arial" w:cs="Arial"/>
          <w:sz w:val="22"/>
          <w:szCs w:val="22"/>
        </w:rPr>
      </w:pPr>
      <w:r w:rsidRPr="00D04EAF">
        <w:rPr>
          <w:rFonts w:ascii="Arial" w:hAnsi="Arial" w:cs="Arial"/>
          <w:b/>
          <w:bCs/>
          <w:sz w:val="22"/>
          <w:szCs w:val="22"/>
        </w:rPr>
        <w:t>Adaptability</w:t>
      </w:r>
      <w:r w:rsidRPr="00F07BAB">
        <w:rPr>
          <w:rFonts w:ascii="Arial" w:hAnsi="Arial" w:cs="Arial"/>
          <w:sz w:val="22"/>
          <w:szCs w:val="22"/>
        </w:rPr>
        <w:t>: Ongoing tuning and updates to the Random</w:t>
      </w:r>
      <w:r w:rsidR="004775EE">
        <w:rPr>
          <w:rFonts w:ascii="Arial" w:hAnsi="Arial" w:cs="Arial"/>
          <w:sz w:val="22"/>
          <w:szCs w:val="22"/>
        </w:rPr>
        <w:t>-</w:t>
      </w:r>
      <w:r w:rsidRPr="00F07BAB">
        <w:rPr>
          <w:rFonts w:ascii="Arial" w:hAnsi="Arial" w:cs="Arial"/>
          <w:sz w:val="22"/>
          <w:szCs w:val="22"/>
        </w:rPr>
        <w:t xml:space="preserve">Forest model are recommended to keep pace with evolving </w:t>
      </w:r>
      <w:proofErr w:type="gramStart"/>
      <w:r w:rsidRPr="00F07BAB">
        <w:rPr>
          <w:rFonts w:ascii="Arial" w:hAnsi="Arial" w:cs="Arial"/>
          <w:sz w:val="22"/>
          <w:szCs w:val="22"/>
        </w:rPr>
        <w:t>customer</w:t>
      </w:r>
      <w:r w:rsidR="004775EE">
        <w:rPr>
          <w:rFonts w:ascii="Arial" w:hAnsi="Arial" w:cs="Arial"/>
          <w:sz w:val="22"/>
          <w:szCs w:val="22"/>
        </w:rPr>
        <w:t>-</w:t>
      </w:r>
      <w:r w:rsidRPr="00F07BAB">
        <w:rPr>
          <w:rFonts w:ascii="Arial" w:hAnsi="Arial" w:cs="Arial"/>
          <w:sz w:val="22"/>
          <w:szCs w:val="22"/>
        </w:rPr>
        <w:t>behaviors</w:t>
      </w:r>
      <w:proofErr w:type="gramEnd"/>
      <w:r w:rsidRPr="00F07BAB">
        <w:rPr>
          <w:rFonts w:ascii="Arial" w:hAnsi="Arial" w:cs="Arial"/>
          <w:sz w:val="22"/>
          <w:szCs w:val="22"/>
        </w:rPr>
        <w:t xml:space="preserve"> and market conditions.</w:t>
      </w:r>
    </w:p>
    <w:p w14:paraId="0BC124F2" w14:textId="43FC30B1" w:rsidR="006B6E77" w:rsidRPr="004B6138" w:rsidRDefault="002917B3" w:rsidP="00956DC1">
      <w:pPr>
        <w:jc w:val="both"/>
        <w:rPr>
          <w:rFonts w:ascii="Arial" w:hAnsi="Arial" w:cs="Arial"/>
          <w:sz w:val="22"/>
          <w:szCs w:val="22"/>
        </w:rPr>
      </w:pPr>
      <w:r>
        <w:rPr>
          <w:rFonts w:ascii="Arial" w:hAnsi="Arial" w:cs="Arial"/>
          <w:sz w:val="22"/>
          <w:szCs w:val="22"/>
        </w:rPr>
        <w:t>F</w:t>
      </w:r>
      <w:r w:rsidR="006B6E77" w:rsidRPr="004B6138">
        <w:rPr>
          <w:rFonts w:ascii="Arial" w:hAnsi="Arial" w:cs="Arial"/>
          <w:sz w:val="22"/>
          <w:szCs w:val="22"/>
        </w:rPr>
        <w:t>indings are especially helpful for improving customer-retention efforts in the telecom and related industries.</w:t>
      </w:r>
    </w:p>
    <w:p w14:paraId="007F2A8C" w14:textId="77777777" w:rsidR="00282D31" w:rsidRPr="004B6138" w:rsidRDefault="00282D31" w:rsidP="006B6E77">
      <w:pPr>
        <w:jc w:val="both"/>
        <w:rPr>
          <w:rFonts w:ascii="Arial" w:hAnsi="Arial" w:cs="Arial"/>
          <w:sz w:val="22"/>
          <w:szCs w:val="22"/>
        </w:rPr>
      </w:pPr>
    </w:p>
    <w:p w14:paraId="49E95988" w14:textId="14D2696E" w:rsidR="002E0A94" w:rsidRPr="00362B98" w:rsidRDefault="00825142" w:rsidP="00362B98">
      <w:pPr>
        <w:pStyle w:val="Heading1"/>
        <w:rPr>
          <w:b/>
          <w:bCs/>
        </w:rPr>
      </w:pPr>
      <w:r>
        <w:rPr>
          <w:b/>
          <w:bCs/>
        </w:rPr>
        <w:t xml:space="preserve"> </w:t>
      </w:r>
      <w:r w:rsidR="002E0A94" w:rsidRPr="00362B98">
        <w:rPr>
          <w:b/>
          <w:bCs/>
        </w:rPr>
        <w:t>Discussion, Conclusions, and Future Work</w:t>
      </w:r>
    </w:p>
    <w:p w14:paraId="181C9E09" w14:textId="47374EFB" w:rsidR="002E0A94" w:rsidRPr="00CD67B1" w:rsidRDefault="002E0A94" w:rsidP="00654D19">
      <w:pPr>
        <w:jc w:val="both"/>
        <w:rPr>
          <w:rFonts w:ascii="Arial" w:hAnsi="Arial" w:cs="Arial"/>
          <w:b/>
          <w:bCs/>
          <w:sz w:val="22"/>
          <w:szCs w:val="22"/>
        </w:rPr>
      </w:pPr>
      <w:r w:rsidRPr="00CD67B1">
        <w:rPr>
          <w:rFonts w:ascii="Arial" w:hAnsi="Arial" w:cs="Arial"/>
          <w:b/>
          <w:bCs/>
          <w:sz w:val="22"/>
          <w:szCs w:val="22"/>
        </w:rPr>
        <w:t>Discussion</w:t>
      </w:r>
    </w:p>
    <w:p w14:paraId="7E5EDC31" w14:textId="6B58B330" w:rsidR="0019066D" w:rsidRPr="0019066D" w:rsidRDefault="0019066D" w:rsidP="00D20A1E">
      <w:pPr>
        <w:spacing w:after="240"/>
        <w:jc w:val="both"/>
        <w:rPr>
          <w:rFonts w:ascii="Arial" w:hAnsi="Arial" w:cs="Arial"/>
          <w:sz w:val="22"/>
          <w:szCs w:val="22"/>
        </w:rPr>
      </w:pPr>
      <w:r w:rsidRPr="0019066D">
        <w:rPr>
          <w:rFonts w:ascii="Arial" w:hAnsi="Arial" w:cs="Arial"/>
          <w:sz w:val="22"/>
          <w:szCs w:val="22"/>
        </w:rPr>
        <w:t>The recent investigation sheds light on customer</w:t>
      </w:r>
      <w:r w:rsidR="00AB659A">
        <w:rPr>
          <w:rFonts w:ascii="Arial" w:hAnsi="Arial" w:cs="Arial"/>
          <w:sz w:val="22"/>
          <w:szCs w:val="22"/>
        </w:rPr>
        <w:t>-</w:t>
      </w:r>
      <w:r w:rsidR="0003200A">
        <w:rPr>
          <w:rFonts w:ascii="Arial" w:hAnsi="Arial" w:cs="Arial"/>
          <w:sz w:val="22"/>
          <w:szCs w:val="22"/>
        </w:rPr>
        <w:t>C</w:t>
      </w:r>
      <w:r w:rsidRPr="0019066D">
        <w:rPr>
          <w:rFonts w:ascii="Arial" w:hAnsi="Arial" w:cs="Arial"/>
          <w:sz w:val="22"/>
          <w:szCs w:val="22"/>
        </w:rPr>
        <w:t>hurn in the telecom</w:t>
      </w:r>
      <w:r w:rsidR="005E495B">
        <w:rPr>
          <w:rFonts w:ascii="Arial" w:hAnsi="Arial" w:cs="Arial"/>
          <w:sz w:val="22"/>
          <w:szCs w:val="22"/>
        </w:rPr>
        <w:t>-</w:t>
      </w:r>
      <w:r w:rsidRPr="0019066D">
        <w:rPr>
          <w:rFonts w:ascii="Arial" w:hAnsi="Arial" w:cs="Arial"/>
          <w:sz w:val="22"/>
          <w:szCs w:val="22"/>
        </w:rPr>
        <w:t>sector, aligning with previous findings that underscore the importance of price sensitivity and service commitment in retaining customers. The results highlight age, tenure, monthly</w:t>
      </w:r>
      <w:r w:rsidR="005E495B">
        <w:rPr>
          <w:rFonts w:ascii="Arial" w:hAnsi="Arial" w:cs="Arial"/>
          <w:sz w:val="22"/>
          <w:szCs w:val="22"/>
        </w:rPr>
        <w:t>-charges</w:t>
      </w:r>
      <w:r w:rsidRPr="0019066D">
        <w:rPr>
          <w:rFonts w:ascii="Arial" w:hAnsi="Arial" w:cs="Arial"/>
          <w:sz w:val="22"/>
          <w:szCs w:val="22"/>
        </w:rPr>
        <w:t>, and contract</w:t>
      </w:r>
      <w:r w:rsidR="0087652D">
        <w:rPr>
          <w:rFonts w:ascii="Arial" w:hAnsi="Arial" w:cs="Arial"/>
          <w:sz w:val="22"/>
          <w:szCs w:val="22"/>
        </w:rPr>
        <w:t>-</w:t>
      </w:r>
      <w:r w:rsidRPr="0019066D">
        <w:rPr>
          <w:rFonts w:ascii="Arial" w:hAnsi="Arial" w:cs="Arial"/>
          <w:sz w:val="22"/>
          <w:szCs w:val="22"/>
        </w:rPr>
        <w:t>type as significant predictors of churn.</w:t>
      </w:r>
    </w:p>
    <w:p w14:paraId="183236E5" w14:textId="53EA898C" w:rsidR="0019066D" w:rsidRPr="0019066D" w:rsidRDefault="0019066D" w:rsidP="0019066D">
      <w:pPr>
        <w:jc w:val="both"/>
        <w:rPr>
          <w:rFonts w:ascii="Arial" w:hAnsi="Arial" w:cs="Arial"/>
          <w:sz w:val="22"/>
          <w:szCs w:val="22"/>
        </w:rPr>
      </w:pPr>
      <w:r w:rsidRPr="0019066D">
        <w:rPr>
          <w:rFonts w:ascii="Arial" w:hAnsi="Arial" w:cs="Arial"/>
          <w:sz w:val="22"/>
          <w:szCs w:val="22"/>
        </w:rPr>
        <w:t>Younger</w:t>
      </w:r>
      <w:r w:rsidR="00156D90">
        <w:rPr>
          <w:rFonts w:ascii="Arial" w:hAnsi="Arial" w:cs="Arial"/>
          <w:sz w:val="22"/>
          <w:szCs w:val="22"/>
        </w:rPr>
        <w:t>-C</w:t>
      </w:r>
      <w:r w:rsidR="0087652D">
        <w:rPr>
          <w:rFonts w:ascii="Arial" w:hAnsi="Arial" w:cs="Arial"/>
          <w:sz w:val="22"/>
          <w:szCs w:val="22"/>
        </w:rPr>
        <w:t>ustomer</w:t>
      </w:r>
      <w:r w:rsidRPr="0019066D">
        <w:rPr>
          <w:rFonts w:ascii="Arial" w:hAnsi="Arial" w:cs="Arial"/>
          <w:sz w:val="22"/>
          <w:szCs w:val="22"/>
        </w:rPr>
        <w:t xml:space="preserve">s exhibit higher </w:t>
      </w:r>
      <w:r w:rsidR="0016671D">
        <w:rPr>
          <w:rFonts w:ascii="Arial" w:hAnsi="Arial" w:cs="Arial"/>
          <w:sz w:val="22"/>
          <w:szCs w:val="22"/>
        </w:rPr>
        <w:t>churn</w:t>
      </w:r>
      <w:r w:rsidR="00556129">
        <w:rPr>
          <w:rFonts w:ascii="Arial" w:hAnsi="Arial" w:cs="Arial"/>
          <w:sz w:val="22"/>
          <w:szCs w:val="22"/>
        </w:rPr>
        <w:t>-</w:t>
      </w:r>
      <w:r w:rsidRPr="0019066D">
        <w:rPr>
          <w:rFonts w:ascii="Arial" w:hAnsi="Arial" w:cs="Arial"/>
          <w:sz w:val="22"/>
          <w:szCs w:val="22"/>
        </w:rPr>
        <w:t>rates, possibly due to their need for adaptability or market responsiveness.</w:t>
      </w:r>
    </w:p>
    <w:p w14:paraId="5970A2AA" w14:textId="70ED1953" w:rsidR="0019066D" w:rsidRPr="0019066D" w:rsidRDefault="0019066D" w:rsidP="00D20A1E">
      <w:pPr>
        <w:spacing w:after="240"/>
        <w:jc w:val="both"/>
        <w:rPr>
          <w:rFonts w:ascii="Arial" w:hAnsi="Arial" w:cs="Arial"/>
          <w:sz w:val="22"/>
          <w:szCs w:val="22"/>
        </w:rPr>
      </w:pPr>
      <w:r w:rsidRPr="0019066D">
        <w:rPr>
          <w:rFonts w:ascii="Arial" w:hAnsi="Arial" w:cs="Arial"/>
          <w:sz w:val="22"/>
          <w:szCs w:val="22"/>
        </w:rPr>
        <w:t xml:space="preserve">High </w:t>
      </w:r>
      <w:proofErr w:type="gramStart"/>
      <w:r w:rsidRPr="0019066D">
        <w:rPr>
          <w:rFonts w:ascii="Arial" w:hAnsi="Arial" w:cs="Arial"/>
          <w:sz w:val="22"/>
          <w:szCs w:val="22"/>
        </w:rPr>
        <w:t>monthly</w:t>
      </w:r>
      <w:r w:rsidR="00156D90">
        <w:rPr>
          <w:rFonts w:ascii="Arial" w:hAnsi="Arial" w:cs="Arial"/>
          <w:sz w:val="22"/>
          <w:szCs w:val="22"/>
        </w:rPr>
        <w:t>-charges</w:t>
      </w:r>
      <w:proofErr w:type="gramEnd"/>
      <w:r w:rsidRPr="0019066D">
        <w:rPr>
          <w:rFonts w:ascii="Arial" w:hAnsi="Arial" w:cs="Arial"/>
          <w:sz w:val="22"/>
          <w:szCs w:val="22"/>
        </w:rPr>
        <w:t xml:space="preserve"> frequently lead to customer</w:t>
      </w:r>
      <w:r w:rsidR="00335524">
        <w:rPr>
          <w:rFonts w:ascii="Arial" w:hAnsi="Arial" w:cs="Arial"/>
          <w:sz w:val="22"/>
          <w:szCs w:val="22"/>
        </w:rPr>
        <w:t>-churn</w:t>
      </w:r>
      <w:r w:rsidRPr="0019066D">
        <w:rPr>
          <w:rFonts w:ascii="Arial" w:hAnsi="Arial" w:cs="Arial"/>
          <w:sz w:val="22"/>
          <w:szCs w:val="22"/>
        </w:rPr>
        <w:t>, emphasizing the importance of competitive pricing strategies.</w:t>
      </w:r>
    </w:p>
    <w:p w14:paraId="4B228F02" w14:textId="0209DFAE" w:rsidR="00CE7174" w:rsidRDefault="0019066D" w:rsidP="00D20A1E">
      <w:pPr>
        <w:spacing w:after="240"/>
        <w:jc w:val="both"/>
        <w:rPr>
          <w:rFonts w:ascii="Arial" w:hAnsi="Arial" w:cs="Arial"/>
          <w:sz w:val="22"/>
          <w:szCs w:val="22"/>
        </w:rPr>
      </w:pPr>
      <w:r w:rsidRPr="0019066D">
        <w:rPr>
          <w:rFonts w:ascii="Arial" w:hAnsi="Arial" w:cs="Arial"/>
          <w:sz w:val="22"/>
          <w:szCs w:val="22"/>
        </w:rPr>
        <w:t xml:space="preserve">Customers on month-to-month contracts are more prone to churn, suggesting that longer-term contracts may foster better </w:t>
      </w:r>
      <w:proofErr w:type="gramStart"/>
      <w:r w:rsidRPr="0019066D">
        <w:rPr>
          <w:rFonts w:ascii="Arial" w:hAnsi="Arial" w:cs="Arial"/>
          <w:sz w:val="22"/>
          <w:szCs w:val="22"/>
        </w:rPr>
        <w:t>customer</w:t>
      </w:r>
      <w:r w:rsidR="00AB659A">
        <w:rPr>
          <w:rFonts w:ascii="Arial" w:hAnsi="Arial" w:cs="Arial"/>
          <w:sz w:val="22"/>
          <w:szCs w:val="22"/>
        </w:rPr>
        <w:t>-</w:t>
      </w:r>
      <w:r w:rsidRPr="0019066D">
        <w:rPr>
          <w:rFonts w:ascii="Arial" w:hAnsi="Arial" w:cs="Arial"/>
          <w:sz w:val="22"/>
          <w:szCs w:val="22"/>
        </w:rPr>
        <w:t>retention</w:t>
      </w:r>
      <w:proofErr w:type="gramEnd"/>
      <w:r w:rsidRPr="0019066D">
        <w:rPr>
          <w:rFonts w:ascii="Arial" w:hAnsi="Arial" w:cs="Arial"/>
          <w:sz w:val="22"/>
          <w:szCs w:val="22"/>
        </w:rPr>
        <w:t>.</w:t>
      </w:r>
    </w:p>
    <w:p w14:paraId="3D0DDA1D" w14:textId="319F3CD4" w:rsidR="002E0A94" w:rsidRDefault="002E0A94" w:rsidP="0019066D">
      <w:pPr>
        <w:jc w:val="both"/>
        <w:rPr>
          <w:rFonts w:ascii="Arial" w:hAnsi="Arial" w:cs="Arial"/>
          <w:sz w:val="22"/>
          <w:szCs w:val="22"/>
        </w:rPr>
      </w:pPr>
      <w:r w:rsidRPr="004B6138">
        <w:rPr>
          <w:rFonts w:ascii="Arial" w:hAnsi="Arial" w:cs="Arial"/>
          <w:sz w:val="22"/>
          <w:szCs w:val="22"/>
        </w:rPr>
        <w:t>Model</w:t>
      </w:r>
      <w:r w:rsidR="00DA12E0">
        <w:rPr>
          <w:rFonts w:ascii="Arial" w:hAnsi="Arial" w:cs="Arial"/>
          <w:sz w:val="22"/>
          <w:szCs w:val="22"/>
        </w:rPr>
        <w:t>-</w:t>
      </w:r>
      <w:r w:rsidRPr="004B6138">
        <w:rPr>
          <w:rFonts w:ascii="Arial" w:hAnsi="Arial" w:cs="Arial"/>
          <w:sz w:val="22"/>
          <w:szCs w:val="22"/>
        </w:rPr>
        <w:t xml:space="preserve">Performance: </w:t>
      </w:r>
      <w:r w:rsidR="00D4028E" w:rsidRPr="00D4028E">
        <w:rPr>
          <w:rFonts w:ascii="Arial" w:hAnsi="Arial" w:cs="Arial"/>
          <w:sz w:val="22"/>
          <w:szCs w:val="22"/>
        </w:rPr>
        <w:t>Th</w:t>
      </w:r>
      <w:r w:rsidR="00CE33D1">
        <w:rPr>
          <w:rFonts w:ascii="Arial" w:hAnsi="Arial" w:cs="Arial"/>
          <w:sz w:val="22"/>
          <w:szCs w:val="22"/>
        </w:rPr>
        <w:t>is</w:t>
      </w:r>
      <w:r w:rsidR="00D4028E" w:rsidRPr="00D4028E">
        <w:rPr>
          <w:rFonts w:ascii="Arial" w:hAnsi="Arial" w:cs="Arial"/>
          <w:sz w:val="22"/>
          <w:szCs w:val="22"/>
        </w:rPr>
        <w:t xml:space="preserve"> study thoroughly assesses various predictive</w:t>
      </w:r>
      <w:r w:rsidR="00FA516B">
        <w:rPr>
          <w:rFonts w:ascii="Arial" w:hAnsi="Arial" w:cs="Arial"/>
          <w:sz w:val="22"/>
          <w:szCs w:val="22"/>
        </w:rPr>
        <w:t>-</w:t>
      </w:r>
      <w:r w:rsidR="00D4028E" w:rsidRPr="00D4028E">
        <w:rPr>
          <w:rFonts w:ascii="Arial" w:hAnsi="Arial" w:cs="Arial"/>
          <w:sz w:val="22"/>
          <w:szCs w:val="22"/>
        </w:rPr>
        <w:t>models for churn</w:t>
      </w:r>
      <w:r w:rsidR="00FA516B">
        <w:rPr>
          <w:rFonts w:ascii="Arial" w:hAnsi="Arial" w:cs="Arial"/>
          <w:sz w:val="22"/>
          <w:szCs w:val="22"/>
        </w:rPr>
        <w:t>-</w:t>
      </w:r>
      <w:r w:rsidR="00D4028E" w:rsidRPr="00D4028E">
        <w:rPr>
          <w:rFonts w:ascii="Arial" w:hAnsi="Arial" w:cs="Arial"/>
          <w:sz w:val="22"/>
          <w:szCs w:val="22"/>
        </w:rPr>
        <w:t>prediction, with Random</w:t>
      </w:r>
      <w:r w:rsidR="002938A4">
        <w:rPr>
          <w:rFonts w:ascii="Arial" w:hAnsi="Arial" w:cs="Arial"/>
          <w:sz w:val="22"/>
          <w:szCs w:val="22"/>
        </w:rPr>
        <w:t>-</w:t>
      </w:r>
      <w:r w:rsidR="00D4028E" w:rsidRPr="00D4028E">
        <w:rPr>
          <w:rFonts w:ascii="Arial" w:hAnsi="Arial" w:cs="Arial"/>
          <w:sz w:val="22"/>
          <w:szCs w:val="22"/>
        </w:rPr>
        <w:t>Forest emerging as notably effective. Its capacity to handle complex relationships and large datasets contributes to its high</w:t>
      </w:r>
      <w:r w:rsidR="002938A4">
        <w:rPr>
          <w:rFonts w:ascii="Arial" w:hAnsi="Arial" w:cs="Arial"/>
          <w:sz w:val="22"/>
          <w:szCs w:val="22"/>
        </w:rPr>
        <w:t>-</w:t>
      </w:r>
      <w:r w:rsidR="00D4028E" w:rsidRPr="00D4028E">
        <w:rPr>
          <w:rFonts w:ascii="Arial" w:hAnsi="Arial" w:cs="Arial"/>
          <w:sz w:val="22"/>
          <w:szCs w:val="22"/>
        </w:rPr>
        <w:t>accuracy, precision, and ROC-AUC</w:t>
      </w:r>
      <w:r w:rsidR="002938A4">
        <w:rPr>
          <w:rFonts w:ascii="Arial" w:hAnsi="Arial" w:cs="Arial"/>
          <w:sz w:val="22"/>
          <w:szCs w:val="22"/>
        </w:rPr>
        <w:t>-</w:t>
      </w:r>
      <w:r w:rsidR="00D4028E" w:rsidRPr="00D4028E">
        <w:rPr>
          <w:rFonts w:ascii="Arial" w:hAnsi="Arial" w:cs="Arial"/>
          <w:sz w:val="22"/>
          <w:szCs w:val="22"/>
        </w:rPr>
        <w:t>score, showcasing its superiority in predicting customer</w:t>
      </w:r>
      <w:r w:rsidR="00FA516B">
        <w:rPr>
          <w:rFonts w:ascii="Arial" w:hAnsi="Arial" w:cs="Arial"/>
          <w:sz w:val="22"/>
          <w:szCs w:val="22"/>
        </w:rPr>
        <w:t>-</w:t>
      </w:r>
      <w:r w:rsidR="00D4028E" w:rsidRPr="00D4028E">
        <w:rPr>
          <w:rFonts w:ascii="Arial" w:hAnsi="Arial" w:cs="Arial"/>
          <w:sz w:val="22"/>
          <w:szCs w:val="22"/>
        </w:rPr>
        <w:t xml:space="preserve">behavior. Additionally, models like </w:t>
      </w:r>
      <w:proofErr w:type="spellStart"/>
      <w:r w:rsidR="00D4028E" w:rsidRPr="00D4028E">
        <w:rPr>
          <w:rFonts w:ascii="Arial" w:hAnsi="Arial" w:cs="Arial"/>
          <w:sz w:val="22"/>
          <w:szCs w:val="22"/>
        </w:rPr>
        <w:t>XGBoost</w:t>
      </w:r>
      <w:proofErr w:type="spellEnd"/>
      <w:r w:rsidR="00D4028E" w:rsidRPr="00D4028E">
        <w:rPr>
          <w:rFonts w:ascii="Arial" w:hAnsi="Arial" w:cs="Arial"/>
          <w:sz w:val="22"/>
          <w:szCs w:val="22"/>
        </w:rPr>
        <w:t xml:space="preserve"> and Decision</w:t>
      </w:r>
      <w:r w:rsidR="00234E82">
        <w:rPr>
          <w:rFonts w:ascii="Arial" w:hAnsi="Arial" w:cs="Arial"/>
          <w:sz w:val="22"/>
          <w:szCs w:val="22"/>
        </w:rPr>
        <w:t>-</w:t>
      </w:r>
      <w:r w:rsidR="00D4028E" w:rsidRPr="00D4028E">
        <w:rPr>
          <w:rFonts w:ascii="Arial" w:hAnsi="Arial" w:cs="Arial"/>
          <w:sz w:val="22"/>
          <w:szCs w:val="22"/>
        </w:rPr>
        <w:t xml:space="preserve">Trees are commended for their robust performance, especially in adaptability and scalability. However, despite the strengths of ensemble models, simpler ones like Logistic Regression remain crucial for their interpretability </w:t>
      </w:r>
      <w:r w:rsidR="00D4028E" w:rsidRPr="00D4028E">
        <w:rPr>
          <w:rFonts w:ascii="Arial" w:hAnsi="Arial" w:cs="Arial"/>
          <w:sz w:val="22"/>
          <w:szCs w:val="22"/>
        </w:rPr>
        <w:t>and ease of implementation, essential for operationalizing insights in business contexts.</w:t>
      </w:r>
    </w:p>
    <w:p w14:paraId="5F4C97A5" w14:textId="77777777" w:rsidR="008F009D" w:rsidRPr="004B6138" w:rsidRDefault="008F009D" w:rsidP="00654D19">
      <w:pPr>
        <w:jc w:val="both"/>
        <w:rPr>
          <w:rFonts w:ascii="Arial" w:hAnsi="Arial" w:cs="Arial"/>
          <w:sz w:val="22"/>
          <w:szCs w:val="22"/>
        </w:rPr>
      </w:pPr>
    </w:p>
    <w:p w14:paraId="57756AD1" w14:textId="77777777" w:rsidR="002E0A94" w:rsidRPr="008F009D" w:rsidRDefault="002E0A94" w:rsidP="00654D19">
      <w:pPr>
        <w:jc w:val="both"/>
        <w:rPr>
          <w:rFonts w:ascii="Arial" w:hAnsi="Arial" w:cs="Arial"/>
          <w:b/>
          <w:bCs/>
          <w:sz w:val="22"/>
          <w:szCs w:val="22"/>
        </w:rPr>
      </w:pPr>
      <w:r w:rsidRPr="008F009D">
        <w:rPr>
          <w:rFonts w:ascii="Arial" w:hAnsi="Arial" w:cs="Arial"/>
          <w:b/>
          <w:bCs/>
          <w:sz w:val="22"/>
          <w:szCs w:val="22"/>
        </w:rPr>
        <w:t>Conclusions</w:t>
      </w:r>
    </w:p>
    <w:p w14:paraId="7B62CED8" w14:textId="5A6681FB" w:rsidR="002E0A94" w:rsidRPr="004B6138" w:rsidRDefault="002E0A94" w:rsidP="00654D19">
      <w:pPr>
        <w:jc w:val="both"/>
        <w:rPr>
          <w:rFonts w:ascii="Arial" w:hAnsi="Arial" w:cs="Arial"/>
          <w:sz w:val="22"/>
          <w:szCs w:val="22"/>
        </w:rPr>
      </w:pPr>
      <w:r w:rsidRPr="004B6138">
        <w:rPr>
          <w:rFonts w:ascii="Arial" w:hAnsi="Arial" w:cs="Arial"/>
          <w:sz w:val="22"/>
          <w:szCs w:val="22"/>
        </w:rPr>
        <w:t>Th</w:t>
      </w:r>
      <w:r w:rsidR="00C13C0B">
        <w:rPr>
          <w:rFonts w:ascii="Arial" w:hAnsi="Arial" w:cs="Arial"/>
          <w:sz w:val="22"/>
          <w:szCs w:val="22"/>
        </w:rPr>
        <w:t>is</w:t>
      </w:r>
      <w:r w:rsidRPr="004B6138">
        <w:rPr>
          <w:rFonts w:ascii="Arial" w:hAnsi="Arial" w:cs="Arial"/>
          <w:sz w:val="22"/>
          <w:szCs w:val="22"/>
        </w:rPr>
        <w:t xml:space="preserve"> study concludes with a</w:t>
      </w:r>
      <w:r w:rsidR="005B3AFF">
        <w:rPr>
          <w:rFonts w:ascii="Arial" w:hAnsi="Arial" w:cs="Arial"/>
          <w:sz w:val="22"/>
          <w:szCs w:val="22"/>
        </w:rPr>
        <w:t>n</w:t>
      </w:r>
      <w:r w:rsidRPr="004B6138">
        <w:rPr>
          <w:rFonts w:ascii="Arial" w:hAnsi="Arial" w:cs="Arial"/>
          <w:sz w:val="22"/>
          <w:szCs w:val="22"/>
        </w:rPr>
        <w:t xml:space="preserve"> important</w:t>
      </w:r>
      <w:r w:rsidR="0061799E">
        <w:rPr>
          <w:rFonts w:ascii="Arial" w:hAnsi="Arial" w:cs="Arial"/>
          <w:sz w:val="22"/>
          <w:szCs w:val="22"/>
        </w:rPr>
        <w:t xml:space="preserve"> w</w:t>
      </w:r>
      <w:r w:rsidRPr="004B6138">
        <w:rPr>
          <w:rFonts w:ascii="Arial" w:hAnsi="Arial" w:cs="Arial"/>
          <w:sz w:val="22"/>
          <w:szCs w:val="22"/>
        </w:rPr>
        <w:t>hen it comes to forecasting customer-churn, advanced ensemble techniques more especially,</w:t>
      </w:r>
      <w:r w:rsidR="009F06BE">
        <w:rPr>
          <w:rFonts w:ascii="Arial" w:hAnsi="Arial" w:cs="Arial"/>
          <w:sz w:val="22"/>
          <w:szCs w:val="22"/>
        </w:rPr>
        <w:t xml:space="preserve"> </w:t>
      </w:r>
      <w:r w:rsidRPr="004B6138">
        <w:rPr>
          <w:rFonts w:ascii="Arial" w:hAnsi="Arial" w:cs="Arial"/>
          <w:sz w:val="22"/>
          <w:szCs w:val="22"/>
        </w:rPr>
        <w:t xml:space="preserve">like </w:t>
      </w:r>
      <w:r w:rsidR="00AA6223">
        <w:rPr>
          <w:rFonts w:ascii="Arial" w:hAnsi="Arial" w:cs="Arial"/>
          <w:sz w:val="22"/>
          <w:szCs w:val="22"/>
        </w:rPr>
        <w:t>Random-Forest</w:t>
      </w:r>
      <w:r w:rsidRPr="004B6138">
        <w:rPr>
          <w:rFonts w:ascii="Arial" w:hAnsi="Arial" w:cs="Arial"/>
          <w:sz w:val="22"/>
          <w:szCs w:val="22"/>
        </w:rPr>
        <w:t xml:space="preserve"> perform better. Customer-</w:t>
      </w:r>
      <w:r w:rsidR="009F06BE">
        <w:rPr>
          <w:rFonts w:ascii="Arial" w:hAnsi="Arial" w:cs="Arial"/>
          <w:sz w:val="22"/>
          <w:szCs w:val="22"/>
        </w:rPr>
        <w:t>C</w:t>
      </w:r>
      <w:r w:rsidRPr="004B6138">
        <w:rPr>
          <w:rFonts w:ascii="Arial" w:hAnsi="Arial" w:cs="Arial"/>
          <w:sz w:val="22"/>
          <w:szCs w:val="22"/>
        </w:rPr>
        <w:t>hurn can be significantly influenced by predictive features such as tenure, contractual duties, and pricing structures. For the best model performance, proper preprocessing methods such feature scaling for standardization and under-sampling to solve class</w:t>
      </w:r>
      <w:r w:rsidR="00C13C0B">
        <w:rPr>
          <w:rFonts w:ascii="Arial" w:hAnsi="Arial" w:cs="Arial"/>
          <w:sz w:val="22"/>
          <w:szCs w:val="22"/>
        </w:rPr>
        <w:t>-</w:t>
      </w:r>
      <w:r w:rsidRPr="004B6138">
        <w:rPr>
          <w:rFonts w:ascii="Arial" w:hAnsi="Arial" w:cs="Arial"/>
          <w:sz w:val="22"/>
          <w:szCs w:val="22"/>
        </w:rPr>
        <w:t>imbalance are crucial.</w:t>
      </w:r>
    </w:p>
    <w:p w14:paraId="18A622EA" w14:textId="77777777" w:rsidR="002E0A94" w:rsidRDefault="002E0A94" w:rsidP="00654D19">
      <w:pPr>
        <w:jc w:val="both"/>
        <w:rPr>
          <w:rFonts w:ascii="Arial" w:hAnsi="Arial" w:cs="Arial"/>
          <w:sz w:val="22"/>
          <w:szCs w:val="22"/>
        </w:rPr>
      </w:pPr>
      <w:r w:rsidRPr="004B6138">
        <w:rPr>
          <w:rFonts w:ascii="Arial" w:hAnsi="Arial" w:cs="Arial"/>
          <w:sz w:val="22"/>
          <w:szCs w:val="22"/>
        </w:rPr>
        <w:t>The findings highlight the need to use data to inform retention efforts and the effectiveness of machine learning in extracting useful information from large, complex datasets.</w:t>
      </w:r>
    </w:p>
    <w:p w14:paraId="1824980C" w14:textId="77777777" w:rsidR="008F009D" w:rsidRPr="004B6138" w:rsidRDefault="008F009D" w:rsidP="00654D19">
      <w:pPr>
        <w:jc w:val="both"/>
        <w:rPr>
          <w:rFonts w:ascii="Arial" w:hAnsi="Arial" w:cs="Arial"/>
          <w:sz w:val="22"/>
          <w:szCs w:val="22"/>
        </w:rPr>
      </w:pPr>
    </w:p>
    <w:p w14:paraId="38963AF5" w14:textId="6711CBBC" w:rsidR="002E0A94" w:rsidRPr="008F009D" w:rsidRDefault="002E0A94" w:rsidP="00654D19">
      <w:pPr>
        <w:jc w:val="both"/>
        <w:rPr>
          <w:rFonts w:ascii="Arial" w:hAnsi="Arial" w:cs="Arial"/>
          <w:b/>
          <w:bCs/>
          <w:sz w:val="22"/>
          <w:szCs w:val="22"/>
        </w:rPr>
      </w:pPr>
      <w:r w:rsidRPr="008F009D">
        <w:rPr>
          <w:rFonts w:ascii="Arial" w:hAnsi="Arial" w:cs="Arial"/>
          <w:b/>
          <w:bCs/>
          <w:sz w:val="22"/>
          <w:szCs w:val="22"/>
        </w:rPr>
        <w:t>Future</w:t>
      </w:r>
      <w:r w:rsidR="003F3658">
        <w:rPr>
          <w:rFonts w:ascii="Arial" w:hAnsi="Arial" w:cs="Arial"/>
          <w:b/>
          <w:bCs/>
          <w:sz w:val="22"/>
          <w:szCs w:val="22"/>
        </w:rPr>
        <w:t>-</w:t>
      </w:r>
      <w:r w:rsidRPr="008F009D">
        <w:rPr>
          <w:rFonts w:ascii="Arial" w:hAnsi="Arial" w:cs="Arial"/>
          <w:b/>
          <w:bCs/>
          <w:sz w:val="22"/>
          <w:szCs w:val="22"/>
        </w:rPr>
        <w:t>Work</w:t>
      </w:r>
    </w:p>
    <w:p w14:paraId="76609B92" w14:textId="086991E7" w:rsidR="002E0A94" w:rsidRPr="004B6138" w:rsidRDefault="002E0A94" w:rsidP="002131F0">
      <w:pPr>
        <w:spacing w:after="240"/>
        <w:jc w:val="both"/>
        <w:rPr>
          <w:rFonts w:ascii="Arial" w:hAnsi="Arial" w:cs="Arial"/>
          <w:sz w:val="22"/>
          <w:szCs w:val="22"/>
        </w:rPr>
      </w:pPr>
      <w:r w:rsidRPr="004B6138">
        <w:rPr>
          <w:rFonts w:ascii="Arial" w:hAnsi="Arial" w:cs="Arial"/>
          <w:sz w:val="22"/>
          <w:szCs w:val="22"/>
        </w:rPr>
        <w:t xml:space="preserve">Potential areas for more research and development are outlined </w:t>
      </w:r>
      <w:r w:rsidR="00E03993">
        <w:rPr>
          <w:rFonts w:ascii="Arial" w:hAnsi="Arial" w:cs="Arial"/>
          <w:sz w:val="22"/>
          <w:szCs w:val="22"/>
        </w:rPr>
        <w:t>below</w:t>
      </w:r>
      <w:r w:rsidRPr="004B6138">
        <w:rPr>
          <w:rFonts w:ascii="Arial" w:hAnsi="Arial" w:cs="Arial"/>
          <w:sz w:val="22"/>
          <w:szCs w:val="22"/>
        </w:rPr>
        <w:t>:</w:t>
      </w:r>
    </w:p>
    <w:p w14:paraId="733D36AF" w14:textId="77777777" w:rsidR="002E0A94" w:rsidRPr="004B6138" w:rsidRDefault="002E0A94" w:rsidP="002131F0">
      <w:pPr>
        <w:spacing w:after="240"/>
        <w:jc w:val="both"/>
        <w:rPr>
          <w:rFonts w:ascii="Arial" w:hAnsi="Arial" w:cs="Arial"/>
          <w:sz w:val="22"/>
          <w:szCs w:val="22"/>
        </w:rPr>
      </w:pPr>
      <w:r w:rsidRPr="004B6138">
        <w:rPr>
          <w:rFonts w:ascii="Arial" w:hAnsi="Arial" w:cs="Arial"/>
          <w:sz w:val="22"/>
          <w:szCs w:val="22"/>
        </w:rPr>
        <w:t>Adding more detailed temporal data to the dataset may aid in forecasting future trends and comprehending churn patterns over time.</w:t>
      </w:r>
    </w:p>
    <w:p w14:paraId="0E67C127" w14:textId="77777777" w:rsidR="002E0A94" w:rsidRPr="004B6138" w:rsidRDefault="002E0A94" w:rsidP="002131F0">
      <w:pPr>
        <w:spacing w:after="240"/>
        <w:jc w:val="both"/>
        <w:rPr>
          <w:rFonts w:ascii="Arial" w:hAnsi="Arial" w:cs="Arial"/>
          <w:sz w:val="22"/>
          <w:szCs w:val="22"/>
        </w:rPr>
      </w:pPr>
      <w:r w:rsidRPr="004B6138">
        <w:rPr>
          <w:rFonts w:ascii="Arial" w:hAnsi="Arial" w:cs="Arial"/>
          <w:sz w:val="22"/>
          <w:szCs w:val="22"/>
        </w:rPr>
        <w:t>Creating additional features could provide deeper understanding of consumer behavior perhaps using interaction terms or more intricate transformations.</w:t>
      </w:r>
    </w:p>
    <w:p w14:paraId="3D69A619" w14:textId="77777777" w:rsidR="002E0A94" w:rsidRPr="004B6138" w:rsidRDefault="002E0A94" w:rsidP="00511735">
      <w:pPr>
        <w:spacing w:after="240"/>
        <w:jc w:val="both"/>
        <w:rPr>
          <w:rFonts w:ascii="Arial" w:hAnsi="Arial" w:cs="Arial"/>
          <w:sz w:val="22"/>
          <w:szCs w:val="22"/>
        </w:rPr>
      </w:pPr>
      <w:r w:rsidRPr="004B6138">
        <w:rPr>
          <w:rFonts w:ascii="Arial" w:hAnsi="Arial" w:cs="Arial"/>
          <w:sz w:val="22"/>
          <w:szCs w:val="22"/>
        </w:rPr>
        <w:t>Investigating alternative models or hybrid strategies may increase the robustness and accuracy of predictions.</w:t>
      </w:r>
    </w:p>
    <w:p w14:paraId="1915D803" w14:textId="1EE35BF8" w:rsidR="002E0A94" w:rsidRPr="004B6138" w:rsidRDefault="00AD2F6D" w:rsidP="00D85CFF">
      <w:pPr>
        <w:spacing w:after="240"/>
        <w:jc w:val="both"/>
        <w:rPr>
          <w:rFonts w:ascii="Arial" w:hAnsi="Arial" w:cs="Arial"/>
          <w:sz w:val="22"/>
          <w:szCs w:val="22"/>
        </w:rPr>
      </w:pPr>
      <w:r>
        <w:rPr>
          <w:rFonts w:ascii="Arial" w:hAnsi="Arial" w:cs="Arial"/>
          <w:sz w:val="22"/>
          <w:szCs w:val="22"/>
        </w:rPr>
        <w:t>P</w:t>
      </w:r>
      <w:r w:rsidR="002E0A94" w:rsidRPr="004B6138">
        <w:rPr>
          <w:rFonts w:ascii="Arial" w:hAnsi="Arial" w:cs="Arial"/>
          <w:sz w:val="22"/>
          <w:szCs w:val="22"/>
        </w:rPr>
        <w:t>utting in place real-time analytics platforms for ongoing observation and early churn risk</w:t>
      </w:r>
      <w:r w:rsidR="00366AA0">
        <w:rPr>
          <w:rFonts w:ascii="Arial" w:hAnsi="Arial" w:cs="Arial"/>
          <w:sz w:val="22"/>
          <w:szCs w:val="22"/>
        </w:rPr>
        <w:t>-</w:t>
      </w:r>
      <w:r w:rsidR="002E0A94" w:rsidRPr="004B6138">
        <w:rPr>
          <w:rFonts w:ascii="Arial" w:hAnsi="Arial" w:cs="Arial"/>
          <w:sz w:val="22"/>
          <w:szCs w:val="22"/>
        </w:rPr>
        <w:t>identification.</w:t>
      </w:r>
    </w:p>
    <w:p w14:paraId="760CB724" w14:textId="5213DCEF" w:rsidR="002E0A94" w:rsidRPr="004B6138" w:rsidRDefault="00D85CFF" w:rsidP="00D85CFF">
      <w:pPr>
        <w:spacing w:after="240"/>
        <w:jc w:val="both"/>
        <w:rPr>
          <w:rFonts w:ascii="Arial" w:hAnsi="Arial" w:cs="Arial"/>
          <w:sz w:val="22"/>
          <w:szCs w:val="22"/>
        </w:rPr>
      </w:pPr>
      <w:r>
        <w:rPr>
          <w:rFonts w:ascii="Arial" w:hAnsi="Arial" w:cs="Arial"/>
          <w:sz w:val="22"/>
          <w:szCs w:val="22"/>
        </w:rPr>
        <w:t>M</w:t>
      </w:r>
      <w:r w:rsidR="002E0A94" w:rsidRPr="004B6138">
        <w:rPr>
          <w:rFonts w:ascii="Arial" w:hAnsi="Arial" w:cs="Arial"/>
          <w:sz w:val="22"/>
          <w:szCs w:val="22"/>
        </w:rPr>
        <w:t>easuring the efficacy of various retention tactics in a controlled trial and incorporating the predicted model into active churn</w:t>
      </w:r>
      <w:r w:rsidR="0065423E">
        <w:rPr>
          <w:rFonts w:ascii="Arial" w:hAnsi="Arial" w:cs="Arial"/>
          <w:sz w:val="22"/>
          <w:szCs w:val="22"/>
        </w:rPr>
        <w:t>-</w:t>
      </w:r>
      <w:r w:rsidR="002E0A94" w:rsidRPr="004B6138">
        <w:rPr>
          <w:rFonts w:ascii="Arial" w:hAnsi="Arial" w:cs="Arial"/>
          <w:sz w:val="22"/>
          <w:szCs w:val="22"/>
        </w:rPr>
        <w:t>intervention methods.</w:t>
      </w:r>
    </w:p>
    <w:p w14:paraId="60DAC7ED" w14:textId="77777777" w:rsidR="002E0A94" w:rsidRPr="004B6138" w:rsidRDefault="002E0A94" w:rsidP="00B75B68">
      <w:pPr>
        <w:spacing w:after="240"/>
        <w:jc w:val="both"/>
        <w:rPr>
          <w:rFonts w:ascii="Arial" w:hAnsi="Arial" w:cs="Arial"/>
          <w:sz w:val="22"/>
          <w:szCs w:val="22"/>
        </w:rPr>
      </w:pPr>
      <w:r w:rsidRPr="004B6138">
        <w:rPr>
          <w:rFonts w:ascii="Arial" w:hAnsi="Arial" w:cs="Arial"/>
          <w:sz w:val="22"/>
          <w:szCs w:val="22"/>
        </w:rPr>
        <w:t>Further refining the predictive models could involve considering external economic and geopolitical issues that could impact customer behavior.</w:t>
      </w:r>
    </w:p>
    <w:p w14:paraId="0183A8B5" w14:textId="058CDA70" w:rsidR="009303D9" w:rsidRDefault="002E0A94" w:rsidP="00654D19">
      <w:pPr>
        <w:jc w:val="both"/>
        <w:rPr>
          <w:rFonts w:ascii="Arial" w:hAnsi="Arial" w:cs="Arial"/>
          <w:sz w:val="22"/>
          <w:szCs w:val="22"/>
        </w:rPr>
      </w:pPr>
      <w:r w:rsidRPr="004B6138">
        <w:rPr>
          <w:rFonts w:ascii="Arial" w:hAnsi="Arial" w:cs="Arial"/>
          <w:sz w:val="22"/>
          <w:szCs w:val="22"/>
        </w:rPr>
        <w:t xml:space="preserve">Heading forward, reducing </w:t>
      </w:r>
      <w:r w:rsidR="00654D19" w:rsidRPr="004B6138">
        <w:rPr>
          <w:rFonts w:ascii="Arial" w:hAnsi="Arial" w:cs="Arial"/>
          <w:sz w:val="22"/>
          <w:szCs w:val="22"/>
        </w:rPr>
        <w:t>churn</w:t>
      </w:r>
      <w:r w:rsidRPr="004B6138">
        <w:rPr>
          <w:rFonts w:ascii="Arial" w:hAnsi="Arial" w:cs="Arial"/>
          <w:sz w:val="22"/>
          <w:szCs w:val="22"/>
        </w:rPr>
        <w:t xml:space="preserve"> and improving customer experience will need not only improving analytical</w:t>
      </w:r>
      <w:r w:rsidR="006605D5">
        <w:rPr>
          <w:rFonts w:ascii="Arial" w:hAnsi="Arial" w:cs="Arial"/>
          <w:sz w:val="22"/>
          <w:szCs w:val="22"/>
        </w:rPr>
        <w:t>-</w:t>
      </w:r>
      <w:r w:rsidRPr="004B6138">
        <w:rPr>
          <w:rFonts w:ascii="Arial" w:hAnsi="Arial" w:cs="Arial"/>
          <w:sz w:val="22"/>
          <w:szCs w:val="22"/>
        </w:rPr>
        <w:t>techniques but also incorporating insights into corporate procedures and customer engagement</w:t>
      </w:r>
      <w:r w:rsidR="0065423E">
        <w:rPr>
          <w:rFonts w:ascii="Arial" w:hAnsi="Arial" w:cs="Arial"/>
          <w:sz w:val="22"/>
          <w:szCs w:val="22"/>
        </w:rPr>
        <w:t>-</w:t>
      </w:r>
      <w:r w:rsidRPr="004B6138">
        <w:rPr>
          <w:rFonts w:ascii="Arial" w:hAnsi="Arial" w:cs="Arial"/>
          <w:sz w:val="22"/>
          <w:szCs w:val="22"/>
        </w:rPr>
        <w:t>tactics.</w:t>
      </w:r>
    </w:p>
    <w:p w14:paraId="41CE5CB0" w14:textId="77777777" w:rsidR="000C3877" w:rsidRDefault="000C3877" w:rsidP="00654D19">
      <w:pPr>
        <w:jc w:val="both"/>
        <w:rPr>
          <w:rFonts w:ascii="Arial" w:hAnsi="Arial" w:cs="Arial"/>
          <w:sz w:val="22"/>
          <w:szCs w:val="22"/>
        </w:rPr>
      </w:pPr>
    </w:p>
    <w:p w14:paraId="51C03E4F" w14:textId="3AFECCA9" w:rsidR="002B5676" w:rsidRDefault="000C3877" w:rsidP="000C3877">
      <w:pPr>
        <w:pStyle w:val="Heading1"/>
        <w:rPr>
          <w:b/>
          <w:bCs/>
        </w:rPr>
      </w:pPr>
      <w:r w:rsidRPr="00D917EB">
        <w:rPr>
          <w:b/>
          <w:bCs/>
        </w:rPr>
        <w:lastRenderedPageBreak/>
        <w:t>REFERENCE</w:t>
      </w:r>
    </w:p>
    <w:p w14:paraId="038265A8" w14:textId="77777777" w:rsidR="00D55F8D" w:rsidRPr="009F06BE" w:rsidRDefault="00D55F8D" w:rsidP="009F06BE">
      <w:pPr>
        <w:spacing w:after="160" w:line="278" w:lineRule="auto"/>
        <w:jc w:val="left"/>
        <w:rPr>
          <w:rFonts w:ascii="Arial" w:hAnsi="Arial" w:cs="Arial"/>
          <w:sz w:val="22"/>
          <w:szCs w:val="22"/>
        </w:rPr>
      </w:pPr>
      <w:r w:rsidRPr="009F06BE">
        <w:rPr>
          <w:rFonts w:ascii="Arial" w:hAnsi="Arial" w:cs="Arial"/>
          <w:sz w:val="22"/>
          <w:szCs w:val="22"/>
        </w:rPr>
        <w:t xml:space="preserve">Autor, D., Dorn, D., Katz, L.F., Patterson, C. and Van Reenen, J. (2020). The Fall of the Labor Share and the Rise of Superstar Firms. </w:t>
      </w:r>
      <w:r w:rsidRPr="009F06BE">
        <w:rPr>
          <w:rFonts w:ascii="Arial" w:hAnsi="Arial" w:cs="Arial"/>
          <w:i/>
          <w:iCs/>
          <w:sz w:val="22"/>
          <w:szCs w:val="22"/>
        </w:rPr>
        <w:t>The Quarterly Journal of Economics</w:t>
      </w:r>
      <w:r w:rsidRPr="009F06BE">
        <w:rPr>
          <w:rFonts w:ascii="Arial" w:hAnsi="Arial" w:cs="Arial"/>
          <w:sz w:val="22"/>
          <w:szCs w:val="22"/>
        </w:rPr>
        <w:t xml:space="preserve">, 135(2).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19" w:history="1">
        <w:r w:rsidRPr="009F06BE">
          <w:rPr>
            <w:rStyle w:val="Hyperlink"/>
            <w:rFonts w:ascii="Arial" w:hAnsi="Arial" w:cs="Arial"/>
            <w:sz w:val="22"/>
            <w:szCs w:val="22"/>
          </w:rPr>
          <w:t>https://doi.org/10.1093/qje/qjaa004</w:t>
        </w:r>
      </w:hyperlink>
      <w:r w:rsidRPr="009F06BE">
        <w:rPr>
          <w:rFonts w:ascii="Arial" w:hAnsi="Arial" w:cs="Arial"/>
          <w:sz w:val="22"/>
          <w:szCs w:val="22"/>
        </w:rPr>
        <w:t>.</w:t>
      </w:r>
    </w:p>
    <w:p w14:paraId="1324399C" w14:textId="5998EF00" w:rsidR="007D59B6" w:rsidRPr="009F06BE" w:rsidRDefault="00D55F8D" w:rsidP="009F06BE">
      <w:pPr>
        <w:jc w:val="both"/>
        <w:rPr>
          <w:rFonts w:ascii="Arial" w:hAnsi="Arial" w:cs="Arial"/>
          <w:sz w:val="22"/>
          <w:szCs w:val="22"/>
        </w:rPr>
      </w:pPr>
      <w:proofErr w:type="spellStart"/>
      <w:r w:rsidRPr="009F06BE">
        <w:rPr>
          <w:rFonts w:ascii="Arial" w:hAnsi="Arial" w:cs="Arial"/>
          <w:sz w:val="22"/>
          <w:szCs w:val="22"/>
        </w:rPr>
        <w:t>Saradhi</w:t>
      </w:r>
      <w:proofErr w:type="spellEnd"/>
      <w:r w:rsidRPr="009F06BE">
        <w:rPr>
          <w:rFonts w:ascii="Arial" w:hAnsi="Arial" w:cs="Arial"/>
          <w:sz w:val="22"/>
          <w:szCs w:val="22"/>
        </w:rPr>
        <w:t xml:space="preserve">, V.V. and Palshikar, G.K. (2011). Employee </w:t>
      </w:r>
      <w:proofErr w:type="spellStart"/>
      <w:r w:rsidRPr="009F06BE">
        <w:rPr>
          <w:rFonts w:ascii="Arial" w:hAnsi="Arial" w:cs="Arial"/>
          <w:sz w:val="22"/>
          <w:szCs w:val="22"/>
        </w:rPr>
        <w:t>churnprediction</w:t>
      </w:r>
      <w:proofErr w:type="spellEnd"/>
      <w:r w:rsidRPr="009F06BE">
        <w:rPr>
          <w:rFonts w:ascii="Arial" w:hAnsi="Arial" w:cs="Arial"/>
          <w:sz w:val="22"/>
          <w:szCs w:val="22"/>
        </w:rPr>
        <w:t xml:space="preserve">. </w:t>
      </w:r>
      <w:r w:rsidRPr="009F06BE">
        <w:rPr>
          <w:rFonts w:ascii="Arial" w:hAnsi="Arial" w:cs="Arial"/>
          <w:i/>
          <w:iCs/>
          <w:sz w:val="22"/>
          <w:szCs w:val="22"/>
        </w:rPr>
        <w:t>Expert Systems with Applications</w:t>
      </w:r>
      <w:r w:rsidRPr="009F06BE">
        <w:rPr>
          <w:rFonts w:ascii="Arial" w:hAnsi="Arial" w:cs="Arial"/>
          <w:sz w:val="22"/>
          <w:szCs w:val="22"/>
        </w:rPr>
        <w:t>, 38(3), pp.1999–2006.</w:t>
      </w:r>
      <w:r w:rsidR="00B55CD1" w:rsidRPr="009F06BE">
        <w:rPr>
          <w:rFonts w:ascii="Arial" w:hAnsi="Arial" w:cs="Arial"/>
          <w:sz w:val="22"/>
          <w:szCs w:val="22"/>
        </w:rPr>
        <w:t xml:space="preserve">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20" w:history="1">
        <w:r w:rsidRPr="009F06BE">
          <w:rPr>
            <w:rStyle w:val="Hyperlink"/>
            <w:rFonts w:ascii="Arial" w:hAnsi="Arial" w:cs="Arial"/>
            <w:sz w:val="22"/>
            <w:szCs w:val="22"/>
          </w:rPr>
          <w:t>https://doi.org/10.1016/j.eswa.2010.07.134</w:t>
        </w:r>
      </w:hyperlink>
      <w:r w:rsidRPr="009F06BE">
        <w:rPr>
          <w:rFonts w:ascii="Arial" w:hAnsi="Arial" w:cs="Arial"/>
          <w:sz w:val="22"/>
          <w:szCs w:val="22"/>
        </w:rPr>
        <w:t>.</w:t>
      </w:r>
    </w:p>
    <w:p w14:paraId="789F86EE" w14:textId="77777777" w:rsidR="00744989" w:rsidRPr="000F1AB8" w:rsidRDefault="00744989" w:rsidP="009F06BE">
      <w:pPr>
        <w:jc w:val="both"/>
        <w:rPr>
          <w:rFonts w:ascii="Arial" w:hAnsi="Arial" w:cs="Arial"/>
          <w:sz w:val="22"/>
          <w:szCs w:val="22"/>
        </w:rPr>
      </w:pPr>
    </w:p>
    <w:p w14:paraId="7A510029" w14:textId="59E72285" w:rsidR="00D55F8D" w:rsidRPr="009F06BE" w:rsidRDefault="00D55F8D" w:rsidP="009F06BE">
      <w:pPr>
        <w:spacing w:after="160" w:line="278" w:lineRule="auto"/>
        <w:jc w:val="left"/>
        <w:rPr>
          <w:rFonts w:ascii="Arial" w:hAnsi="Arial" w:cs="Arial"/>
          <w:sz w:val="22"/>
          <w:szCs w:val="22"/>
        </w:rPr>
      </w:pPr>
      <w:proofErr w:type="spellStart"/>
      <w:r w:rsidRPr="009F06BE">
        <w:rPr>
          <w:rFonts w:ascii="Arial" w:hAnsi="Arial" w:cs="Arial"/>
          <w:sz w:val="22"/>
          <w:szCs w:val="22"/>
        </w:rPr>
        <w:t>Thangeda</w:t>
      </w:r>
      <w:proofErr w:type="spellEnd"/>
      <w:r w:rsidRPr="009F06BE">
        <w:rPr>
          <w:rFonts w:ascii="Arial" w:hAnsi="Arial" w:cs="Arial"/>
          <w:sz w:val="22"/>
          <w:szCs w:val="22"/>
        </w:rPr>
        <w:t xml:space="preserve">, R., Kumar, N. and Majhi, R. (2024). A neural network-based predictive decision model for customer retention in the telecommunication sector. Technological Forecasting and Social Change, [online] 202, p.123250.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21" w:history="1">
        <w:r w:rsidRPr="009F06BE">
          <w:rPr>
            <w:rStyle w:val="Hyperlink"/>
            <w:rFonts w:ascii="Arial" w:hAnsi="Arial" w:cs="Arial"/>
            <w:sz w:val="22"/>
            <w:szCs w:val="22"/>
          </w:rPr>
          <w:t>https://doi.org/10.1016/j.techfore.2024.123250</w:t>
        </w:r>
      </w:hyperlink>
      <w:r w:rsidRPr="009F06BE">
        <w:rPr>
          <w:rFonts w:ascii="Arial" w:hAnsi="Arial" w:cs="Arial"/>
          <w:sz w:val="22"/>
          <w:szCs w:val="22"/>
        </w:rPr>
        <w:t>.</w:t>
      </w:r>
    </w:p>
    <w:p w14:paraId="468A287B" w14:textId="51B13862" w:rsidR="00DA4878" w:rsidRPr="009F06BE" w:rsidRDefault="00D55F8D" w:rsidP="009F06BE">
      <w:pPr>
        <w:spacing w:after="160" w:line="278" w:lineRule="auto"/>
        <w:jc w:val="left"/>
        <w:rPr>
          <w:rFonts w:ascii="Arial" w:hAnsi="Arial" w:cs="Arial"/>
          <w:sz w:val="22"/>
          <w:szCs w:val="22"/>
        </w:rPr>
      </w:pPr>
      <w:r w:rsidRPr="009F06BE">
        <w:rPr>
          <w:rFonts w:ascii="Arial" w:hAnsi="Arial" w:cs="Arial"/>
          <w:sz w:val="22"/>
          <w:szCs w:val="22"/>
        </w:rPr>
        <w:t xml:space="preserve">Ullah, I., Raza, B., Malik, A.K., Imran, M., Islam, S.U. and Kim, S.W. (2019). A Churn Prediction Model Using Random Forest: Analysis of Machine Learning Techniques for Churn Prediction and Factor Identification in Telecom Sector. </w:t>
      </w:r>
      <w:r w:rsidRPr="009F06BE">
        <w:rPr>
          <w:rFonts w:ascii="Arial" w:hAnsi="Arial" w:cs="Arial"/>
          <w:i/>
          <w:iCs/>
          <w:sz w:val="22"/>
          <w:szCs w:val="22"/>
        </w:rPr>
        <w:t>IEEE Access</w:t>
      </w:r>
      <w:r w:rsidRPr="009F06BE">
        <w:rPr>
          <w:rFonts w:ascii="Arial" w:hAnsi="Arial" w:cs="Arial"/>
          <w:sz w:val="22"/>
          <w:szCs w:val="22"/>
        </w:rPr>
        <w:t xml:space="preserve">, 7, pp.60134–60149.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22" w:history="1">
        <w:r w:rsidRPr="009F06BE">
          <w:rPr>
            <w:rStyle w:val="Hyperlink"/>
            <w:rFonts w:ascii="Arial" w:hAnsi="Arial" w:cs="Arial"/>
            <w:sz w:val="22"/>
            <w:szCs w:val="22"/>
          </w:rPr>
          <w:t>https://doi.org/10.1109/access.2019.2914999</w:t>
        </w:r>
      </w:hyperlink>
      <w:r w:rsidRPr="009F06BE">
        <w:rPr>
          <w:rFonts w:ascii="Arial" w:hAnsi="Arial" w:cs="Arial"/>
          <w:sz w:val="22"/>
          <w:szCs w:val="22"/>
        </w:rPr>
        <w:t>.</w:t>
      </w:r>
    </w:p>
    <w:p w14:paraId="2CB8BCF9" w14:textId="7941264E" w:rsidR="001100E9" w:rsidRPr="009F06BE" w:rsidRDefault="008B01DC" w:rsidP="009F06BE">
      <w:pPr>
        <w:spacing w:after="160" w:line="278" w:lineRule="auto"/>
        <w:jc w:val="left"/>
        <w:rPr>
          <w:rFonts w:ascii="Arial" w:hAnsi="Arial" w:cs="Arial"/>
          <w:sz w:val="22"/>
          <w:szCs w:val="22"/>
        </w:rPr>
      </w:pPr>
      <w:r w:rsidRPr="009F06BE">
        <w:rPr>
          <w:rFonts w:ascii="Arial" w:hAnsi="Arial" w:cs="Arial"/>
          <w:sz w:val="22"/>
          <w:szCs w:val="22"/>
        </w:rPr>
        <w:t xml:space="preserve">Wei, C.-P. and Chiu, I-Tang. (2002). Turning telecommunications call details to churn prediction: a data mining approach. </w:t>
      </w:r>
      <w:r w:rsidRPr="009F06BE">
        <w:rPr>
          <w:rFonts w:ascii="Arial" w:hAnsi="Arial" w:cs="Arial"/>
          <w:i/>
          <w:iCs/>
          <w:sz w:val="22"/>
          <w:szCs w:val="22"/>
        </w:rPr>
        <w:t>Expert Systems with Applications</w:t>
      </w:r>
      <w:r w:rsidRPr="009F06BE">
        <w:rPr>
          <w:rFonts w:ascii="Arial" w:hAnsi="Arial" w:cs="Arial"/>
          <w:sz w:val="22"/>
          <w:szCs w:val="22"/>
        </w:rPr>
        <w:t xml:space="preserve">, 23(2), pp.103–112.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23" w:history="1">
        <w:r w:rsidRPr="009F06BE">
          <w:rPr>
            <w:rStyle w:val="Hyperlink"/>
            <w:rFonts w:ascii="Arial" w:hAnsi="Arial" w:cs="Arial"/>
            <w:sz w:val="22"/>
            <w:szCs w:val="22"/>
          </w:rPr>
          <w:t>https://doi.org/10.1016/s0957-4174(02)00030-1</w:t>
        </w:r>
      </w:hyperlink>
      <w:r w:rsidRPr="009F06BE">
        <w:rPr>
          <w:rFonts w:ascii="Arial" w:hAnsi="Arial" w:cs="Arial"/>
          <w:sz w:val="22"/>
          <w:szCs w:val="22"/>
        </w:rPr>
        <w:t>.</w:t>
      </w:r>
    </w:p>
    <w:p w14:paraId="3B1B6EEC" w14:textId="26E0ED05" w:rsidR="008B01DC" w:rsidRDefault="00D8156E" w:rsidP="009F06BE">
      <w:pPr>
        <w:spacing w:after="160" w:line="278" w:lineRule="auto"/>
        <w:jc w:val="left"/>
        <w:rPr>
          <w:rFonts w:ascii="Arial" w:hAnsi="Arial" w:cs="Arial"/>
          <w:sz w:val="22"/>
          <w:szCs w:val="22"/>
        </w:rPr>
      </w:pPr>
      <w:r w:rsidRPr="009F06BE">
        <w:rPr>
          <w:rFonts w:ascii="Arial" w:hAnsi="Arial" w:cs="Arial"/>
          <w:sz w:val="22"/>
          <w:szCs w:val="22"/>
        </w:rPr>
        <w:t xml:space="preserve">Yang, Q., Li, B., Wang, P., Xie, J., Feng, Y., Liu, Z. and Zhu, F. (2022). </w:t>
      </w:r>
      <w:proofErr w:type="spellStart"/>
      <w:r w:rsidRPr="009F06BE">
        <w:rPr>
          <w:rFonts w:ascii="Arial" w:hAnsi="Arial" w:cs="Arial"/>
          <w:sz w:val="22"/>
          <w:szCs w:val="22"/>
        </w:rPr>
        <w:t>LargeMetabo</w:t>
      </w:r>
      <w:proofErr w:type="spellEnd"/>
      <w:r w:rsidRPr="009F06BE">
        <w:rPr>
          <w:rFonts w:ascii="Arial" w:hAnsi="Arial" w:cs="Arial"/>
          <w:sz w:val="22"/>
          <w:szCs w:val="22"/>
        </w:rPr>
        <w:t xml:space="preserve">: an out-of-the-box tool for processing and analyzing large-scale metabolomic data. </w:t>
      </w:r>
      <w:r w:rsidRPr="009F06BE">
        <w:rPr>
          <w:rFonts w:ascii="Arial" w:hAnsi="Arial" w:cs="Arial"/>
          <w:i/>
          <w:iCs/>
          <w:sz w:val="22"/>
          <w:szCs w:val="22"/>
        </w:rPr>
        <w:t>Briefings in bioinformatics</w:t>
      </w:r>
      <w:r w:rsidRPr="009F06BE">
        <w:rPr>
          <w:rFonts w:ascii="Arial" w:hAnsi="Arial" w:cs="Arial"/>
          <w:sz w:val="22"/>
          <w:szCs w:val="22"/>
        </w:rPr>
        <w:t xml:space="preserve">, 23(6). </w:t>
      </w:r>
      <w:proofErr w:type="spellStart"/>
      <w:r w:rsidRPr="009F06BE">
        <w:rPr>
          <w:rFonts w:ascii="Arial" w:hAnsi="Arial" w:cs="Arial"/>
          <w:sz w:val="22"/>
          <w:szCs w:val="22"/>
        </w:rPr>
        <w:t>doi</w:t>
      </w:r>
      <w:proofErr w:type="spellEnd"/>
      <w:r w:rsidRPr="009F06BE">
        <w:rPr>
          <w:rFonts w:ascii="Arial" w:hAnsi="Arial" w:cs="Arial"/>
          <w:sz w:val="22"/>
          <w:szCs w:val="22"/>
        </w:rPr>
        <w:t xml:space="preserve">: </w:t>
      </w:r>
      <w:hyperlink r:id="rId24" w:history="1">
        <w:r w:rsidRPr="009F06BE">
          <w:rPr>
            <w:rStyle w:val="Hyperlink"/>
            <w:rFonts w:ascii="Arial" w:hAnsi="Arial" w:cs="Arial"/>
            <w:sz w:val="22"/>
            <w:szCs w:val="22"/>
          </w:rPr>
          <w:t>https://doi.org/10.1093/bib/bbac455</w:t>
        </w:r>
      </w:hyperlink>
      <w:r w:rsidRPr="009F06BE">
        <w:rPr>
          <w:rFonts w:ascii="Arial" w:hAnsi="Arial" w:cs="Arial"/>
          <w:sz w:val="22"/>
          <w:szCs w:val="22"/>
        </w:rPr>
        <w:t>.</w:t>
      </w:r>
    </w:p>
    <w:p w14:paraId="19A5C0F6" w14:textId="60BAEE6B" w:rsidR="00367930" w:rsidRDefault="00CC7806" w:rsidP="009F06BE">
      <w:pPr>
        <w:spacing w:after="160" w:line="278" w:lineRule="auto"/>
        <w:jc w:val="left"/>
        <w:rPr>
          <w:rFonts w:ascii="Arial" w:hAnsi="Arial" w:cs="Arial"/>
          <w:sz w:val="22"/>
          <w:szCs w:val="22"/>
        </w:rPr>
      </w:pPr>
      <w:r>
        <w:rPr>
          <w:rFonts w:ascii="Arial" w:hAnsi="Arial" w:cs="Arial"/>
          <w:sz w:val="22"/>
          <w:szCs w:val="22"/>
        </w:rPr>
        <w:t xml:space="preserve">Web - </w:t>
      </w:r>
      <w:hyperlink r:id="rId25" w:history="1">
        <w:r w:rsidR="0029093C" w:rsidRPr="00907DA4">
          <w:rPr>
            <w:rStyle w:val="Hyperlink"/>
            <w:rFonts w:ascii="Arial" w:hAnsi="Arial" w:cs="Arial"/>
            <w:sz w:val="22"/>
            <w:szCs w:val="22"/>
          </w:rPr>
          <w:t>https://www.kaggle.com/datasets/shilongzhuang/telecom-customer-churn-by-maven-analytics</w:t>
        </w:r>
      </w:hyperlink>
    </w:p>
    <w:p w14:paraId="77FF3B92" w14:textId="77777777" w:rsidR="0029093C" w:rsidRPr="009F06BE" w:rsidRDefault="0029093C" w:rsidP="009F06BE">
      <w:pPr>
        <w:spacing w:after="160" w:line="278" w:lineRule="auto"/>
        <w:jc w:val="left"/>
        <w:rPr>
          <w:rFonts w:ascii="Arial" w:hAnsi="Arial" w:cs="Arial"/>
          <w:sz w:val="22"/>
          <w:szCs w:val="22"/>
        </w:rPr>
      </w:pPr>
    </w:p>
    <w:p w14:paraId="28587970" w14:textId="77777777" w:rsidR="00744989" w:rsidRPr="000F1AB8" w:rsidRDefault="00744989" w:rsidP="00DA4878">
      <w:pPr>
        <w:spacing w:after="160" w:line="278" w:lineRule="auto"/>
        <w:jc w:val="left"/>
        <w:rPr>
          <w:rFonts w:ascii="Arial" w:hAnsi="Arial" w:cs="Arial"/>
          <w:sz w:val="22"/>
          <w:szCs w:val="22"/>
        </w:rPr>
      </w:pPr>
    </w:p>
    <w:p w14:paraId="2225BB03" w14:textId="77777777" w:rsidR="00F0670D" w:rsidRPr="00C015DE" w:rsidRDefault="00F0670D" w:rsidP="00C015DE"/>
    <w:p w14:paraId="6BD377DF" w14:textId="77777777" w:rsidR="00561828" w:rsidRPr="004B6138" w:rsidRDefault="00561828" w:rsidP="002E0A94">
      <w:pPr>
        <w:rPr>
          <w:rFonts w:ascii="Arial" w:hAnsi="Arial" w:cs="Arial"/>
          <w:sz w:val="22"/>
          <w:szCs w:val="22"/>
        </w:rPr>
      </w:pPr>
    </w:p>
    <w:p w14:paraId="61FC0C7D" w14:textId="2AF76123"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9D2C2C">
          <w:headerReference w:type="even" r:id="rId26"/>
          <w:footerReference w:type="even" r:id="rId27"/>
          <w:footerReference w:type="default" r:id="rId28"/>
          <w:type w:val="continuous"/>
          <w:pgSz w:w="11906" w:h="16838" w:code="9"/>
          <w:pgMar w:top="1080" w:right="907" w:bottom="1440" w:left="907" w:header="720" w:footer="720" w:gutter="0"/>
          <w:cols w:num="2" w:space="360"/>
          <w:docGrid w:linePitch="360"/>
        </w:sectPr>
      </w:pPr>
    </w:p>
    <w:p w14:paraId="1D780D0D" w14:textId="55E9C879" w:rsidR="009303D9" w:rsidRDefault="009303D9" w:rsidP="005B520E"/>
    <w:sectPr w:rsidR="009303D9" w:rsidSect="009D2C2C">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0DE25" w14:textId="77777777" w:rsidR="009D2C2C" w:rsidRDefault="009D2C2C" w:rsidP="001A3B3D">
      <w:r>
        <w:separator/>
      </w:r>
    </w:p>
  </w:endnote>
  <w:endnote w:type="continuationSeparator" w:id="0">
    <w:p w14:paraId="1DF445D3" w14:textId="77777777" w:rsidR="009D2C2C" w:rsidRDefault="009D2C2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3B2DE" w14:textId="77777777" w:rsidR="000937D3" w:rsidRDefault="00311E67" w:rsidP="000937D3">
    <w:pPr>
      <w:pStyle w:val="Footer"/>
    </w:pPr>
    <w:hyperlink r:id="rId1" w:history="1">
      <w:r w:rsidR="000937D3" w:rsidRPr="00C618ED">
        <w:rPr>
          <w:rStyle w:val="Hyperlink"/>
        </w:rPr>
        <w:t>B1158902_@live.tees.ac.uk</w:t>
      </w:r>
    </w:hyperlink>
  </w:p>
  <w:p w14:paraId="46B1B634" w14:textId="77777777" w:rsidR="000937D3" w:rsidRDefault="000937D3" w:rsidP="000937D3">
    <w:pPr>
      <w:pStyle w:val="Footer"/>
    </w:pPr>
  </w:p>
  <w:p w14:paraId="27304999" w14:textId="77777777" w:rsidR="000937D3" w:rsidRDefault="000937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38126" w14:textId="77777777" w:rsidR="004A7D1F" w:rsidRDefault="00311E67" w:rsidP="004A7D1F">
    <w:pPr>
      <w:pStyle w:val="Footer"/>
    </w:pPr>
    <w:hyperlink r:id="rId1" w:history="1">
      <w:r w:rsidR="004A7D1F" w:rsidRPr="00C618ED">
        <w:rPr>
          <w:rStyle w:val="Hyperlink"/>
        </w:rPr>
        <w:t>B1158902_@live.tees.ac.uk</w:t>
      </w:r>
    </w:hyperlink>
  </w:p>
  <w:p w14:paraId="4F1E5C0E" w14:textId="77777777" w:rsidR="004A7D1F" w:rsidRDefault="004A7D1F" w:rsidP="004A7D1F">
    <w:pPr>
      <w:pStyle w:val="Footer"/>
    </w:pPr>
  </w:p>
  <w:p w14:paraId="389B72CC" w14:textId="77777777" w:rsidR="004A7D1F" w:rsidRDefault="004A7D1F" w:rsidP="00E2482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273562"/>
      <w:docPartObj>
        <w:docPartGallery w:val="Page Numbers (Bottom of Page)"/>
        <w:docPartUnique/>
      </w:docPartObj>
    </w:sdtPr>
    <w:sdtEndPr>
      <w:rPr>
        <w:noProof/>
      </w:rPr>
    </w:sdtEndPr>
    <w:sdtContent>
      <w:p w14:paraId="24ADA4AA" w14:textId="13827214" w:rsidR="008131AD" w:rsidRDefault="008131AD">
        <w:pPr>
          <w:pStyle w:val="Footer"/>
        </w:pPr>
        <w:r>
          <w:fldChar w:fldCharType="begin"/>
        </w:r>
        <w:r>
          <w:instrText xml:space="preserve"> PAGE   \* MERGEFORMAT </w:instrText>
        </w:r>
        <w:r>
          <w:fldChar w:fldCharType="separate"/>
        </w:r>
        <w:r>
          <w:rPr>
            <w:noProof/>
          </w:rPr>
          <w:t>2</w:t>
        </w:r>
        <w:r>
          <w:rPr>
            <w:noProof/>
          </w:rPr>
          <w:fldChar w:fldCharType="end"/>
        </w:r>
      </w:p>
    </w:sdtContent>
  </w:sdt>
  <w:p w14:paraId="458AEBD1" w14:textId="77777777" w:rsidR="008131AD" w:rsidRDefault="00311E67" w:rsidP="008131AD">
    <w:pPr>
      <w:pStyle w:val="Footer"/>
    </w:pPr>
    <w:hyperlink r:id="rId1" w:history="1">
      <w:r w:rsidR="008131AD" w:rsidRPr="00C618ED">
        <w:rPr>
          <w:rStyle w:val="Hyperlink"/>
        </w:rPr>
        <w:t>B1158902_@live.tees.ac.uk</w:t>
      </w:r>
    </w:hyperlink>
  </w:p>
  <w:p w14:paraId="56B6E5AE" w14:textId="39A9083B" w:rsidR="001A3B3D" w:rsidRPr="006F6D3D" w:rsidRDefault="001A3B3D" w:rsidP="0056610F">
    <w:pPr>
      <w:pStyle w:val="Footer"/>
      <w:jc w:val="lef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483971"/>
      <w:docPartObj>
        <w:docPartGallery w:val="Page Numbers (Bottom of Page)"/>
        <w:docPartUnique/>
      </w:docPartObj>
    </w:sdtPr>
    <w:sdtEndPr>
      <w:rPr>
        <w:noProof/>
      </w:rPr>
    </w:sdtEndPr>
    <w:sdtContent>
      <w:p w14:paraId="409A49DE" w14:textId="5E5F42AE" w:rsidR="00420FB5" w:rsidRDefault="00420FB5">
        <w:pPr>
          <w:pStyle w:val="Footer"/>
        </w:pPr>
        <w:r>
          <w:fldChar w:fldCharType="begin"/>
        </w:r>
        <w:r>
          <w:instrText xml:space="preserve"> PAGE   \* MERGEFORMAT </w:instrText>
        </w:r>
        <w:r>
          <w:fldChar w:fldCharType="separate"/>
        </w:r>
        <w:r>
          <w:rPr>
            <w:noProof/>
          </w:rPr>
          <w:t>2</w:t>
        </w:r>
        <w:r>
          <w:rPr>
            <w:noProof/>
          </w:rPr>
          <w:fldChar w:fldCharType="end"/>
        </w:r>
      </w:p>
    </w:sdtContent>
  </w:sdt>
  <w:p w14:paraId="172B6645" w14:textId="77777777" w:rsidR="00420FB5" w:rsidRDefault="00311E67" w:rsidP="00420FB5">
    <w:pPr>
      <w:pStyle w:val="Footer"/>
    </w:pPr>
    <w:hyperlink r:id="rId1" w:history="1">
      <w:r w:rsidR="00420FB5" w:rsidRPr="00C618ED">
        <w:rPr>
          <w:rStyle w:val="Hyperlink"/>
        </w:rPr>
        <w:t>B1158902_@live.tees.ac.uk</w:t>
      </w:r>
    </w:hyperlink>
  </w:p>
  <w:p w14:paraId="06BE7343" w14:textId="77777777" w:rsidR="008C2F56" w:rsidRDefault="008C2F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9313898"/>
      <w:docPartObj>
        <w:docPartGallery w:val="Page Numbers (Bottom of Page)"/>
        <w:docPartUnique/>
      </w:docPartObj>
    </w:sdtPr>
    <w:sdtEndPr>
      <w:rPr>
        <w:noProof/>
      </w:rPr>
    </w:sdtEndPr>
    <w:sdtContent>
      <w:p w14:paraId="5929BD44" w14:textId="77777777" w:rsidR="00C839E7" w:rsidRDefault="00C839E7">
        <w:pPr>
          <w:pStyle w:val="Footer"/>
        </w:pPr>
        <w:r>
          <w:fldChar w:fldCharType="begin"/>
        </w:r>
        <w:r>
          <w:instrText xml:space="preserve"> PAGE   \* MERGEFORMAT </w:instrText>
        </w:r>
        <w:r>
          <w:fldChar w:fldCharType="separate"/>
        </w:r>
        <w:r>
          <w:rPr>
            <w:noProof/>
          </w:rPr>
          <w:t>2</w:t>
        </w:r>
        <w:r>
          <w:rPr>
            <w:noProof/>
          </w:rPr>
          <w:fldChar w:fldCharType="end"/>
        </w:r>
      </w:p>
    </w:sdtContent>
  </w:sdt>
  <w:p w14:paraId="012140F0" w14:textId="77777777" w:rsidR="00C839E7" w:rsidRDefault="00311E67" w:rsidP="00C839E7">
    <w:pPr>
      <w:pStyle w:val="Footer"/>
    </w:pPr>
    <w:hyperlink r:id="rId1" w:history="1">
      <w:r w:rsidR="00C839E7" w:rsidRPr="00C618ED">
        <w:rPr>
          <w:rStyle w:val="Hyperlink"/>
        </w:rPr>
        <w:t>B1158902_@live.tees.ac.uk</w:t>
      </w:r>
    </w:hyperlink>
  </w:p>
  <w:p w14:paraId="1388DDFA" w14:textId="77777777" w:rsidR="009951F4" w:rsidRDefault="009951F4" w:rsidP="00E248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32CAD" w14:textId="77777777" w:rsidR="009D2C2C" w:rsidRDefault="009D2C2C" w:rsidP="001A3B3D">
      <w:r>
        <w:separator/>
      </w:r>
    </w:p>
  </w:footnote>
  <w:footnote w:type="continuationSeparator" w:id="0">
    <w:p w14:paraId="70A8B3F1" w14:textId="77777777" w:rsidR="009D2C2C" w:rsidRDefault="009D2C2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F97" w14:textId="10BF18CE" w:rsidR="00234599" w:rsidRDefault="00234599" w:rsidP="00234599">
    <w:pPr>
      <w:pStyle w:val="Header"/>
      <w:tabs>
        <w:tab w:val="clear" w:pos="4680"/>
        <w:tab w:val="clear" w:pos="9360"/>
      </w:tabs>
      <w:jc w:val="right"/>
      <w:rPr>
        <w:color w:val="5B9BD5" w:themeColor="accent1"/>
      </w:rPr>
    </w:pPr>
    <w:r>
      <w:rPr>
        <w:color w:val="5B9BD5" w:themeColor="accent1"/>
      </w:rPr>
      <w:t>ADE</w:t>
    </w:r>
    <w:r w:rsidR="003E4608">
      <w:rPr>
        <w:color w:val="5B9BD5" w:themeColor="accent1"/>
      </w:rPr>
      <w:t>B</w:t>
    </w:r>
    <w:r>
      <w:rPr>
        <w:color w:val="5B9BD5" w:themeColor="accent1"/>
      </w:rPr>
      <w:t>AYO_ADETOLA_B1158902</w:t>
    </w:r>
  </w:p>
  <w:p w14:paraId="44722F55" w14:textId="77777777" w:rsidR="00F30003" w:rsidRDefault="00F30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4129" w14:textId="5D8F0952" w:rsidR="0092000A" w:rsidRDefault="00B76338">
    <w:pPr>
      <w:pStyle w:val="Header"/>
      <w:tabs>
        <w:tab w:val="clear" w:pos="4680"/>
        <w:tab w:val="clear" w:pos="9360"/>
      </w:tabs>
      <w:jc w:val="right"/>
      <w:rPr>
        <w:color w:val="5B9BD5" w:themeColor="accent1"/>
      </w:rPr>
    </w:pPr>
    <w:r>
      <w:rPr>
        <w:color w:val="5B9BD5" w:themeColor="accent1"/>
      </w:rPr>
      <w:t>ADE</w:t>
    </w:r>
    <w:r w:rsidR="007769BD">
      <w:rPr>
        <w:color w:val="5B9BD5" w:themeColor="accent1"/>
      </w:rPr>
      <w:t>B</w:t>
    </w:r>
    <w:r>
      <w:rPr>
        <w:color w:val="5B9BD5" w:themeColor="accent1"/>
      </w:rPr>
      <w:t>AYO_ADETOLA</w:t>
    </w:r>
  </w:p>
  <w:p w14:paraId="722939C3" w14:textId="77777777" w:rsidR="000745B0" w:rsidRDefault="000745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A061" w14:textId="77777777" w:rsidR="00234599" w:rsidRDefault="00234599" w:rsidP="00234599">
    <w:pPr>
      <w:pStyle w:val="Header"/>
      <w:tabs>
        <w:tab w:val="clear" w:pos="4680"/>
        <w:tab w:val="clear" w:pos="9360"/>
      </w:tabs>
      <w:jc w:val="right"/>
      <w:rPr>
        <w:color w:val="5B9BD5" w:themeColor="accent1"/>
      </w:rPr>
    </w:pPr>
    <w:r>
      <w:rPr>
        <w:color w:val="5B9BD5" w:themeColor="accent1"/>
      </w:rPr>
      <w:t>ADENAYO_ADETOLA_B1158902</w:t>
    </w:r>
  </w:p>
  <w:p w14:paraId="4613B522" w14:textId="77777777" w:rsidR="00234599" w:rsidRDefault="00234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A6ACE"/>
    <w:multiLevelType w:val="hybridMultilevel"/>
    <w:tmpl w:val="3B6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E21BC3"/>
    <w:multiLevelType w:val="hybridMultilevel"/>
    <w:tmpl w:val="82E29D68"/>
    <w:lvl w:ilvl="0" w:tplc="40EC2D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530"/>
        </w:tabs>
        <w:ind w:left="14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7052829"/>
    <w:multiLevelType w:val="hybridMultilevel"/>
    <w:tmpl w:val="B2B8B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FE6C2C"/>
    <w:multiLevelType w:val="hybridMultilevel"/>
    <w:tmpl w:val="26F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A00245"/>
    <w:multiLevelType w:val="hybridMultilevel"/>
    <w:tmpl w:val="938E1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01679019">
    <w:abstractNumId w:val="16"/>
  </w:num>
  <w:num w:numId="2" w16cid:durableId="1303579069">
    <w:abstractNumId w:val="24"/>
  </w:num>
  <w:num w:numId="3" w16cid:durableId="445275305">
    <w:abstractNumId w:val="14"/>
  </w:num>
  <w:num w:numId="4" w16cid:durableId="903375855">
    <w:abstractNumId w:val="18"/>
  </w:num>
  <w:num w:numId="5" w16cid:durableId="1032997480">
    <w:abstractNumId w:val="18"/>
  </w:num>
  <w:num w:numId="6" w16cid:durableId="1528835863">
    <w:abstractNumId w:val="18"/>
  </w:num>
  <w:num w:numId="7" w16cid:durableId="509487620">
    <w:abstractNumId w:val="18"/>
  </w:num>
  <w:num w:numId="8" w16cid:durableId="1965500437">
    <w:abstractNumId w:val="20"/>
  </w:num>
  <w:num w:numId="9" w16cid:durableId="2010133204">
    <w:abstractNumId w:val="25"/>
  </w:num>
  <w:num w:numId="10" w16cid:durableId="517353420">
    <w:abstractNumId w:val="17"/>
  </w:num>
  <w:num w:numId="11" w16cid:durableId="976302859">
    <w:abstractNumId w:val="13"/>
  </w:num>
  <w:num w:numId="12" w16cid:durableId="925577044">
    <w:abstractNumId w:val="12"/>
  </w:num>
  <w:num w:numId="13" w16cid:durableId="1362902251">
    <w:abstractNumId w:val="0"/>
  </w:num>
  <w:num w:numId="14" w16cid:durableId="1911620211">
    <w:abstractNumId w:val="10"/>
  </w:num>
  <w:num w:numId="15" w16cid:durableId="833883762">
    <w:abstractNumId w:val="8"/>
  </w:num>
  <w:num w:numId="16" w16cid:durableId="1422334489">
    <w:abstractNumId w:val="7"/>
  </w:num>
  <w:num w:numId="17" w16cid:durableId="881164085">
    <w:abstractNumId w:val="6"/>
  </w:num>
  <w:num w:numId="18" w16cid:durableId="1168406393">
    <w:abstractNumId w:val="5"/>
  </w:num>
  <w:num w:numId="19" w16cid:durableId="1631475053">
    <w:abstractNumId w:val="9"/>
  </w:num>
  <w:num w:numId="20" w16cid:durableId="1554729780">
    <w:abstractNumId w:val="4"/>
  </w:num>
  <w:num w:numId="21" w16cid:durableId="1811941241">
    <w:abstractNumId w:val="3"/>
  </w:num>
  <w:num w:numId="22" w16cid:durableId="1577400274">
    <w:abstractNumId w:val="2"/>
  </w:num>
  <w:num w:numId="23" w16cid:durableId="1182162156">
    <w:abstractNumId w:val="1"/>
  </w:num>
  <w:num w:numId="24" w16cid:durableId="1631936934">
    <w:abstractNumId w:val="19"/>
  </w:num>
  <w:num w:numId="25" w16cid:durableId="388189161">
    <w:abstractNumId w:val="22"/>
  </w:num>
  <w:num w:numId="26" w16cid:durableId="1788547835">
    <w:abstractNumId w:val="21"/>
  </w:num>
  <w:num w:numId="27" w16cid:durableId="1231966963">
    <w:abstractNumId w:val="23"/>
  </w:num>
  <w:num w:numId="28" w16cid:durableId="19012028">
    <w:abstractNumId w:val="11"/>
  </w:num>
  <w:num w:numId="29" w16cid:durableId="20790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CC"/>
    <w:rsid w:val="00002C09"/>
    <w:rsid w:val="00006F6D"/>
    <w:rsid w:val="00007CCE"/>
    <w:rsid w:val="0001394E"/>
    <w:rsid w:val="00014390"/>
    <w:rsid w:val="0003200A"/>
    <w:rsid w:val="00034818"/>
    <w:rsid w:val="00045C66"/>
    <w:rsid w:val="0004781E"/>
    <w:rsid w:val="00053E85"/>
    <w:rsid w:val="000745B0"/>
    <w:rsid w:val="0008758A"/>
    <w:rsid w:val="000937D3"/>
    <w:rsid w:val="00094965"/>
    <w:rsid w:val="000A15E1"/>
    <w:rsid w:val="000A22ED"/>
    <w:rsid w:val="000B04EF"/>
    <w:rsid w:val="000B7973"/>
    <w:rsid w:val="000B7EAD"/>
    <w:rsid w:val="000C1E68"/>
    <w:rsid w:val="000C3877"/>
    <w:rsid w:val="000C5B63"/>
    <w:rsid w:val="000D3032"/>
    <w:rsid w:val="000E632C"/>
    <w:rsid w:val="000F1AB8"/>
    <w:rsid w:val="000F7437"/>
    <w:rsid w:val="0010065F"/>
    <w:rsid w:val="00107B6C"/>
    <w:rsid w:val="001100E9"/>
    <w:rsid w:val="00117BCD"/>
    <w:rsid w:val="00121414"/>
    <w:rsid w:val="00143239"/>
    <w:rsid w:val="0014429D"/>
    <w:rsid w:val="00147411"/>
    <w:rsid w:val="00153B28"/>
    <w:rsid w:val="00156D90"/>
    <w:rsid w:val="001628E3"/>
    <w:rsid w:val="001652C4"/>
    <w:rsid w:val="0016671D"/>
    <w:rsid w:val="001737F3"/>
    <w:rsid w:val="00174ED7"/>
    <w:rsid w:val="0017599D"/>
    <w:rsid w:val="001812D6"/>
    <w:rsid w:val="00181360"/>
    <w:rsid w:val="00185D66"/>
    <w:rsid w:val="00187F1B"/>
    <w:rsid w:val="0019066D"/>
    <w:rsid w:val="001A29CB"/>
    <w:rsid w:val="001A2EFD"/>
    <w:rsid w:val="001A3B3D"/>
    <w:rsid w:val="001B5E4F"/>
    <w:rsid w:val="001B67DC"/>
    <w:rsid w:val="001C05E7"/>
    <w:rsid w:val="001C071F"/>
    <w:rsid w:val="001C0D86"/>
    <w:rsid w:val="001E55CC"/>
    <w:rsid w:val="001E6204"/>
    <w:rsid w:val="00202078"/>
    <w:rsid w:val="002131F0"/>
    <w:rsid w:val="00216166"/>
    <w:rsid w:val="002254A9"/>
    <w:rsid w:val="002327FB"/>
    <w:rsid w:val="00233D97"/>
    <w:rsid w:val="00234599"/>
    <w:rsid w:val="002347A2"/>
    <w:rsid w:val="00234E82"/>
    <w:rsid w:val="00245C2E"/>
    <w:rsid w:val="00263241"/>
    <w:rsid w:val="00282D31"/>
    <w:rsid w:val="00283B0A"/>
    <w:rsid w:val="00283BC6"/>
    <w:rsid w:val="002850E3"/>
    <w:rsid w:val="0029093C"/>
    <w:rsid w:val="002917B3"/>
    <w:rsid w:val="00293453"/>
    <w:rsid w:val="002938A4"/>
    <w:rsid w:val="002A5001"/>
    <w:rsid w:val="002A7797"/>
    <w:rsid w:val="002B1839"/>
    <w:rsid w:val="002B3B5A"/>
    <w:rsid w:val="002B48F3"/>
    <w:rsid w:val="002B5676"/>
    <w:rsid w:val="002C1A1A"/>
    <w:rsid w:val="002C3043"/>
    <w:rsid w:val="002D354E"/>
    <w:rsid w:val="002E0A94"/>
    <w:rsid w:val="002F0B97"/>
    <w:rsid w:val="002F4804"/>
    <w:rsid w:val="002F78FB"/>
    <w:rsid w:val="00302B08"/>
    <w:rsid w:val="00304240"/>
    <w:rsid w:val="00304FD5"/>
    <w:rsid w:val="00305818"/>
    <w:rsid w:val="00312CA7"/>
    <w:rsid w:val="0031562A"/>
    <w:rsid w:val="00315F90"/>
    <w:rsid w:val="003220A4"/>
    <w:rsid w:val="003245AA"/>
    <w:rsid w:val="003264C6"/>
    <w:rsid w:val="00334DE9"/>
    <w:rsid w:val="00335524"/>
    <w:rsid w:val="003373DF"/>
    <w:rsid w:val="00351CDB"/>
    <w:rsid w:val="00354FCF"/>
    <w:rsid w:val="00362B98"/>
    <w:rsid w:val="00364260"/>
    <w:rsid w:val="00366AA0"/>
    <w:rsid w:val="00367930"/>
    <w:rsid w:val="00373D89"/>
    <w:rsid w:val="003778F4"/>
    <w:rsid w:val="003801EE"/>
    <w:rsid w:val="00382AE2"/>
    <w:rsid w:val="003961B8"/>
    <w:rsid w:val="003A19E2"/>
    <w:rsid w:val="003A1BBE"/>
    <w:rsid w:val="003A42DE"/>
    <w:rsid w:val="003B1E93"/>
    <w:rsid w:val="003B2B40"/>
    <w:rsid w:val="003B4E04"/>
    <w:rsid w:val="003D7D37"/>
    <w:rsid w:val="003E33F8"/>
    <w:rsid w:val="003E4608"/>
    <w:rsid w:val="003F073E"/>
    <w:rsid w:val="003F3658"/>
    <w:rsid w:val="003F5A08"/>
    <w:rsid w:val="00401125"/>
    <w:rsid w:val="0040714D"/>
    <w:rsid w:val="00417CBF"/>
    <w:rsid w:val="004200B9"/>
    <w:rsid w:val="00420716"/>
    <w:rsid w:val="00420FB5"/>
    <w:rsid w:val="0042168A"/>
    <w:rsid w:val="00421A81"/>
    <w:rsid w:val="00430457"/>
    <w:rsid w:val="00430B7B"/>
    <w:rsid w:val="004325FB"/>
    <w:rsid w:val="00433EB7"/>
    <w:rsid w:val="00435152"/>
    <w:rsid w:val="004375EB"/>
    <w:rsid w:val="004432BA"/>
    <w:rsid w:val="0044407E"/>
    <w:rsid w:val="004442C0"/>
    <w:rsid w:val="00447BB9"/>
    <w:rsid w:val="00450A77"/>
    <w:rsid w:val="0046031D"/>
    <w:rsid w:val="00461B9F"/>
    <w:rsid w:val="00462C05"/>
    <w:rsid w:val="00473AC9"/>
    <w:rsid w:val="004775EE"/>
    <w:rsid w:val="0048004B"/>
    <w:rsid w:val="004820D9"/>
    <w:rsid w:val="00482760"/>
    <w:rsid w:val="00487F07"/>
    <w:rsid w:val="0049118B"/>
    <w:rsid w:val="004970DC"/>
    <w:rsid w:val="004A7D1F"/>
    <w:rsid w:val="004B6138"/>
    <w:rsid w:val="004C4A4F"/>
    <w:rsid w:val="004C4C6D"/>
    <w:rsid w:val="004D25DC"/>
    <w:rsid w:val="004D72B5"/>
    <w:rsid w:val="004D7E71"/>
    <w:rsid w:val="004E046D"/>
    <w:rsid w:val="004F2FF5"/>
    <w:rsid w:val="00505AAF"/>
    <w:rsid w:val="005100C2"/>
    <w:rsid w:val="00510CB1"/>
    <w:rsid w:val="00511735"/>
    <w:rsid w:val="00532680"/>
    <w:rsid w:val="005340BC"/>
    <w:rsid w:val="00536AB4"/>
    <w:rsid w:val="00536B96"/>
    <w:rsid w:val="00545C6B"/>
    <w:rsid w:val="00547C5E"/>
    <w:rsid w:val="00551237"/>
    <w:rsid w:val="00551B7F"/>
    <w:rsid w:val="00551FF8"/>
    <w:rsid w:val="00554684"/>
    <w:rsid w:val="0055588A"/>
    <w:rsid w:val="00556129"/>
    <w:rsid w:val="00557DA9"/>
    <w:rsid w:val="00561828"/>
    <w:rsid w:val="00562E54"/>
    <w:rsid w:val="0056610F"/>
    <w:rsid w:val="00571CE0"/>
    <w:rsid w:val="00575BCA"/>
    <w:rsid w:val="005B0344"/>
    <w:rsid w:val="005B3000"/>
    <w:rsid w:val="005B3AFF"/>
    <w:rsid w:val="005B4331"/>
    <w:rsid w:val="005B520E"/>
    <w:rsid w:val="005C6DCD"/>
    <w:rsid w:val="005D7FE8"/>
    <w:rsid w:val="005E2800"/>
    <w:rsid w:val="005E495B"/>
    <w:rsid w:val="005F1273"/>
    <w:rsid w:val="005F1D39"/>
    <w:rsid w:val="005F5A52"/>
    <w:rsid w:val="005F6B12"/>
    <w:rsid w:val="00605825"/>
    <w:rsid w:val="00606112"/>
    <w:rsid w:val="00613F62"/>
    <w:rsid w:val="006140D8"/>
    <w:rsid w:val="0061799E"/>
    <w:rsid w:val="00622619"/>
    <w:rsid w:val="006226E9"/>
    <w:rsid w:val="00625209"/>
    <w:rsid w:val="00634F60"/>
    <w:rsid w:val="00641DB0"/>
    <w:rsid w:val="00643BA2"/>
    <w:rsid w:val="00644F06"/>
    <w:rsid w:val="00645D22"/>
    <w:rsid w:val="00651A08"/>
    <w:rsid w:val="00654204"/>
    <w:rsid w:val="0065423E"/>
    <w:rsid w:val="00654D19"/>
    <w:rsid w:val="006605D5"/>
    <w:rsid w:val="00670434"/>
    <w:rsid w:val="006712B6"/>
    <w:rsid w:val="00680798"/>
    <w:rsid w:val="00681CD4"/>
    <w:rsid w:val="006820A3"/>
    <w:rsid w:val="00683727"/>
    <w:rsid w:val="00687DF2"/>
    <w:rsid w:val="006A4A01"/>
    <w:rsid w:val="006B6B66"/>
    <w:rsid w:val="006B6E77"/>
    <w:rsid w:val="006C0BA0"/>
    <w:rsid w:val="006C2BF5"/>
    <w:rsid w:val="006C3868"/>
    <w:rsid w:val="006C3C16"/>
    <w:rsid w:val="006C7CBF"/>
    <w:rsid w:val="006E5E95"/>
    <w:rsid w:val="006F3C5C"/>
    <w:rsid w:val="006F608B"/>
    <w:rsid w:val="006F68F5"/>
    <w:rsid w:val="006F6D3D"/>
    <w:rsid w:val="00702B42"/>
    <w:rsid w:val="007074BB"/>
    <w:rsid w:val="0071055B"/>
    <w:rsid w:val="007111BF"/>
    <w:rsid w:val="00715BEA"/>
    <w:rsid w:val="0072402A"/>
    <w:rsid w:val="00730565"/>
    <w:rsid w:val="0073145E"/>
    <w:rsid w:val="00740C45"/>
    <w:rsid w:val="00740EEA"/>
    <w:rsid w:val="00744989"/>
    <w:rsid w:val="00745E18"/>
    <w:rsid w:val="00753FC9"/>
    <w:rsid w:val="00762003"/>
    <w:rsid w:val="00765DB1"/>
    <w:rsid w:val="007670D8"/>
    <w:rsid w:val="007769BD"/>
    <w:rsid w:val="00777EF3"/>
    <w:rsid w:val="00794804"/>
    <w:rsid w:val="007969A4"/>
    <w:rsid w:val="007A24A0"/>
    <w:rsid w:val="007A7EC4"/>
    <w:rsid w:val="007B33F1"/>
    <w:rsid w:val="007B4800"/>
    <w:rsid w:val="007B6DDA"/>
    <w:rsid w:val="007C0308"/>
    <w:rsid w:val="007C2FF2"/>
    <w:rsid w:val="007C3E6A"/>
    <w:rsid w:val="007C44CF"/>
    <w:rsid w:val="007C7228"/>
    <w:rsid w:val="007D2EF8"/>
    <w:rsid w:val="007D59B6"/>
    <w:rsid w:val="007D6232"/>
    <w:rsid w:val="007D6E3F"/>
    <w:rsid w:val="007E13A9"/>
    <w:rsid w:val="007E2309"/>
    <w:rsid w:val="007E78A6"/>
    <w:rsid w:val="007F0DAA"/>
    <w:rsid w:val="007F1F99"/>
    <w:rsid w:val="007F6540"/>
    <w:rsid w:val="007F6774"/>
    <w:rsid w:val="007F768F"/>
    <w:rsid w:val="008049CF"/>
    <w:rsid w:val="008050D8"/>
    <w:rsid w:val="0080791D"/>
    <w:rsid w:val="008101F5"/>
    <w:rsid w:val="00810BD4"/>
    <w:rsid w:val="00810CAD"/>
    <w:rsid w:val="008131AD"/>
    <w:rsid w:val="00814E49"/>
    <w:rsid w:val="00814E5D"/>
    <w:rsid w:val="00821819"/>
    <w:rsid w:val="00821CEB"/>
    <w:rsid w:val="00825142"/>
    <w:rsid w:val="008317A5"/>
    <w:rsid w:val="0083354F"/>
    <w:rsid w:val="00836367"/>
    <w:rsid w:val="008365D0"/>
    <w:rsid w:val="0083791F"/>
    <w:rsid w:val="008420E1"/>
    <w:rsid w:val="008428E7"/>
    <w:rsid w:val="00855F78"/>
    <w:rsid w:val="008566F9"/>
    <w:rsid w:val="0086221C"/>
    <w:rsid w:val="008709C9"/>
    <w:rsid w:val="00871AF9"/>
    <w:rsid w:val="00872BBF"/>
    <w:rsid w:val="00873603"/>
    <w:rsid w:val="0087652D"/>
    <w:rsid w:val="008954BE"/>
    <w:rsid w:val="008967FF"/>
    <w:rsid w:val="008A1E52"/>
    <w:rsid w:val="008A2C7D"/>
    <w:rsid w:val="008A4384"/>
    <w:rsid w:val="008A4605"/>
    <w:rsid w:val="008B01DC"/>
    <w:rsid w:val="008B0859"/>
    <w:rsid w:val="008B2687"/>
    <w:rsid w:val="008B64C1"/>
    <w:rsid w:val="008B6524"/>
    <w:rsid w:val="008B7360"/>
    <w:rsid w:val="008B7368"/>
    <w:rsid w:val="008C2F56"/>
    <w:rsid w:val="008C4B23"/>
    <w:rsid w:val="008C5AD0"/>
    <w:rsid w:val="008F009D"/>
    <w:rsid w:val="008F0450"/>
    <w:rsid w:val="008F26ED"/>
    <w:rsid w:val="008F6E2C"/>
    <w:rsid w:val="00901384"/>
    <w:rsid w:val="00903B4A"/>
    <w:rsid w:val="0090795D"/>
    <w:rsid w:val="00907B92"/>
    <w:rsid w:val="0091299C"/>
    <w:rsid w:val="0092000A"/>
    <w:rsid w:val="0092540F"/>
    <w:rsid w:val="00926A30"/>
    <w:rsid w:val="009303D9"/>
    <w:rsid w:val="00932AC5"/>
    <w:rsid w:val="00933C64"/>
    <w:rsid w:val="00934A30"/>
    <w:rsid w:val="009412C7"/>
    <w:rsid w:val="00941926"/>
    <w:rsid w:val="009442AF"/>
    <w:rsid w:val="00956069"/>
    <w:rsid w:val="00956DC1"/>
    <w:rsid w:val="00957C1B"/>
    <w:rsid w:val="009608EC"/>
    <w:rsid w:val="00965295"/>
    <w:rsid w:val="00965863"/>
    <w:rsid w:val="00965B11"/>
    <w:rsid w:val="00970254"/>
    <w:rsid w:val="00972203"/>
    <w:rsid w:val="00972A5C"/>
    <w:rsid w:val="00973079"/>
    <w:rsid w:val="00974924"/>
    <w:rsid w:val="00976398"/>
    <w:rsid w:val="009825A8"/>
    <w:rsid w:val="0099090F"/>
    <w:rsid w:val="00990A5F"/>
    <w:rsid w:val="009951F4"/>
    <w:rsid w:val="009A32C1"/>
    <w:rsid w:val="009A3B65"/>
    <w:rsid w:val="009A63D4"/>
    <w:rsid w:val="009C6F07"/>
    <w:rsid w:val="009D2C2C"/>
    <w:rsid w:val="009F06BE"/>
    <w:rsid w:val="009F1D79"/>
    <w:rsid w:val="009F4FF4"/>
    <w:rsid w:val="00A059B3"/>
    <w:rsid w:val="00A203E0"/>
    <w:rsid w:val="00A2265F"/>
    <w:rsid w:val="00A26F9E"/>
    <w:rsid w:val="00A34015"/>
    <w:rsid w:val="00A3625F"/>
    <w:rsid w:val="00A42F41"/>
    <w:rsid w:val="00A5124C"/>
    <w:rsid w:val="00A56EFB"/>
    <w:rsid w:val="00A8181B"/>
    <w:rsid w:val="00A937A1"/>
    <w:rsid w:val="00AA2C99"/>
    <w:rsid w:val="00AA6223"/>
    <w:rsid w:val="00AA7857"/>
    <w:rsid w:val="00AB0F9F"/>
    <w:rsid w:val="00AB5B5F"/>
    <w:rsid w:val="00AB659A"/>
    <w:rsid w:val="00AB7844"/>
    <w:rsid w:val="00AC5711"/>
    <w:rsid w:val="00AD2F6D"/>
    <w:rsid w:val="00AD389F"/>
    <w:rsid w:val="00AE0425"/>
    <w:rsid w:val="00AE32D3"/>
    <w:rsid w:val="00AE3409"/>
    <w:rsid w:val="00AF122C"/>
    <w:rsid w:val="00AF47A7"/>
    <w:rsid w:val="00AF6456"/>
    <w:rsid w:val="00B01C72"/>
    <w:rsid w:val="00B0413B"/>
    <w:rsid w:val="00B04469"/>
    <w:rsid w:val="00B11A60"/>
    <w:rsid w:val="00B14939"/>
    <w:rsid w:val="00B22613"/>
    <w:rsid w:val="00B265CD"/>
    <w:rsid w:val="00B37E06"/>
    <w:rsid w:val="00B445C5"/>
    <w:rsid w:val="00B44A76"/>
    <w:rsid w:val="00B476B2"/>
    <w:rsid w:val="00B5022F"/>
    <w:rsid w:val="00B55CD1"/>
    <w:rsid w:val="00B570B5"/>
    <w:rsid w:val="00B66F45"/>
    <w:rsid w:val="00B7239A"/>
    <w:rsid w:val="00B75B68"/>
    <w:rsid w:val="00B76338"/>
    <w:rsid w:val="00B768D1"/>
    <w:rsid w:val="00B8517C"/>
    <w:rsid w:val="00B85572"/>
    <w:rsid w:val="00B90D32"/>
    <w:rsid w:val="00B90E8F"/>
    <w:rsid w:val="00B9361A"/>
    <w:rsid w:val="00BA0CAF"/>
    <w:rsid w:val="00BA1025"/>
    <w:rsid w:val="00BA61CC"/>
    <w:rsid w:val="00BB0E95"/>
    <w:rsid w:val="00BB424F"/>
    <w:rsid w:val="00BB553F"/>
    <w:rsid w:val="00BC3420"/>
    <w:rsid w:val="00BC719A"/>
    <w:rsid w:val="00BD670B"/>
    <w:rsid w:val="00BE7D3C"/>
    <w:rsid w:val="00BF1F5E"/>
    <w:rsid w:val="00BF297F"/>
    <w:rsid w:val="00BF5FF6"/>
    <w:rsid w:val="00C015DE"/>
    <w:rsid w:val="00C01828"/>
    <w:rsid w:val="00C0207F"/>
    <w:rsid w:val="00C02C3C"/>
    <w:rsid w:val="00C04518"/>
    <w:rsid w:val="00C1194B"/>
    <w:rsid w:val="00C13C0B"/>
    <w:rsid w:val="00C159E2"/>
    <w:rsid w:val="00C16117"/>
    <w:rsid w:val="00C224A3"/>
    <w:rsid w:val="00C27CB3"/>
    <w:rsid w:val="00C3075A"/>
    <w:rsid w:val="00C310A2"/>
    <w:rsid w:val="00C341FB"/>
    <w:rsid w:val="00C35BB8"/>
    <w:rsid w:val="00C42496"/>
    <w:rsid w:val="00C44A14"/>
    <w:rsid w:val="00C457F3"/>
    <w:rsid w:val="00C47B67"/>
    <w:rsid w:val="00C56705"/>
    <w:rsid w:val="00C622ED"/>
    <w:rsid w:val="00C654B3"/>
    <w:rsid w:val="00C70A69"/>
    <w:rsid w:val="00C839E7"/>
    <w:rsid w:val="00C852A0"/>
    <w:rsid w:val="00C90F0B"/>
    <w:rsid w:val="00C919A4"/>
    <w:rsid w:val="00CA4392"/>
    <w:rsid w:val="00CA4DA6"/>
    <w:rsid w:val="00CA5661"/>
    <w:rsid w:val="00CB0879"/>
    <w:rsid w:val="00CB28BB"/>
    <w:rsid w:val="00CB403B"/>
    <w:rsid w:val="00CB7482"/>
    <w:rsid w:val="00CC393F"/>
    <w:rsid w:val="00CC7806"/>
    <w:rsid w:val="00CD67B1"/>
    <w:rsid w:val="00CE1D80"/>
    <w:rsid w:val="00CE33D1"/>
    <w:rsid w:val="00CE46C1"/>
    <w:rsid w:val="00CE7174"/>
    <w:rsid w:val="00CF52B5"/>
    <w:rsid w:val="00CF7D30"/>
    <w:rsid w:val="00D04EAF"/>
    <w:rsid w:val="00D1361D"/>
    <w:rsid w:val="00D148BD"/>
    <w:rsid w:val="00D1529A"/>
    <w:rsid w:val="00D1700A"/>
    <w:rsid w:val="00D20A1E"/>
    <w:rsid w:val="00D2176E"/>
    <w:rsid w:val="00D25161"/>
    <w:rsid w:val="00D2758C"/>
    <w:rsid w:val="00D33718"/>
    <w:rsid w:val="00D33EF2"/>
    <w:rsid w:val="00D4028E"/>
    <w:rsid w:val="00D461E2"/>
    <w:rsid w:val="00D50792"/>
    <w:rsid w:val="00D50B34"/>
    <w:rsid w:val="00D55CA6"/>
    <w:rsid w:val="00D55F8D"/>
    <w:rsid w:val="00D56404"/>
    <w:rsid w:val="00D632BE"/>
    <w:rsid w:val="00D70F1D"/>
    <w:rsid w:val="00D72D06"/>
    <w:rsid w:val="00D7522C"/>
    <w:rsid w:val="00D7536F"/>
    <w:rsid w:val="00D76668"/>
    <w:rsid w:val="00D80969"/>
    <w:rsid w:val="00D8156E"/>
    <w:rsid w:val="00D85CFF"/>
    <w:rsid w:val="00D9098B"/>
    <w:rsid w:val="00D917EB"/>
    <w:rsid w:val="00D97785"/>
    <w:rsid w:val="00DA12E0"/>
    <w:rsid w:val="00DA2802"/>
    <w:rsid w:val="00DA4878"/>
    <w:rsid w:val="00DB00B5"/>
    <w:rsid w:val="00DB19CF"/>
    <w:rsid w:val="00DB39E2"/>
    <w:rsid w:val="00DB5A18"/>
    <w:rsid w:val="00DC0A76"/>
    <w:rsid w:val="00DC4B70"/>
    <w:rsid w:val="00DD156C"/>
    <w:rsid w:val="00DE41F6"/>
    <w:rsid w:val="00DF07BA"/>
    <w:rsid w:val="00DF287C"/>
    <w:rsid w:val="00E03993"/>
    <w:rsid w:val="00E07383"/>
    <w:rsid w:val="00E10D00"/>
    <w:rsid w:val="00E165BC"/>
    <w:rsid w:val="00E20111"/>
    <w:rsid w:val="00E24822"/>
    <w:rsid w:val="00E33505"/>
    <w:rsid w:val="00E43AED"/>
    <w:rsid w:val="00E4626C"/>
    <w:rsid w:val="00E52726"/>
    <w:rsid w:val="00E5485B"/>
    <w:rsid w:val="00E61E12"/>
    <w:rsid w:val="00E678E9"/>
    <w:rsid w:val="00E7596C"/>
    <w:rsid w:val="00E80708"/>
    <w:rsid w:val="00E878F2"/>
    <w:rsid w:val="00E87BAC"/>
    <w:rsid w:val="00EC7486"/>
    <w:rsid w:val="00EC7895"/>
    <w:rsid w:val="00ED0149"/>
    <w:rsid w:val="00EE11F1"/>
    <w:rsid w:val="00EE37C8"/>
    <w:rsid w:val="00EE4ABD"/>
    <w:rsid w:val="00EE5B36"/>
    <w:rsid w:val="00EF7DE3"/>
    <w:rsid w:val="00F03103"/>
    <w:rsid w:val="00F0670D"/>
    <w:rsid w:val="00F06DCB"/>
    <w:rsid w:val="00F07375"/>
    <w:rsid w:val="00F07BAB"/>
    <w:rsid w:val="00F12A2B"/>
    <w:rsid w:val="00F23303"/>
    <w:rsid w:val="00F26124"/>
    <w:rsid w:val="00F271DE"/>
    <w:rsid w:val="00F30003"/>
    <w:rsid w:val="00F307E6"/>
    <w:rsid w:val="00F37A3A"/>
    <w:rsid w:val="00F44B9E"/>
    <w:rsid w:val="00F60A91"/>
    <w:rsid w:val="00F627DA"/>
    <w:rsid w:val="00F64F8C"/>
    <w:rsid w:val="00F7288F"/>
    <w:rsid w:val="00F72CD4"/>
    <w:rsid w:val="00F758F7"/>
    <w:rsid w:val="00F818B3"/>
    <w:rsid w:val="00F8348B"/>
    <w:rsid w:val="00F847A6"/>
    <w:rsid w:val="00F9441B"/>
    <w:rsid w:val="00F94FBE"/>
    <w:rsid w:val="00FA1F0B"/>
    <w:rsid w:val="00FA4C32"/>
    <w:rsid w:val="00FA516B"/>
    <w:rsid w:val="00FB4896"/>
    <w:rsid w:val="00FC1C66"/>
    <w:rsid w:val="00FC2256"/>
    <w:rsid w:val="00FC2658"/>
    <w:rsid w:val="00FD6423"/>
    <w:rsid w:val="00FD66DD"/>
    <w:rsid w:val="00FE26A3"/>
    <w:rsid w:val="00FE4ACF"/>
    <w:rsid w:val="00FE7114"/>
    <w:rsid w:val="00FF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B5DA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uiPriority w:val="39"/>
    <w:rsid w:val="006B6E77"/>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B6E77"/>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4F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A22ED"/>
    <w:pPr>
      <w:ind w:left="720"/>
      <w:contextualSpacing/>
    </w:pPr>
  </w:style>
  <w:style w:type="character" w:styleId="Hyperlink">
    <w:name w:val="Hyperlink"/>
    <w:basedOn w:val="DefaultParagraphFont"/>
    <w:uiPriority w:val="99"/>
    <w:rsid w:val="00C159E2"/>
    <w:rPr>
      <w:color w:val="0563C1" w:themeColor="hyperlink"/>
      <w:u w:val="single"/>
    </w:rPr>
  </w:style>
  <w:style w:type="character" w:styleId="UnresolvedMention">
    <w:name w:val="Unresolved Mention"/>
    <w:basedOn w:val="DefaultParagraphFont"/>
    <w:uiPriority w:val="99"/>
    <w:semiHidden/>
    <w:unhideWhenUsed/>
    <w:rsid w:val="00C159E2"/>
    <w:rPr>
      <w:color w:val="605E5C"/>
      <w:shd w:val="clear" w:color="auto" w:fill="E1DFDD"/>
    </w:rPr>
  </w:style>
  <w:style w:type="character" w:styleId="SubtleReference">
    <w:name w:val="Subtle Reference"/>
    <w:basedOn w:val="DefaultParagraphFont"/>
    <w:uiPriority w:val="31"/>
    <w:qFormat/>
    <w:rsid w:val="009A3B6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581541">
      <w:bodyDiv w:val="1"/>
      <w:marLeft w:val="0"/>
      <w:marRight w:val="0"/>
      <w:marTop w:val="0"/>
      <w:marBottom w:val="0"/>
      <w:divBdr>
        <w:top w:val="none" w:sz="0" w:space="0" w:color="auto"/>
        <w:left w:val="none" w:sz="0" w:space="0" w:color="auto"/>
        <w:bottom w:val="none" w:sz="0" w:space="0" w:color="auto"/>
        <w:right w:val="none" w:sz="0" w:space="0" w:color="auto"/>
      </w:divBdr>
    </w:div>
    <w:div w:id="655956120">
      <w:bodyDiv w:val="1"/>
      <w:marLeft w:val="0"/>
      <w:marRight w:val="0"/>
      <w:marTop w:val="0"/>
      <w:marBottom w:val="0"/>
      <w:divBdr>
        <w:top w:val="none" w:sz="0" w:space="0" w:color="auto"/>
        <w:left w:val="none" w:sz="0" w:space="0" w:color="auto"/>
        <w:bottom w:val="none" w:sz="0" w:space="0" w:color="auto"/>
        <w:right w:val="none" w:sz="0" w:space="0" w:color="auto"/>
      </w:divBdr>
    </w:div>
    <w:div w:id="11147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016/j.techfore.2024.123250"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www.kaggle.com/datasets/shilongzhuang/telecom-customer-churn-by-maven-analytic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16/j.eswa.2010.07.13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093/bib/bbac4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s0957-4174(02)00030-1"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doi.org/10.1093/qje/qjaa0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109/access.2019.2914999" TargetMode="External"/><Relationship Id="rId27" Type="http://schemas.openxmlformats.org/officeDocument/2006/relationships/footer" Target="foot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1158902_@live.tees.ac.u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B1158902_@live.tees.ac.u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B1158902_@live.tees.ac.uk"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B1158902_@live.tees.ac.uk"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B1158902_@live.te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7A7E03-E157-4A56-A1CE-B78A56CE2619}">
  <ds:schemaRefs>
    <ds:schemaRef ds:uri="http://schemas.openxmlformats.org/officeDocument/2006/bibliography"/>
  </ds:schemaRefs>
</ds:datastoreItem>
</file>

<file path=docMetadata/LabelInfo.xml><?xml version="1.0" encoding="utf-8"?>
<clbl:labelList xmlns:clbl="http://schemas.microsoft.com/office/2020/mipLabelMetadata">
  <clbl:label id="{43d2115b-a55e-46b6-9df7-b03388ecfc60}" enabled="0" method="" siteId="{43d2115b-a55e-46b6-9df7-b03388ecfc6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ADETOLA, ADEBAYO (Student)</cp:lastModifiedBy>
  <cp:revision>2</cp:revision>
  <cp:lastPrinted>2024-05-06T12:38:00Z</cp:lastPrinted>
  <dcterms:created xsi:type="dcterms:W3CDTF">2024-05-10T14:41:00Z</dcterms:created>
  <dcterms:modified xsi:type="dcterms:W3CDTF">2024-05-10T14:41:00Z</dcterms:modified>
</cp:coreProperties>
</file>