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 Agentic Actuarial Testbed</w:t>
      </w:r>
    </w:p>
    <w:p>
      <w:pPr>
        <w:pStyle w:val="Heading1"/>
      </w:pPr>
      <w:r>
        <w:t>S1. Reproducibility protocol</w:t>
      </w:r>
    </w:p>
    <w:p>
      <w:r>
        <w:t>Install Python 3.11 or newer, install the package and test dependencies, and run `aat-sim all` with the configuration file `configs/scaled.yaml`. The seed and all resolved parameters are written to the output directory. The full profile is computationally larger and is intended for expanded replication.</w:t>
      </w:r>
    </w:p>
    <w:p>
      <w:pPr>
        <w:pStyle w:val="Heading1"/>
      </w:pPr>
      <w:r>
        <w:t>S2. Synthetic-world design</w:t>
      </w:r>
    </w:p>
    <w:p>
      <w:r>
        <w:t>Worlds contain policy exposure, premium, claim ultimate, incremental paid development, report and payment dates, currency, peril, and ambient duplicates. Ground truth is retained before observation defects. No synthetic record represents a real policyholder.</w:t>
      </w:r>
    </w:p>
    <w:p>
      <w:pPr>
        <w:pStyle w:val="Heading1"/>
      </w:pPr>
      <w:r>
        <w:t>S3. Pairing and replay</w:t>
      </w:r>
    </w:p>
    <w:p>
      <w:r>
        <w:t>Every injected-fault trajectory is matched to a same-world, same-seed, same-topology no-fault trajectory. A detected fault restores the last clean state and re-executes downstream deterministic stages. Event and snapshot identifiers preserve this relationship.</w:t>
      </w:r>
    </w:p>
    <w:p>
      <w:pPr>
        <w:pStyle w:val="Heading1"/>
      </w:pPr>
      <w:r>
        <w:t>S4. Capital parameters</w:t>
      </w:r>
    </w:p>
    <w:p>
      <w:r>
        <w:t>The base screening results use 10,000 annual simulations per topology, configured Poisson event frequencies, a 5% reserve-movement-to-economic-loss conversion, and GBP 5,000 remediation cost. The robustness grid uses 3,000 annual simulations for every combination of detection scale (0.6–1.4), occurrence multiplier (0.5, 1, 2), conversion ratio (1%, 5%, 10%), and remediation cost (GBP 1,000, GBP 5,000, GBP 10,000), with 250 Monte Carlo VaR resamples.</w:t>
      </w:r>
    </w:p>
    <w:p>
      <w:pPr>
        <w:pStyle w:val="Heading1"/>
      </w:pPr>
      <w:r>
        <w:t>S5. Validation gates</w:t>
      </w:r>
    </w:p>
    <w:p>
      <w:r>
        <w:t>Completed gates include deterministic world reproduction, six complete finite stage snapshots, visible fault and repair events, Parquet and SQLite persistence, successful aggregation, and 1,024 completed screening runs without hard execution failure.</w:t>
      </w:r>
    </w:p>
    <w:p>
      <w:pPr>
        <w:pStyle w:val="Heading1"/>
      </w:pPr>
      <w:r>
        <w:t>S6. Public-data validation</w:t>
      </w:r>
    </w:p>
    <w:p>
      <w:r>
        <w:t>CLRD2025 is evaluated at a calendar-2007 cutoff against paid loss at development lag 10. Latest paid, Chain Ladder, the Mack-identical Chain Ladder point estimate, and Bornhuetter–Ferguson are compared across six lines. One hundred insurer-cluster resamples per line produce retrospective error intervals. A separate 750-case audit injects five deterministic data faults.</w:t>
      </w:r>
    </w:p>
    <w:p>
      <w:pPr>
        <w:pStyle w:val="Heading1"/>
      </w:pPr>
      <w:r>
        <w:t>S7. Control ablation</w:t>
      </w:r>
    </w:p>
    <w:p>
      <w:r>
        <w:t>Nine runs remove schema/lineage checks, prompt sanitisation, typed-stage validation, replay/recovery, supervisor review, or human checkpoints. Unresolved paired error is the primary outcome so detection without repair is not counted as risk removal.</w:t>
      </w:r>
    </w:p>
    <w:p>
      <w:pPr>
        <w:pStyle w:val="Heading1"/>
      </w:pPr>
      <w:r>
        <w:t>S8. Interpretation limits</w:t>
      </w:r>
    </w:p>
    <w:p>
      <w:r>
        <w:t>The simulator does not contain a live language model and does not estimate production fault frequency, actual human-review effectiveness, firm-specific economic conversion, or cross-firm correlation. CLRD2025 validates reserving and audit mechanics only. The output is suitable for methodological testing and scenario discussion, not a stand-alone regulatory capital estimate.</w:t>
      </w:r>
    </w:p>
    <w:p>
      <w:pPr>
        <w:pStyle w:val="Heading1"/>
      </w:pPr>
      <w:r>
        <w:t>S9. Recommended extension</w:t>
      </w:r>
    </w:p>
    <w:p>
      <w:r>
        <w:t>A publication-scale study should increase public-data bootstrap resamples, expand seeded worlds, vary fault magnitudes and tail thresholds, compare Poisson and contagion frequencies, and run preregistered experiments across multiple open and proprietary agent models using frozen prompts and tool traces.</w:t>
      </w:r>
    </w:p>
    <w:p>
      <w:pPr>
        <w:pStyle w:val="Heading1"/>
      </w:pPr>
      <w:r>
        <w:t>S10. File map</w:t>
      </w:r>
    </w:p>
    <w:p>
      <w:pPr>
        <w:pStyle w:val="ListBullet"/>
      </w:pPr>
      <w:r>
        <w:t>configs/: experiment assumptions and seeds</w:t>
      </w:r>
    </w:p>
    <w:p>
      <w:pPr>
        <w:pStyle w:val="ListBullet"/>
      </w:pPr>
      <w:r>
        <w:t>src/aat/: simulation, robustness, and capital engine</w:t>
      </w:r>
    </w:p>
    <w:p>
      <w:pPr>
        <w:pStyle w:val="ListBullet"/>
      </w:pPr>
      <w:r>
        <w:t>outputs/scaled/: base screening results</w:t>
      </w:r>
    </w:p>
    <w:p>
      <w:pPr>
        <w:pStyle w:val="ListBullet"/>
      </w:pPr>
      <w:r>
        <w:t>outputs/reviewer_revision/: public-data validation, sensitivity, intervals, and ablations</w:t>
      </w:r>
    </w:p>
    <w:p>
      <w:pPr>
        <w:pStyle w:val="ListBullet"/>
      </w:pPr>
      <w:r>
        <w:t>dashboard/: interactive result viewer</w:t>
      </w:r>
    </w:p>
    <w:p>
      <w:pPr>
        <w:pStyle w:val="ListBullet"/>
      </w:pPr>
      <w:r>
        <w:t>tests/: deterministic and end-to-end tests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