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methods</w:t>
      </w:r>
    </w:p>
    <w:p>
      <w:pPr>
        <w:pStyle w:val="Heading1"/>
      </w:pPr>
      <w:r>
        <w:t>Experimental design</w:t>
      </w:r>
    </w:p>
    <w:p>
      <w:r>
        <w:t>The applied study uses 1,024 paired runs over eight known-truth worlds, seven fault classes, six stages and eight topology variants.</w:t>
      </w:r>
    </w:p>
    <w:p>
      <w:pPr>
        <w:pStyle w:val="Heading1"/>
      </w:pPr>
      <w:r>
        <w:t>Public validation</w:t>
      </w:r>
    </w:p>
    <w:p>
      <w:r>
        <w:t>CLRD2025 retrospective validation covers six lines and 772 insurer-line records. The data-quality audit applies 750 deterministic injections.</w:t>
      </w:r>
    </w:p>
    <w:p>
      <w:pPr>
        <w:pStyle w:val="Heading1"/>
      </w:pPr>
      <w:r>
        <w:t>Sensitivity and ablation</w:t>
      </w:r>
    </w:p>
    <w:p>
      <w:r>
        <w:t>Detection is rescaled from 60% to 140%; economic assumptions form 135 combinations; nine ablations remove individual controls or replay.</w:t>
      </w:r>
    </w:p>
    <w:p>
      <w:pPr>
        <w:pStyle w:val="Heading1"/>
      </w:pPr>
      <w:r>
        <w:t>Evidence boundary</w:t>
      </w:r>
    </w:p>
    <w:p>
      <w:r>
        <w:t>The software does not estimate deployed-agent frequency, insurer-specific conversion or regulatory capital.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