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the model runs itself: quantifying error propagation and operational risk capital for agentic artificial intelligence in actuarial workflows</w:t>
      </w:r>
    </w:p>
    <w:p>
      <w:pPr>
        <w:jc w:val="center"/>
      </w:pPr>
      <w:r>
        <w:rPr>
          <w:b/>
        </w:rPr>
        <w:t>Adebayo Adetola</w:t>
      </w:r>
    </w:p>
    <w:p>
      <w:pPr>
        <w:jc w:val="center"/>
      </w:pPr>
      <w:r>
        <w:t>Independent Researcher, United Kingdom</w:t>
      </w:r>
    </w:p>
    <w:p>
      <w:pPr>
        <w:jc w:val="center"/>
      </w:pPr>
      <w:r>
        <w:t>Correspondence: adebayoadetola96@yahoo.com</w:t>
      </w:r>
    </w:p>
    <w:p>
      <w:pPr>
        <w:pStyle w:val="Heading1"/>
      </w:pPr>
      <w:r>
        <w:t>Abstract</w:t>
      </w:r>
    </w:p>
    <w:p>
      <w:r>
        <w:t>Agentic artificial intelligence can turn an actuarial task into a chain of data, modelling, selection, and reporting decisions. Governance frameworks identify risks but provide little machinery for translating a faulty trajectory into a reproducible loss distribution. This study introduces the Agentic Actuarial Testbed (AAT), a known-truth insurance simulator with seven fault classes, alternative oversight architectures, paired counterfactual measurement, trajectory retention, and frequency-severity aggregation. A screening experiment comprised 1,024 runs across eight synthetic insurer worlds and eight workflow topologies. Across all runs, per-stage validation reduced the silent-outcome rate from 82.0% in an unreviewed linear chain to 7.8%; a supervisor produced 9.4%. Among injected-fault runs, the respective rates were 81.7%, 2.5%, and 4.2%. Under assumed frequencies, a 5% economic conversion factor and a severe unit-corruption stress, annual VaR at 99.5% fell from GBP 2.462 billion for the linear topology to GBP 0.103 million for the validator. Human checkpoints showed a non-linear dose response: silent failure was 88.3%, 26.7%, 18.3%, and 16.7% with zero, one, two, and three checkpoints. These monetary values are scenario-conditioned outputs, not estimates of insurer capital. The contribution is a reproducible bridge from agent trajectories to operational-risk scenarios and control placement.</w:t>
      </w:r>
    </w:p>
    <w:p>
      <w:r/>
      <w:r>
        <w:rPr>
          <w:b/>
        </w:rPr>
        <w:t>Keywords:</w:t>
      </w:r>
      <w:r>
        <w:t xml:space="preserve"> actuarial artificial intelligence; agentic systems; error propagation; operational risk; claims reserving; model risk</w:t>
      </w:r>
    </w:p>
    <w:p>
      <w:pPr>
        <w:pStyle w:val="Heading1"/>
      </w:pPr>
      <w:r>
        <w:t>1. Introduction</w:t>
      </w:r>
    </w:p>
    <w:p>
      <w:r>
        <w:t>Claims reserving is a useful stress environment for agentic artificial intelligence (AI). It combines data engineering, currency and unit handling, actuarial judgement, model selection, reconciliation, and communication. Classical reserving research makes uncertainty explicit and auditable (Mack, 1993; England &amp; Verrall, 2002; Wüthrich &amp; Merz, 2008), while newer machine-learning approaches increase automation and modelling flexibility (Kuo, 2019; Gabrielli et al., 2020; Feng &amp; Li, 2024). An agentic implementation adds a different layer of risk: the system can select tools, pass state between components, respond to untrusted context, and produce a plausible report after an upstream failure.</w:t>
      </w:r>
    </w:p>
    <w:p>
      <w:r>
        <w:t>Current AI governance frameworks rightly emphasize measurement, traceability, oversight, and lifecycle controls (NIST, 2023, 2024; ISO, 2023; European Union, 2024). Financial-sector frameworks similarly require firms to understand model limitations, operational dependencies, and severe but plausible scenarios (Basel Committee on Banking Supervision, 2021; EIOPA, 2015; Prudential Regulation Authority, 2023). These frameworks do not, however, prescribe an empirical mapping from a faulty multi-step agent trajectory to an actuarial misstatement, a detected remediation event, an annual loss distribution, or a tail-capital scenario.</w:t>
      </w:r>
    </w:p>
    <w:p>
      <w:r>
        <w:t>The agent literature supplies increasingly realistic tests of tool use, planning, recovery, and adversarial interaction (Yao et al., 2023; Qin et al., 2024; Liu et al., 2024; Debenedetti et al., 2024; Yao et al., 2024). Benchmark scores are not operational loss frequencies. They rarely preserve an actuarial known truth, pair a faulty trajectory with a same-world counterfactual, or aggregate residual effects into a transparent capital scenario. Conversely, operational-risk models aggregate frequency and severity but typically start after loss events have already been defined (Moscadelli, 2004; Böcker &amp; Klüppelberg, 2005; McNeil et al., 2015).</w:t>
      </w:r>
    </w:p>
    <w:p>
      <w:r>
        <w:t>This paper asks three questions. First, how does a controlled error introduced at one stage of an agentic actuarial workflow change downstream states and the final reserve? Second, how do alternative control architectures change detection, silent failure, and tail loss? Third, how sensitive is a portfolio-level result to shared-model dependence? The study contributes: (1) a fault taxonomy tailored to multi-stage actuarial work; (2) a seeded known-truth environment; (3) paired stage-level propagation measures; (4) replayable control responses; and (5) compound frequency-severity and systemic-dependence stresses with explicit evidential limits.</w:t>
      </w:r>
    </w:p>
    <w:p>
      <w:r>
        <w:t>The result is not a claim that agentic systems require a particular amount of regulatory capital. It is a measurement design that an insurer can calibrate with its own workflow, incident evidence, control performance, exposure conversion, and scenario frequencies. This distinction between a reproducible method and a universal parameter estimate is central to the study.</w:t>
      </w:r>
    </w:p>
    <w:p>
      <w:pPr>
        <w:pStyle w:val="Heading1"/>
      </w:pPr>
      <w:r>
        <w:t>2. Related work and research gap</w:t>
      </w:r>
    </w:p>
    <w:p>
      <w:pPr>
        <w:pStyle w:val="Heading2"/>
      </w:pPr>
      <w:r>
        <w:t>2.1 Actuarial automation and reserving</w:t>
      </w:r>
    </w:p>
    <w:p>
      <w:r>
        <w:t>Traditional chain-ladder methods provide a transparent baseline and a well-developed treatment of prediction error (Mack, 1993; England &amp; Verrall, 2002). Stochastic reserving methods formalize uncertainty around outstanding claims (Wüthrich &amp; Merz, 2008). Neural-network reserving has since demonstrated how classical models may be embedded in flexible architectures and how heterogeneous information may be used in automated forecasts (Gabrielli et al., 2020; Kuo, 2019; Feng &amp; Li, 2024). These contributions concern predictive models. The present problem is wider: an agentic workflow can alter the dataset, invoke the wrong tool arguments, omit a hand-off field, apply stale context, or write an unsupported narrative even when the reserving algorithm itself is sound.</w:t>
      </w:r>
    </w:p>
    <w:p>
      <w:pPr>
        <w:pStyle w:val="Heading2"/>
      </w:pPr>
      <w:r>
        <w:t>2.2 Agentic systems and safety</w:t>
      </w:r>
    </w:p>
    <w:p>
      <w:r>
        <w:t>ReAct integrates reasoning and acting with external tools (Yao et al., 2023); ToolLLM and AgentBench study tool-use and multi-environment capability (Qin et al., 2024; Liu et al., 2024). AgentDojo and tau-bench expose agents to realistic security and user-interaction conditions (Debenedetti et al., 2024; Yao et al., 2024). Reflection and multi-agent orchestration can improve task completion but add state, communication, and control surfaces (Shinn et al., 2023; Wu et al., 2023; Park et al., 2023; Xi et al., 2023). Safety research has long warned that reward specification, distribution shift, unsafe exploration, and scalable oversight can produce unexpected behaviour (Amodei et al., 2016).</w:t>
      </w:r>
    </w:p>
    <w:p>
      <w:r>
        <w:t>System safety also depends on data and process quality. Data cascades describe how upstream problems compound through downstream work (Sambasivan et al., 2021), and hidden technical debt explains why apparently local machine-learning changes create wider system liabilities (Sculley et al., 2015). Documentation proposals such as model cards and datasheets improve transparency (Mitchell et al., 2019; Gebru et al., 2021), while algorithmic auditing seeks to close the gap between principles and verifiable evidence (Raji et al., 2020). The AAT operationalizes these ideas as typed states, fault events, validation evidence, and deterministic replay.</w:t>
      </w:r>
    </w:p>
    <w:p>
      <w:pPr>
        <w:pStyle w:val="Heading2"/>
      </w:pPr>
      <w:r>
        <w:t>2.3 Operational risk and dependence</w:t>
      </w:r>
    </w:p>
    <w:p>
      <w:r>
        <w:t>Loss-distribution approaches combine event frequency and severity; heavy-tail modelling and extreme-value methods are especially important for high quantiles (Embrechts et al., 1997; McNeil et al., 2015). Operational-risk data show strong heterogeneity and limited tail information (Moscadelli, 2004), while closed-form approximations clarify the sensitivity of capital to frequency and severity assumptions (Böcker &amp; Klüppelberg, 2005). Dependence can materially change aggregate risk and diversification (Embrechts et al., 2002). The AAT does not estimate these quantities from public benchmark data. It uses them as visible scenario levers.</w:t>
      </w:r>
    </w:p>
    <w:p>
      <w:r>
        <w:t>The gap is therefore a missing bridge between micro-level agent failures and macro-level actuarial risk measures. Existing agent benchmarks do not provide insurer-specific economic mappings; existing capital models do not identify how a loss arose from a sequence of agent actions. The proposed method joins the two without obscuring the assumptions required at the boundary.</w:t>
      </w:r>
    </w:p>
    <w:p>
      <w:pPr>
        <w:pStyle w:val="Heading1"/>
      </w:pPr>
      <w:r>
        <w:t>3. Methods</w:t>
      </w:r>
    </w:p>
    <w:p>
      <w:pPr>
        <w:pStyle w:val="Heading2"/>
      </w:pPr>
      <w:r>
        <w:t>3.1 Experimental system</w:t>
      </w:r>
    </w:p>
    <w:p>
      <w:r>
        <w:t>The AAT is a seeded, typed state machine. Each synthetic world contains policy-year exposure, premiums, claim-level ultimate losses, incremental payments, reporting and payment dates, peril labels, currencies, and ambient data defects. The claim-level ultimate generated before observation noise is retained as known truth. Synthetic data avoid confidentiality restrictions and make fault effects identifiable, although they cannot establish external frequency or severity.</w:t>
      </w:r>
    </w:p>
    <w:p>
      <w:r>
        <w:t>The six stages are ingestion, reconciliation, segmentation, reserving model, actuarial selection, and narrative. The deterministic tools perform arithmetic and reserving transformations; topology-specific control rules determine whether an active fault is detected and repaired. Every stage writes a snapshot and an event record containing identifiers, lineage, control actions, and financial outputs.</w:t>
      </w:r>
    </w:p>
    <w:p>
      <w:pPr>
        <w:pStyle w:val="Heading2"/>
      </w:pPr>
      <w:r>
        <w:t>3.2 Fault taxonomy</w:t>
      </w:r>
    </w:p>
    <w:p>
      <w:r>
        <w:t>Seven fault classes were defined from the intersection of actuarial workflow risks and agent-system failure surfaces: F1 data or unit corruption; F2 semantic mapping error; F3 incorrect tool arguments; F4 reasoning or judgement error; F5 hand-off loss; F6 stale or conflicting context; and F7 indirect prompt injection. One controlled fault is injected per treatment run. The taxonomy separates the mechanism that creates an error from its final monetary effect, allowing the same measurement design to be reused with different implementations.</w:t>
      </w:r>
    </w:p>
    <w:p>
      <w:r>
        <w:t>The F1 scenario includes a deliberately severe multiplication-by-1,000 unit fault. This is a stress test rather than an estimate of normal processing error. F7 represents untrusted instructions arriving through data or retrieved content. The latter reflects a recognized security concern for tool-using language-model applications (OWASP Foundation, 2025; Debenedetti et al., 2024).</w:t>
      </w:r>
    </w:p>
    <w:p>
      <w:pPr>
        <w:pStyle w:val="Heading2"/>
      </w:pPr>
      <w:r>
        <w:t>3.3 Control topologies</w:t>
      </w:r>
    </w:p>
    <w:p>
      <w:r>
        <w:t>Eight topology variants were evaluated: an unreviewed linear chain (T1); a typed validator after each stage (T2); a supervisor capable of checking and replaying the workflow (T3); a critic concentrated around model and selection decisions (T4); and human-checkpoint variants with zero, one, two, or three checkpoints (T5-K0 to T5-K3). Detection probabilities and costs are configuration parameters, not empirical claims. When a control detects an active fault, the system restores the last clean state and deterministically replays later stages.</w:t>
      </w:r>
    </w:p>
    <w:p>
      <w:r>
        <w:t>This architecture tests a practical proposition: detection is useful only if provenance and clean state make recovery possible. Logging alone may reveal an issue but does not undo contaminated calculations. Replay also reduces ambiguity about which downstream artifacts must be regenerated.</w:t>
      </w:r>
    </w:p>
    <w:p>
      <w:pPr>
        <w:pStyle w:val="Heading2"/>
      </w:pPr>
      <w:r>
        <w:t>3.4 Design and estimands</w:t>
      </w:r>
    </w:p>
    <w:p>
      <w:r>
        <w:t>The screening experiment used eight seeded worlds and deterministic fractional selection that retained every fault type, stage, and topology level. It produced 1,024 runs, 6,144 stage snapshots, and 16,530 auditable events. No run ended in a hard execution failure. Each fault-injected run was paired with a no-injected-fault run using the same world, seed, and topology.</w:t>
      </w:r>
    </w:p>
    <w:p>
      <w:r>
        <w:t>Let Y_f denote the final reserve under an injected fault, Y_0 its paired no-fault result, and U the known ultimate. The paired final effect is (Y_f - Y_0)/U. A silent failure is an undetected, non-exception result for which absolute total error relative to U exceeds 1%. Detection records whether and where a control identifies and repairs the active fault. Stage amplification is the downstream deviation divided by the measurable deviation at the injection snapshot. Amplification is marked undefined when the fault is latent at injection or repaired before a measurable snapshot; only 9.9% of fault runs have a measurable injection signal under this strict definition.</w:t>
      </w:r>
    </w:p>
    <w:p>
      <w:r>
        <w:t>The use of paired controls prevents ordinary stochastic reserving variation from being attributed to the injected fault. It also makes the experiment reproducible at the level of individual trajectories rather than only aggregate rates.</w:t>
      </w:r>
    </w:p>
    <w:p>
      <w:pPr>
        <w:pStyle w:val="Heading2"/>
      </w:pPr>
      <w:r>
        <w:t>3.5 Loss aggregation and capital scenarios</w:t>
      </w:r>
    </w:p>
    <w:p>
      <w:r>
        <w:t>For each topology and fault class, paired reserve movement is converted to economic severity by an explicit loss-conversion ratio plus a remediation amount. The demonstration uses 5% and GBP 5,000, respectively. The body distribution is resampled empirically. A generalized Pareto tail is fitted only when at least 20 threshold excesses are available; otherwise empirical resampling is retained.</w:t>
      </w:r>
    </w:p>
    <w:p>
      <w:r>
        <w:t>Annual event counts follow a Poisson distribution with configured scenario frequencies. Aggregate annual loss is L = sum from i=1 to N of X_i plus annual control cost, where N is the event count and X_i is economic severity. Ten thousand annual simulations are used per topology. The outputs include mean loss, Value-at-Risk (VaR) at 99% and 99.5%, and Expected Shortfall (ES) at 99.5%. These measures follow standard quantitative-risk definitions (McNeil et al., 2015).</w:t>
      </w:r>
    </w:p>
    <w:p>
      <w:r>
        <w:t>Cross-firm stress uses a Gaussian copula for 20 firms at prescribed correlations of 0, 0.3, 0.6, and 0.9, with 5,000 simulations per point. Copula correlation is a sensitivity parameter, not an estimate of shared-provider or sector dependence (Embrechts et al., 2002).</w:t>
      </w:r>
    </w:p>
    <w:p>
      <w:pPr>
        <w:pStyle w:val="Heading2"/>
      </w:pPr>
      <w:r>
        <w:t>3.6 Reproducibility and validation</w:t>
      </w:r>
    </w:p>
    <w:p>
      <w:r>
        <w:t>Validation gates test deterministic world reproduction, six finite stage snapshots, visible fault and repair events, Parquet and relational persistence, and successful capital aggregation. Configuration, seeds, paired outputs, tables, figures, and source code are versioned. The public repository is https://github.com/tollyboy88/agentic-actuarial-risk-testbed. No restricted insurer data are redistributed.</w:t>
      </w:r>
    </w:p>
    <w:p>
      <w:pPr>
        <w:pStyle w:val="Heading1"/>
      </w:pPr>
      <w:r>
        <w:t>4. Results</w:t>
      </w:r>
    </w:p>
    <w:p>
      <w:pPr>
        <w:pStyle w:val="Heading2"/>
      </w:pPr>
      <w:r>
        <w:t>4.1 Detection and silent failure</w:t>
      </w:r>
    </w:p>
    <w:p>
      <w:r>
        <w:t>Across fault-injected runs, the validator detected 96.7% of faults, compared with 9.2% for the unreviewed linear topology. Fault-only silent-failure rates were 81.7% for linear, 2.5% for validator, 4.2% for supervisor, and 17.5% for critic. When the eight no-injected-fault baselines per topology were also counted, total silent-outcome rates were 82.0%, 7.8%, 9.4%, and 21.9%, respectively. The difference shows that controls can detect injected faults without eliminating ordinary model error or ambient data defects. The critic's concentration around model and selection decisions left more exposure to data, hand-off, context, and adversarial failures than the per-stage validator.</w:t>
      </w:r>
    </w:p>
    <w:p>
      <w:r>
        <w:t>Detection differed materially by fault class. The validator detected all semantic, hand-off, context, and adversarial faults in the screening design, 96.9% of tool faults, 91.7% of data faults, and 87.5% of reasoning faults. Small cell counts mean these are screening proportions, not stable population estimates. The result nevertheless shows how a fault-by-control matrix identifies residual weaknesses that a single average score conceals.</w:t>
      </w:r>
    </w:p>
    <w:p>
      <w:r>
        <w:t>Human checkpoints produced a non-linear response. Silent failure declined from 88.3% with no checkpoints to 26.7%, 18.3%, and 16.7% with one, two, and three checkpoints. The marginal improvement from the second and third checkpoints was smaller than the first. Placement and fault coverage therefore matter at least as much as checkpoint count.</w:t>
      </w:r>
    </w:p>
    <w:p>
      <w:pPr>
        <w:pStyle w:val="Heading2"/>
      </w:pPr>
      <w:r>
        <w:t>4.2 Capital scenarios</w:t>
      </w:r>
    </w:p>
    <w:p>
      <w:r>
        <w:t>The unreviewed linear topology produced annual VaR 99.5% of GBP 2.462 billion and ES 99.5% of GBP 2.967 billion. The per-stage validator produced VaR of GBP 102,641 and ES of GBP 111,040; the supervisor produced GBP 116,079 and GBP 125,408; and the critic produced GBP 144,632 and GBP 159,036. Human K1, K2, and K3 produced VaR values of GBP 181,495, GBP 135,687, and GBP 145,756. Human K0 remained extreme at GBP 1.986 billion.</w:t>
      </w:r>
    </w:p>
    <w:p>
      <w:r>
        <w:t>The orders-of-magnitude difference is mainly driven by whether the rare, severe F1 unit stress remains silent. It should not be generalized to expected production savings. The automated validator's annual control cost of GBP 0.65 is likewise a computational scenario assumption, whereas human variants use assumed analyst costs of GBP 1,360 to GBP 4,080. The cost comparison demonstrates the optimization interface but is not a procurement result.</w:t>
      </w:r>
    </w:p>
    <w:p>
      <w:pPr>
        <w:pStyle w:val="Heading2"/>
      </w:pPr>
      <w:r>
        <w:t>4.3 Systemic dependence</w:t>
      </w:r>
    </w:p>
    <w:p>
      <w:r>
        <w:t>The median sector VaR 99.5% across topologies rose from approximately GBP 1.52 million at prescribed dependence zero to GBP 2.06 million at 0.3, GBP 2.47 million at 0.6, and GBP 2.80 million at 0.9. Topology-specific effects were larger for the extreme unreviewed cases. The direction is consistent with reduced diversification under common shocks; the levels remain conditional on the marginal scenarios and the chosen copula.</w:t>
      </w:r>
    </w:p>
    <w:p>
      <w:pPr>
        <w:pStyle w:val="Heading1"/>
      </w:pPr>
      <w:r>
        <w:t>5. Discussion</w:t>
      </w:r>
    </w:p>
    <w:p>
      <w:pPr>
        <w:pStyle w:val="Heading2"/>
      </w:pPr>
      <w:r>
        <w:t>5.1 Main findings</w:t>
      </w:r>
    </w:p>
    <w:p>
      <w:r>
        <w:t>First, control architecture can change the character of a failure from silent financial contamination to a detected remediation event. In this experiment that conversion dominated the tail. Second, recovery requires more than a detector: typed state, provenance, a clean checkpoint, and deterministic replay form a joint control. Third, controls should be evaluated against heterogeneous fault mechanisms. A critic that performs well on modelling judgements can still miss unit, context, and hand-off defects.</w:t>
      </w:r>
    </w:p>
    <w:p>
      <w:r>
        <w:t>Fourth, capital results are highly sensitive to the boundary between technical error and economic loss. The 5% conversion ratio, remediation amount, event frequency, and unit-fault magnitude are assumptions. Treating them as parameters makes model risk visible and challengeable. Concealing them inside a single score would create false precision.</w:t>
      </w:r>
    </w:p>
    <w:p>
      <w:r>
        <w:t>Finally, shared foundation models, tools, data providers, or orchestration frameworks create plausible common-cause pathways. The dependence stress shows why ORSA-style assessment should consider accumulation even where data do not support a central correlation estimate.</w:t>
      </w:r>
    </w:p>
    <w:p>
      <w:pPr>
        <w:pStyle w:val="Heading2"/>
      </w:pPr>
      <w:r>
        <w:t>5.2 Implications for actuarial practice</w:t>
      </w:r>
    </w:p>
    <w:p>
      <w:r>
        <w:t>The testbed can support four practical activities. A model owner can map the production workflow into typed stages and define known invariants. Independent validation can inject faults and compare the resulting trajectory with a clean replay. Operational-risk teams can translate observed or elicited residual events into transparent frequency-severity scenarios. Governance committees can compare control packages using both residual tail risk and implementation cost.</w:t>
      </w:r>
    </w:p>
    <w:p>
      <w:r>
        <w:t>The method also suggests minimum evidence for production: versioned prompts and tools, input and output lineage, stage-level validation results, recoverable clean state, replay tests, incident taxonomy, and periodic scenario challenge. These controls complement rather than replace professional actuarial judgement. Human approval is most valuable when its location and decision rights are specified, not when it is represented as an undifferentiated probability of detection.</w:t>
      </w:r>
    </w:p>
    <w:p>
      <w:pPr>
        <w:pStyle w:val="Heading2"/>
      </w:pPr>
      <w:r>
        <w:t>5.3 Governance interpretation</w:t>
      </w:r>
    </w:p>
    <w:p>
      <w:r>
        <w:t>NIST's measurement and risk-management functions, model-risk principles, and ORSA guidance all emphasize documented assumptions and ongoing monitoring (NIST, 2023; Prudential Regulation Authority, 2023; EIOPA, 2015). The AAT produces artifacts that can be attached to those processes: a resolved configuration, an event ledger, paired counterfactuals, control evidence, and sensitivity outputs. It is an internal experiment, not a substitute for a firm's approved capital model or statutory reserve opinion.</w:t>
      </w:r>
    </w:p>
    <w:p>
      <w:pPr>
        <w:pStyle w:val="Heading1"/>
      </w:pPr>
      <w:r>
        <w:t>6. Limitations and future work</w:t>
      </w:r>
    </w:p>
    <w:p>
      <w:r>
        <w:t>The simulator uses synthetic portfolios and probabilistic control behaviour rather than live language models. This improves reproducibility and mechanism isolation but omits model-version variation, latency, prompt sensitivity, and emergent tool-use behaviour. Public agent benchmarks inform failure mechanisms, not insurer incident rates. The eight-world screening design also yields small fault-stage cells and does not support narrow confidence statements.</w:t>
      </w:r>
    </w:p>
    <w:p>
      <w:r>
        <w:t>The capital module assumes Poisson frequency and a fixed economic conversion. Future work should compare negative-binomial and contagion processes, vary tail thresholds, bootstrap by world, and report a full sensitivity surface for frequency, conversion, remediation cost, and fault magnitude. Alternative copulas and explicit common shocks should replace the Gaussian stress where evidence permits.</w:t>
      </w:r>
    </w:p>
    <w:p>
      <w:r>
        <w:t>External calibration requires de-identified production evidence: incident and near-miss logs, review outcomes, workflow volumes, control placement, correction costs, and business-impact measures. If such data cannot be obtained without restriction, the study should retain scenario ranges and drop claims about empirical capital adequacy, net human-error offsets, or industry frequency. A multi-firm study could estimate hierarchical detection curves while preserving confidentiality through federated summaries.</w:t>
      </w:r>
    </w:p>
    <w:p>
      <w:r>
        <w:t>The current prototype uses a reserving workflow. Extensions should test pricing, experience studies, capital reporting, and regulatory submissions. Live-agent experiments should be repeated across model versions and include adversarial documents, access-control violations, and tool failures. Formal value-of-information analysis could then optimize checkpoint placement under uncertainty.</w:t>
      </w:r>
    </w:p>
    <w:p>
      <w:pPr>
        <w:pStyle w:val="Heading1"/>
      </w:pPr>
      <w:r>
        <w:t>7. Conclusion</w:t>
      </w:r>
    </w:p>
    <w:p>
      <w:r>
        <w:t>Agentic actuarial risk can be made experimentally observable without pretending that open data answer questions they cannot. The AAT traces a controlled fault from insertion through downstream propagation, detection, replay, and scenario-conditioned economic loss. In the screening experiment, per-stage validation sharply reduced silent failure and the severe tail generated by an uncorrected unit stress; sparse human checkpoints delivered most of their benefit at the first well-placed review. Prescribed common-model dependence eroded diversification.</w:t>
      </w:r>
    </w:p>
    <w:p>
      <w:r>
        <w:t>The strongest contribution is methodological. The testbed supplies a common, auditable object that insurers, actuaries, validators, and operational-risk teams can calibrate and challenge. Its monetary outputs remain scenarios until firm-specific evidence replaces the explicit assumptions.</w:t>
      </w:r>
    </w:p>
    <w:p>
      <w:pPr>
        <w:pStyle w:val="Heading1"/>
      </w:pPr>
      <w:r>
        <w:t>Statements and declarations</w:t>
      </w:r>
    </w:p>
    <w:p>
      <w:r/>
      <w:r>
        <w:rPr>
          <w:b/>
        </w:rPr>
        <w:t>Funding.</w:t>
      </w:r>
      <w:r>
        <w:t xml:space="preserve"> No external funding was used in the development of this independent research prototype.</w:t>
      </w:r>
    </w:p>
    <w:p>
      <w:r/>
      <w:r>
        <w:rPr>
          <w:b/>
        </w:rPr>
        <w:t>Competing interests.</w:t>
      </w:r>
      <w:r>
        <w:t xml:space="preserve"> The author declares no competing interests.</w:t>
      </w:r>
    </w:p>
    <w:p>
      <w:r/>
      <w:r>
        <w:rPr>
          <w:b/>
        </w:rPr>
        <w:t>Data availability.</w:t>
      </w:r>
      <w:r>
        <w:t xml:space="preserve"> The study uses seeded synthetic data. Configurations, non-restricted derived results, and instructions for reproduction are available at https://github.com/tollyboy88/agentic-actuarial-risk-testbed. Third-party source datasets are inventoried but are not redistributed where licences prohibit redistribution.</w:t>
      </w:r>
    </w:p>
    <w:p>
      <w:r/>
      <w:r>
        <w:rPr>
          <w:b/>
        </w:rPr>
        <w:t>Code availability.</w:t>
      </w:r>
      <w:r>
        <w:t xml:space="preserve"> Source code is available under the MIT License at https://github.com/tollyboy88/agentic-actuarial-risk-testbed.</w:t>
      </w:r>
    </w:p>
    <w:p>
      <w:r/>
      <w:r>
        <w:rPr>
          <w:b/>
        </w:rPr>
        <w:t>Generative AI statement.</w:t>
      </w:r>
      <w:r>
        <w:t xml:space="preserve"> OpenAI Codex was used to assist with software implementation, literature discovery, language editing, and preparation of submission files. The author remains responsible for verifying the analysis, references, and final text and for all claims in the submitted work.</w:t>
      </w:r>
    </w:p>
    <w:p>
      <w:pPr>
        <w:pStyle w:val="Heading1"/>
      </w:pPr>
      <w:r>
        <w:t>References</w:t>
      </w:r>
    </w:p>
    <w:p>
      <w:r>
        <w:t>Amodei, D., Olah, C., Steinhardt, J., Christiano, P., Schulman, J., &amp; Mané, D. (2016). Concrete problems in AI safety. arXiv. https://doi.org/10.48550/arXiv.1606.06565</w:t>
      </w:r>
    </w:p>
    <w:p>
      <w:r>
        <w:t>Basel Committee on Banking Supervision. (2021). Revisions to the principles for the sound management of operational risk. Bank for International Settlements. https://www.bis.org/bcbs/publ/d515.htm</w:t>
      </w:r>
    </w:p>
    <w:p>
      <w:r>
        <w:t>Böcker, K., &amp; Klüppelberg, C. (2005). Operational VaR: A closed-form approximation. Risk, 18(12), 90–93.</w:t>
      </w:r>
    </w:p>
    <w:p>
      <w:r>
        <w:t>Debenedetti, E., Zhang, J., Balunović, M., Beurer-Kellner, L., Fischer, M., &amp; Tramèr, F. (2024). AgentDojo: A dynamic environment to evaluate prompt injection attacks and defenses for LLM agents. Advances in Neural Information Processing Systems, 37. https://doi.org/10.52202/079017-2636</w:t>
      </w:r>
    </w:p>
    <w:p>
      <w:r>
        <w:t>EIOPA. (2015). Guidelines on own risk and solvency assessment. European Insurance and Occupational Pensions Authority. https://www.eiopa.europa.eu/publications/guidelines-own-risk-and-solvency-assessment_en</w:t>
      </w:r>
    </w:p>
    <w:p>
      <w:r>
        <w:t>Embrechts, P., Klüppelberg, C., &amp; Mikosch, T. (1997). Modelling extremal events for insurance and finance. Springer. https://doi.org/10.1007/978-3-642-33483-2</w:t>
      </w:r>
    </w:p>
    <w:p>
      <w:r>
        <w:t>Embrechts, P., McNeil, A. J., &amp; Straumann, D. (2002). Correlation and dependence in risk management: Properties and pitfalls. In M. A. H. Dempster (Ed.), Risk management: Value at risk and beyond (pp. 176–223). Cambridge University Press. https://doi.org/10.1017/CBO9780511615337.008</w:t>
      </w:r>
    </w:p>
    <w:p>
      <w:r>
        <w:t>England, P. D., &amp; Verrall, R. J. (2002). Stochastic claims reserving in general insurance. British Actuarial Journal, 8(3), 443–518. https://doi.org/10.1017/S1357321700003809</w:t>
      </w:r>
    </w:p>
    <w:p>
      <w:r>
        <w:t>European Union. (2024). Regulation (EU) 2024/1689 laying down harmonised rules on artificial intelligence. Official Journal of the European Union. http://data.europa.eu/eli/reg/2024/1689/oj</w:t>
      </w:r>
    </w:p>
    <w:p>
      <w:r>
        <w:t>Feng, Y., &amp; Li, S. (2024). Advancing the use of deep learning in loss reserving: A generalized DeepTriangle approach. Risks, 12(1), 4. https://doi.org/10.3390/risks12010004</w:t>
      </w:r>
    </w:p>
    <w:p>
      <w:r>
        <w:t>Gabrielli, A., Richman, R., &amp; Wüthrich, M. V. (2020). Neural network embedding of the over-dispersed Poisson reserving model. Scandinavian Actuarial Journal, 2020(1), 1–29. https://doi.org/10.1080/03461238.2019.1633394</w:t>
      </w:r>
    </w:p>
    <w:p>
      <w:r>
        <w:t>Gebru, T., Morgenstern, J., Vecchione, B., Vaughan, J. W., Wallach, H., Daumé III, H., &amp; Crawford, K. (2021). Datasheets for datasets. Communications of the ACM, 64(12), 86–92. https://doi.org/10.1145/3458723</w:t>
      </w:r>
    </w:p>
    <w:p>
      <w:r>
        <w:t>ISO. (2023). ISO/IEC 42001:2023 Information technology—Artificial intelligence—Management system. International Organization for Standardization. https://www.iso.org/standard/81230.html</w:t>
      </w:r>
    </w:p>
    <w:p>
      <w:r>
        <w:t>Kuo, K. (2019). DeepTriangle: A deep learning approach to loss reserving. Risks, 7(3), 97. https://doi.org/10.3390/risks7030097</w:t>
      </w:r>
    </w:p>
    <w:p>
      <w:r>
        <w:t>Liu, X., Yu, H., Zhang, H., Xu, Y., Lei, X., Lai, H., Gu, Y., Ding, H., Men, K., Yang, K., Zhang, S., Deng, X., Zeng, A., Du, Z., Zhang, C., Shen, S., Zhang, T., Su, Y., Sun, H., Huang, M., Dong, Y., &amp; Tang, J. (2024). AgentBench: Evaluating LLMs as agents. International Conference on Learning Representations. https://openreview.net/forum?id=zAdUB0aCTQ</w:t>
      </w:r>
    </w:p>
    <w:p>
      <w:r>
        <w:t>Mack, T. (1993). Distribution-free calculation of the standard error of chain ladder reserve estimates. ASTIN Bulletin, 23(2), 213–225. https://doi.org/10.2143/AST.23.2.2005092</w:t>
      </w:r>
    </w:p>
    <w:p>
      <w:r>
        <w:t>McNeil, A. J., Frey, R., &amp; Embrechts, P. (2015). Quantitative risk management: Concepts, techniques and tools (2nd ed.). Princeton University Press.</w:t>
      </w:r>
    </w:p>
    <w:p>
      <w:r>
        <w:t>Mitchell, M., Wu, S., Zaldivar, A., Barnes, P., Vasserman, L., Hutchinson, B., Spitzer, E., Raji, I. D., &amp; Gebru, T. (2019). Model cards for model reporting. Proceedings of the Conference on Fairness, Accountability, and Transparency, 220–229. https://doi.org/10.1145/3287560.3287596</w:t>
      </w:r>
    </w:p>
    <w:p>
      <w:r>
        <w:t>Moscadelli, M. (2004). The modelling of operational risk: Experience with the analysis of the data collected by the Basel Committee. Banca d'Italia Temi di Discussione No. 517. https://doi.org/10.2139/ssrn.557214</w:t>
      </w:r>
    </w:p>
    <w:p>
      <w:r>
        <w:t>NIST. (2023). Artificial Intelligence Risk Management Framework (AI RMF 1.0) (NIST AI 100-1). National Institute of Standards and Technology. https://doi.org/10.6028/NIST.AI.100-1</w:t>
      </w:r>
    </w:p>
    <w:p>
      <w:r>
        <w:t>NIST. (2024). Artificial Intelligence Risk Management Framework: Generative Artificial Intelligence Profile (NIST AI 600-1). National Institute of Standards and Technology. https://doi.org/10.6028/NIST.AI.600-1</w:t>
      </w:r>
    </w:p>
    <w:p>
      <w:r>
        <w:t>OWASP Foundation. (2025). OWASP Top 10 for LLM applications 2025. https://genai.owasp.org/llm-top-10/</w:t>
      </w:r>
    </w:p>
    <w:p>
      <w:r>
        <w:t>Park, J. S., O'Brien, J. C., Cai, C. J., Morris, M. R., Liang, P., &amp; Bernstein, M. S. (2023). Generative agents: Interactive simulacra of human behavior. Proceedings of the 36th Annual ACM Symposium on User Interface Software and Technology. https://doi.org/10.1145/3586183.3606763</w:t>
      </w:r>
    </w:p>
    <w:p>
      <w:r>
        <w:t>Prudential Regulation Authority. (2023). Model risk management principles for banks (Supervisory Statement SS1/23). Bank of England. https://www.bankofengland.co.uk/prudential-regulation/publication/2023/may/model-risk-management-principles-for-banks-supervisory-statement</w:t>
      </w:r>
    </w:p>
    <w:p>
      <w:r>
        <w:t>Qin, Y., Liang, S., Ye, Y., Zhu, K., Yan, L., Lu, Y., Lin, Y., Cong, X., Tang, X., Qian, B., Zhao, S., Tian, R., Xie, R., Zhou, J., Gerstein, M., Li, D., Liu, Z., &amp; Sun, M. (2024). ToolLLM: Facilitating large language models to master 16000+ real-world APIs. International Conference on Learning Representations. https://openreview.net/forum?id=dHng2O0Jjr</w:t>
      </w:r>
    </w:p>
    <w:p>
      <w:r>
        <w:t>Raji, I. D., Smart, A., White, R. N., Mitchell, M., Gebru, T., Hutchinson, B., Smith-Loud, J., Theron, D., &amp; Barnes, P. (2020). Closing the AI accountability gap: Defining an end-to-end framework for internal algorithmic auditing. Proceedings of the 2020 Conference on Fairness, Accountability, and Transparency, 33–44. https://doi.org/10.1145/3351095.3372873</w:t>
      </w:r>
    </w:p>
    <w:p>
      <w:r>
        <w:t>Sambasivan, N., Kapania, S., Highfill, H., Akrong, D., Paritosh, P., &amp; Aroyo, L. M. (2021). “Everyone wants to do the model work, not the data work”: Data cascades in high-stakes AI. Proceedings of the 2021 CHI Conference on Human Factors in Computing Systems. https://doi.org/10.1145/3411764.3445518</w:t>
      </w:r>
    </w:p>
    <w:p>
      <w:r>
        <w:t>Sculley, D., Holt, G., Golovin, D., Davydov, E., Phillips, T., Ebner, D., Chaudhary, V., Young, M., Crespo, J.-F., &amp; Dennison, D. (2015). Hidden technical debt in machine learning systems. Advances in Neural Information Processing Systems, 28.</w:t>
      </w:r>
    </w:p>
    <w:p>
      <w:r>
        <w:t>Shinn, N., Cassano, F., Gopinath, A., Narasimhan, K., &amp; Yao, S. (2023). Reflexion: Language agents with verbal reinforcement learning. Advances in Neural Information Processing Systems, 36, 8634–8652.</w:t>
      </w:r>
    </w:p>
    <w:p>
      <w:r>
        <w:t>Wu, Q., Bansal, G., Zhang, J., Wu, Y., Li, B., Zhu, E., Jiang, L., Zhang, X., Zhang, S., Liu, J., Awadallah, A. H., White, R. W., Burger, D., &amp; Wang, C. (2023). AutoGen: Enabling next-gen LLM applications via multi-agent conversation. arXiv. https://doi.org/10.48550/arXiv.2308.08155</w:t>
      </w:r>
    </w:p>
    <w:p>
      <w:r>
        <w:t>Wüthrich, M. V., &amp; Merz, M. (2008). Stochastic claims reserving methods in insurance. Wiley. https://doi.org/10.1002/9780470723834</w:t>
      </w:r>
    </w:p>
    <w:p>
      <w:r>
        <w:t>Xi, Z., Chen, W., Guo, X., He, W., Ding, Y., Hong, B., Zhang, M., Wang, J., Jin, S., Zhou, E., Zheng, R., Fan, X., Wang, X., Xiong, L., Zhou, Y., Wang, W., Jiang, C., Zou, Y., Liu, X., Yin, Z., Dou, S., Weng, R., Cheng, W., Zhang, Q., Qin, W., Zheng, Y., Qiu, X., Huang, X., &amp; Gui, T. (2023). The rise and potential of large language model based agents: A survey. arXiv. https://doi.org/10.48550/arXiv.2309.07864</w:t>
      </w:r>
    </w:p>
    <w:p>
      <w:r>
        <w:t>Yao, S., Shinn, N., Razavi, P., &amp; Narasimhan, K. (2024). τ-bench: A benchmark for tool-agent-user interaction in real-world domains. arXiv. https://doi.org/10.48550/arXiv.2406.12045</w:t>
      </w:r>
    </w:p>
    <w:p>
      <w:r>
        <w:t>Yao, S., Zhao, J., Yu, D., Du, N., Shafran, I., Narasimhan, K., &amp; Cao, Y. (2023). ReAct: Synergizing reasoning and acting in language models. International Conference on Learning Representations. https://openreview.net/forum?id=WE_vluYUL-X</w:t>
      </w:r>
    </w:p>
    <w:p>
      <w:pPr>
        <w:pStyle w:val="Heading1"/>
      </w:pPr>
      <w:r>
        <w:t>Figure captions</w:t>
      </w:r>
    </w:p>
    <w:p>
      <w:r>
        <w:t>Figure 1. Median absolute paired error across workflow stages and control topologies.</w:t>
      </w:r>
    </w:p>
    <w:p>
      <w:r>
        <w:t>Figure 2. Silent-failure rate by workflow topology.</w:t>
      </w:r>
    </w:p>
    <w:p>
      <w:r>
        <w:t>Figure 3. Detection rate by fault class and topology.</w:t>
      </w:r>
    </w:p>
    <w:p>
      <w:r>
        <w:t>Figure 4. Scenario-conditioned annual VaR at 99.5% by topology (logarithmic scale).</w:t>
      </w:r>
    </w:p>
    <w:p>
      <w:r>
        <w:t>Figure 5. Sector VaR at 99.5% under prescribed cross-firm dependence.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model runs itself: quantifying error propagation and operational risk capital for agentic artificial intelligence in actuarial workflows</dc:title>
  <dc:subject>Agentic actuarial workflow risk simulation</dc:subject>
  <dc:creator>Adebayo Adetola</dc:creator>
  <cp:keywords>actuarial AI, operational risk, simulation</cp:keywords>
  <dc:description>generated by python-docx</dc:description>
  <cp:lastModifiedBy>Adebayo Adetola</cp:lastModifiedBy>
  <cp:revision>1</cp:revision>
  <dcterms:created xsi:type="dcterms:W3CDTF">2013-12-23T23:15:00Z</dcterms:created>
  <dcterms:modified xsi:type="dcterms:W3CDTF">2013-12-23T23:15:00Z</dcterms:modified>
  <cp:category/>
</cp:coreProperties>
</file>