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FairQueue prioritisation rubric</w:t>
      </w:r>
    </w:p>
    <w:p>
      <w:r>
        <w:t>Weights used to score elective-care priority (relative importance).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52-week long-wait rate</w:t>
            </w:r>
          </w:p>
        </w:tc>
        <w:tc>
          <w:tcPr>
            <w:tcW w:type="dxa" w:w="4320"/>
          </w:tcPr>
          <w:p>
            <w:r>
              <w:t>0.30</w:t>
            </w:r>
          </w:p>
        </w:tc>
      </w:tr>
      <w:tr>
        <w:tc>
          <w:tcPr>
            <w:tcW w:type="dxa" w:w="4320"/>
          </w:tcPr>
          <w:p>
            <w:r>
              <w:t>18-week breach rate</w:t>
            </w:r>
          </w:p>
        </w:tc>
        <w:tc>
          <w:tcPr>
            <w:tcW w:type="dxa" w:w="4320"/>
          </w:tcPr>
          <w:p>
            <w:r>
              <w:t>0.20</w:t>
            </w:r>
          </w:p>
        </w:tc>
      </w:tr>
      <w:tr>
        <w:tc>
          <w:tcPr>
            <w:tcW w:type="dxa" w:w="4320"/>
          </w:tcPr>
          <w:p>
            <w:r>
              <w:t>Deprivation over-representation</w:t>
            </w:r>
          </w:p>
        </w:tc>
        <w:tc>
          <w:tcPr>
            <w:tcW w:type="dxa" w:w="4320"/>
          </w:tcPr>
          <w:p>
            <w:r>
              <w:t>0.20</w:t>
            </w:r>
          </w:p>
        </w:tc>
      </w:tr>
      <w:tr>
        <w:tc>
          <w:tcPr>
            <w:tcW w:type="dxa" w:w="4320"/>
          </w:tcPr>
          <w:p>
            <w:r>
              <w:t>Cancellation disruption</w:t>
            </w:r>
          </w:p>
        </w:tc>
        <w:tc>
          <w:tcPr>
            <w:tcW w:type="dxa" w:w="4320"/>
          </w:tcPr>
          <w:p>
            <w:r>
              <w:t>0.15</w:t>
            </w:r>
          </w:p>
        </w:tc>
      </w:tr>
      <w:tr>
        <w:tc>
          <w:tcPr>
            <w:tcW w:type="dxa" w:w="4320"/>
          </w:tcPr>
          <w:p>
            <w:r>
              <w:t>Bed occupancy</w:t>
            </w:r>
          </w:p>
        </w:tc>
        <w:tc>
          <w:tcPr>
            <w:tcW w:type="dxa" w:w="4320"/>
          </w:tcPr>
          <w:p>
            <w:r>
              <w:t>0.15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