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FairQueue 2.0 — Supplementary methods and reproducibility</w:t>
      </w:r>
    </w:p>
    <w:p>
      <w:r>
        <w:t>Anonymous supplementary file for peer review. This supplement contains no author names or repository identity.</w:t>
      </w:r>
    </w:p>
    <w:p>
      <w:pPr>
        <w:pStyle w:val="Heading1"/>
      </w:pPr>
      <w:r>
        <w:t>S1. Data lineage and temporal contract</w:t>
      </w:r>
    </w:p>
    <w:p>
      <w:r>
        <w:t>The acquisition manifest contains 102 RTT and DM01 monthly source files (51 per collection) plus referenced quarterly operational and WLMDS sources. Every downloaded file is paired with its official URL, byte count, UTC retrieval time and SHA-256 digest. The analysis uses feature months April 2022–March 2026 and outcomes exactly three calendar months later through June 2026.</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c>
          <w:tcPr>
            <w:tcW w:type="dxa" w:w="2521"/>
            <w:shd w:fill="D9EAF0"/>
          </w:tcPr>
          <w:p>
            <w:r>
              <w:rPr>
                <w:b/>
                <w:sz w:val="16"/>
              </w:rPr>
              <w:t>Partition</w:t>
            </w:r>
          </w:p>
        </w:tc>
        <w:tc>
          <w:tcPr>
            <w:tcW w:type="dxa" w:w="2521"/>
            <w:shd w:fill="D9EAF0"/>
          </w:tcPr>
          <w:p>
            <w:r>
              <w:rPr>
                <w:b/>
                <w:sz w:val="16"/>
              </w:rPr>
              <w:t>Feature months</w:t>
            </w:r>
          </w:p>
        </w:tc>
        <w:tc>
          <w:tcPr>
            <w:tcW w:type="dxa" w:w="2521"/>
            <w:shd w:fill="D9EAF0"/>
          </w:tcPr>
          <w:p>
            <w:r>
              <w:rPr>
                <w:b/>
                <w:sz w:val="16"/>
              </w:rPr>
              <w:t>Target months</w:t>
            </w:r>
          </w:p>
        </w:tc>
        <w:tc>
          <w:tcPr>
            <w:tcW w:type="dxa" w:w="2521"/>
            <w:shd w:fill="D9EAF0"/>
          </w:tcPr>
          <w:p>
            <w:r>
              <w:rPr>
                <w:b/>
                <w:sz w:val="16"/>
              </w:rPr>
              <w:t>Role</w:t>
            </w:r>
          </w:p>
        </w:tc>
      </w:tr>
      <w:tr>
        <w:tc>
          <w:tcPr>
            <w:tcW w:type="dxa" w:w="2521"/>
            <w:vAlign w:val="center"/>
          </w:tcPr>
          <w:p>
            <w:r>
              <w:rPr>
                <w:sz w:val="15"/>
              </w:rPr>
              <w:t>Training</w:t>
            </w:r>
          </w:p>
        </w:tc>
        <w:tc>
          <w:tcPr>
            <w:tcW w:type="dxa" w:w="2521"/>
            <w:vAlign w:val="center"/>
          </w:tcPr>
          <w:p>
            <w:r>
              <w:rPr>
                <w:sz w:val="15"/>
              </w:rPr>
              <w:t>Apr 2022–Dec 2024</w:t>
            </w:r>
          </w:p>
        </w:tc>
        <w:tc>
          <w:tcPr>
            <w:tcW w:type="dxa" w:w="2521"/>
            <w:vAlign w:val="center"/>
          </w:tcPr>
          <w:p>
            <w:r>
              <w:rPr>
                <w:sz w:val="15"/>
              </w:rPr>
              <w:t>Jul 2022–Mar 2025</w:t>
            </w:r>
          </w:p>
        </w:tc>
        <w:tc>
          <w:tcPr>
            <w:tcW w:type="dxa" w:w="2521"/>
            <w:vAlign w:val="center"/>
          </w:tcPr>
          <w:p>
            <w:r>
              <w:rPr>
                <w:sz w:val="15"/>
              </w:rPr>
              <w:t>Fit preprocessors and candidates</w:t>
            </w:r>
          </w:p>
        </w:tc>
      </w:tr>
      <w:tr>
        <w:tc>
          <w:tcPr>
            <w:tcW w:type="dxa" w:w="2521"/>
            <w:vAlign w:val="center"/>
          </w:tcPr>
          <w:p>
            <w:r>
              <w:rPr>
                <w:sz w:val="15"/>
              </w:rPr>
              <w:t>Validation</w:t>
            </w:r>
          </w:p>
        </w:tc>
        <w:tc>
          <w:tcPr>
            <w:tcW w:type="dxa" w:w="2521"/>
            <w:vAlign w:val="center"/>
          </w:tcPr>
          <w:p>
            <w:r>
              <w:rPr>
                <w:sz w:val="15"/>
              </w:rPr>
              <w:t>Jan–Jun 2025</w:t>
            </w:r>
          </w:p>
        </w:tc>
        <w:tc>
          <w:tcPr>
            <w:tcW w:type="dxa" w:w="2521"/>
            <w:vAlign w:val="center"/>
          </w:tcPr>
          <w:p>
            <w:r>
              <w:rPr>
                <w:sz w:val="15"/>
              </w:rPr>
              <w:t>Apr–Sep 2025</w:t>
            </w:r>
          </w:p>
        </w:tc>
        <w:tc>
          <w:tcPr>
            <w:tcW w:type="dxa" w:w="2521"/>
            <w:vAlign w:val="center"/>
          </w:tcPr>
          <w:p>
            <w:r>
              <w:rPr>
                <w:sz w:val="15"/>
              </w:rPr>
              <w:t>Select model by MAE</w:t>
            </w:r>
          </w:p>
        </w:tc>
      </w:tr>
      <w:tr>
        <w:tc>
          <w:tcPr>
            <w:tcW w:type="dxa" w:w="2521"/>
            <w:vAlign w:val="center"/>
          </w:tcPr>
          <w:p>
            <w:r>
              <w:rPr>
                <w:sz w:val="15"/>
              </w:rPr>
              <w:t>Locked test</w:t>
            </w:r>
          </w:p>
        </w:tc>
        <w:tc>
          <w:tcPr>
            <w:tcW w:type="dxa" w:w="2521"/>
            <w:vAlign w:val="center"/>
          </w:tcPr>
          <w:p>
            <w:r>
              <w:rPr>
                <w:sz w:val="15"/>
              </w:rPr>
              <w:t>Jul 2025–Mar 2026</w:t>
            </w:r>
          </w:p>
        </w:tc>
        <w:tc>
          <w:tcPr>
            <w:tcW w:type="dxa" w:w="2521"/>
            <w:vAlign w:val="center"/>
          </w:tcPr>
          <w:p>
            <w:r>
              <w:rPr>
                <w:sz w:val="15"/>
              </w:rPr>
              <w:t>Oct 2025–Jun 2026</w:t>
            </w:r>
          </w:p>
        </w:tc>
        <w:tc>
          <w:tcPr>
            <w:tcW w:type="dxa" w:w="2521"/>
            <w:vAlign w:val="center"/>
          </w:tcPr>
          <w:p>
            <w:r>
              <w:rPr>
                <w:sz w:val="15"/>
              </w:rPr>
              <w:t>Final evaluation only</w:t>
            </w:r>
          </w:p>
        </w:tc>
      </w:tr>
    </w:tbl>
    <w:p/>
    <w:p>
      <w:pPr>
        <w:pStyle w:val="Heading1"/>
      </w:pPr>
      <w:r>
        <w:t>S2. Model specifications</w:t>
      </w:r>
    </w:p>
    <w:tbl>
      <w:tblPr>
        <w:tblStyle w:val="TableGrid"/>
        <w:tblW w:type="auto" w:w="0"/>
        <w:jc w:val="center"/>
        <w:tblLayout w:type="autofit"/>
        <w:tblLook w:firstColumn="1" w:firstRow="1" w:lastColumn="0" w:lastRow="0" w:noHBand="0" w:noVBand="1" w:val="04A0"/>
      </w:tblPr>
      <w:tblGrid>
        <w:gridCol w:w="5043"/>
        <w:gridCol w:w="5043"/>
      </w:tblGrid>
      <w:tr>
        <w:tc>
          <w:tcPr>
            <w:tcW w:type="dxa" w:w="5043"/>
            <w:shd w:fill="D9EAF0"/>
          </w:tcPr>
          <w:p>
            <w:r>
              <w:rPr>
                <w:b/>
                <w:sz w:val="16"/>
              </w:rPr>
              <w:t>Model</w:t>
            </w:r>
          </w:p>
        </w:tc>
        <w:tc>
          <w:tcPr>
            <w:tcW w:type="dxa" w:w="5043"/>
            <w:shd w:fill="D9EAF0"/>
          </w:tcPr>
          <w:p>
            <w:r>
              <w:rPr>
                <w:b/>
                <w:sz w:val="16"/>
              </w:rPr>
              <w:t>Fixed specification</w:t>
            </w:r>
          </w:p>
        </w:tc>
      </w:tr>
      <w:tr>
        <w:tc>
          <w:tcPr>
            <w:tcW w:type="dxa" w:w="5043"/>
            <w:vAlign w:val="center"/>
          </w:tcPr>
          <w:p>
            <w:r>
              <w:rPr>
                <w:sz w:val="15"/>
              </w:rPr>
              <w:t>Elastic Net</w:t>
            </w:r>
          </w:p>
        </w:tc>
        <w:tc>
          <w:tcPr>
            <w:tcW w:type="dxa" w:w="5043"/>
            <w:vAlign w:val="center"/>
          </w:tcPr>
          <w:p>
            <w:r>
              <w:rPr>
                <w:sz w:val="15"/>
              </w:rPr>
              <w:t>α=0.001; l1 ratio=0.25; max_iter=20,000; scaled numeric features</w:t>
            </w:r>
          </w:p>
        </w:tc>
      </w:tr>
      <w:tr>
        <w:tc>
          <w:tcPr>
            <w:tcW w:type="dxa" w:w="5043"/>
            <w:vAlign w:val="center"/>
          </w:tcPr>
          <w:p>
            <w:r>
              <w:rPr>
                <w:sz w:val="15"/>
              </w:rPr>
              <w:t>Random Forest</w:t>
            </w:r>
          </w:p>
        </w:tc>
        <w:tc>
          <w:tcPr>
            <w:tcW w:type="dxa" w:w="5043"/>
            <w:vAlign w:val="center"/>
          </w:tcPr>
          <w:p>
            <w:r>
              <w:rPr>
                <w:sz w:val="15"/>
              </w:rPr>
              <w:t>60 trees; depth=12; min leaf=20; max features=0.6; seed=42</w:t>
            </w:r>
          </w:p>
        </w:tc>
      </w:tr>
      <w:tr>
        <w:tc>
          <w:tcPr>
            <w:tcW w:type="dxa" w:w="5043"/>
            <w:vAlign w:val="center"/>
          </w:tcPr>
          <w:p>
            <w:r>
              <w:rPr>
                <w:sz w:val="15"/>
              </w:rPr>
              <w:t>Histogram GB</w:t>
            </w:r>
          </w:p>
        </w:tc>
        <w:tc>
          <w:tcPr>
            <w:tcW w:type="dxa" w:w="5043"/>
            <w:vAlign w:val="center"/>
          </w:tcPr>
          <w:p>
            <w:r>
              <w:rPr>
                <w:sz w:val="15"/>
              </w:rPr>
              <w:t>250 iterations; learning rate=0.05; 31 leaves; min leaf=25; L2=1</w:t>
            </w:r>
          </w:p>
        </w:tc>
      </w:tr>
      <w:tr>
        <w:tc>
          <w:tcPr>
            <w:tcW w:type="dxa" w:w="5043"/>
            <w:vAlign w:val="center"/>
          </w:tcPr>
          <w:p>
            <w:r>
              <w:rPr>
                <w:sz w:val="15"/>
              </w:rPr>
              <w:t>XGBoost</w:t>
            </w:r>
          </w:p>
        </w:tc>
        <w:tc>
          <w:tcPr>
            <w:tcW w:type="dxa" w:w="5043"/>
            <w:vAlign w:val="center"/>
          </w:tcPr>
          <w:p>
            <w:r>
              <w:rPr>
                <w:sz w:val="15"/>
              </w:rPr>
              <w:t>300 trees; depth=5; learning rate=0.05; row/column sample=0.85; seed=42</w:t>
            </w:r>
          </w:p>
        </w:tc>
      </w:tr>
      <w:tr>
        <w:tc>
          <w:tcPr>
            <w:tcW w:type="dxa" w:w="5043"/>
            <w:vAlign w:val="center"/>
          </w:tcPr>
          <w:p>
            <w:r>
              <w:rPr>
                <w:sz w:val="15"/>
              </w:rPr>
              <w:t>Preprocessing</w:t>
            </w:r>
          </w:p>
        </w:tc>
        <w:tc>
          <w:tcPr>
            <w:tcW w:type="dxa" w:w="5043"/>
            <w:vAlign w:val="center"/>
          </w:tcPr>
          <w:p>
            <w:r>
              <w:rPr>
                <w:sz w:val="15"/>
              </w:rPr>
              <w:t>Training-fitted median imputation + missing indicators; one-hot specialty</w:t>
            </w:r>
          </w:p>
        </w:tc>
      </w:tr>
    </w:tbl>
    <w:p/>
    <w:p>
      <w:pPr>
        <w:pStyle w:val="Heading1"/>
      </w:pPr>
      <w:r>
        <w:t>S3. Integrity checks</w:t>
      </w:r>
    </w:p>
    <w:p>
      <w:r>
        <w:t>The supplied automated suite passed 6/6 checks: exact t+3 target join; chronological feature partitions; no target/future columns in the allowlist; one-quarter lag for quarterly sources; train-only preprocessing; and equity snapshot date preceding the evaluated June 2026 outcome.</w:t>
      </w:r>
    </w:p>
    <w:p>
      <w:pPr>
        <w:pStyle w:val="Heading1"/>
      </w:pPr>
      <w:r>
        <w:t>S4. Uncertainty and sensitivity</w:t>
      </w:r>
    </w:p>
    <w:tbl>
      <w:tblPr>
        <w:tblStyle w:val="TableGrid"/>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shd w:fill="D9EAF0"/>
          </w:tcPr>
          <w:p>
            <w:r>
              <w:rPr>
                <w:b/>
                <w:sz w:val="16"/>
              </w:rPr>
              <w:t>Analysis</w:t>
            </w:r>
          </w:p>
        </w:tc>
        <w:tc>
          <w:tcPr>
            <w:tcW w:type="dxa" w:w="2017"/>
            <w:shd w:fill="D9EAF0"/>
          </w:tcPr>
          <w:p>
            <w:r>
              <w:rPr>
                <w:b/>
                <w:sz w:val="16"/>
              </w:rPr>
              <w:t>MAE</w:t>
            </w:r>
          </w:p>
        </w:tc>
        <w:tc>
          <w:tcPr>
            <w:tcW w:type="dxa" w:w="2017"/>
            <w:shd w:fill="D9EAF0"/>
          </w:tcPr>
          <w:p>
            <w:r>
              <w:rPr>
                <w:b/>
                <w:sz w:val="16"/>
              </w:rPr>
              <w:t>RMSE</w:t>
            </w:r>
          </w:p>
        </w:tc>
        <w:tc>
          <w:tcPr>
            <w:tcW w:type="dxa" w:w="2017"/>
            <w:shd w:fill="D9EAF0"/>
          </w:tcPr>
          <w:p>
            <w:r>
              <w:rPr>
                <w:b/>
                <w:sz w:val="16"/>
              </w:rPr>
              <w:t>R²</w:t>
            </w:r>
          </w:p>
        </w:tc>
        <w:tc>
          <w:tcPr>
            <w:tcW w:type="dxa" w:w="2017"/>
            <w:shd w:fill="D9EAF0"/>
          </w:tcPr>
          <w:p>
            <w:r>
              <w:rPr>
                <w:b/>
                <w:sz w:val="16"/>
              </w:rPr>
              <w:t>Recall@20</w:t>
            </w:r>
          </w:p>
        </w:tc>
      </w:tr>
      <w:tr>
        <w:tc>
          <w:tcPr>
            <w:tcW w:type="dxa" w:w="2017"/>
            <w:vAlign w:val="center"/>
          </w:tcPr>
          <w:p>
            <w:r>
              <w:rPr>
                <w:sz w:val="15"/>
              </w:rPr>
              <w:t>Primary Random Forest</w:t>
            </w:r>
          </w:p>
        </w:tc>
        <w:tc>
          <w:tcPr>
            <w:tcW w:type="dxa" w:w="2017"/>
            <w:vAlign w:val="center"/>
          </w:tcPr>
          <w:p>
            <w:r>
              <w:rPr>
                <w:sz w:val="15"/>
              </w:rPr>
              <w:t>0.00684</w:t>
            </w:r>
          </w:p>
        </w:tc>
        <w:tc>
          <w:tcPr>
            <w:tcW w:type="dxa" w:w="2017"/>
            <w:vAlign w:val="center"/>
          </w:tcPr>
          <w:p>
            <w:r>
              <w:rPr>
                <w:sz w:val="15"/>
              </w:rPr>
              <w:t>0.01434</w:t>
            </w:r>
          </w:p>
        </w:tc>
        <w:tc>
          <w:tcPr>
            <w:tcW w:type="dxa" w:w="2017"/>
            <w:vAlign w:val="center"/>
          </w:tcPr>
          <w:p>
            <w:r>
              <w:rPr>
                <w:sz w:val="15"/>
              </w:rPr>
              <w:t>0.636</w:t>
            </w:r>
          </w:p>
        </w:tc>
        <w:tc>
          <w:tcPr>
            <w:tcW w:type="dxa" w:w="2017"/>
            <w:vAlign w:val="center"/>
          </w:tcPr>
          <w:p>
            <w:r>
              <w:rPr>
                <w:sz w:val="15"/>
              </w:rPr>
              <w:t>0.578</w:t>
            </w:r>
          </w:p>
        </w:tc>
      </w:tr>
      <w:tr>
        <w:tc>
          <w:tcPr>
            <w:tcW w:type="dxa" w:w="2017"/>
            <w:vAlign w:val="center"/>
          </w:tcPr>
          <w:p>
            <w:r>
              <w:rPr>
                <w:sz w:val="15"/>
              </w:rPr>
              <w:t>Provider bootstrap 95% CI</w:t>
            </w:r>
          </w:p>
        </w:tc>
        <w:tc>
          <w:tcPr>
            <w:tcW w:type="dxa" w:w="2017"/>
            <w:vAlign w:val="center"/>
          </w:tcPr>
          <w:p>
            <w:r>
              <w:rPr>
                <w:sz w:val="15"/>
              </w:rPr>
              <w:t>0.00628–0.00740</w:t>
            </w:r>
          </w:p>
        </w:tc>
        <w:tc>
          <w:tcPr>
            <w:tcW w:type="dxa" w:w="2017"/>
            <w:vAlign w:val="center"/>
          </w:tcPr>
          <w:p>
            <w:r>
              <w:rPr>
                <w:sz w:val="15"/>
              </w:rPr>
              <w:t>0.01245–0.01651</w:t>
            </w:r>
          </w:p>
        </w:tc>
        <w:tc>
          <w:tcPr>
            <w:tcW w:type="dxa" w:w="2017"/>
            <w:vAlign w:val="center"/>
          </w:tcPr>
          <w:p>
            <w:r>
              <w:rPr>
                <w:sz w:val="15"/>
              </w:rPr>
              <w:t>0.569–0.703</w:t>
            </w:r>
          </w:p>
        </w:tc>
        <w:tc>
          <w:tcPr>
            <w:tcW w:type="dxa" w:w="2017"/>
            <w:vAlign w:val="center"/>
          </w:tcPr>
          <w:p>
            <w:r>
              <w:rPr>
                <w:sz w:val="15"/>
              </w:rPr>
              <w:t>0.411–0.720</w:t>
            </w:r>
          </w:p>
        </w:tc>
      </w:tr>
      <w:tr>
        <w:tc>
          <w:tcPr>
            <w:tcW w:type="dxa" w:w="2017"/>
            <w:vAlign w:val="center"/>
          </w:tcPr>
          <w:p>
            <w:r>
              <w:rPr>
                <w:sz w:val="15"/>
              </w:rPr>
              <w:t>Training from Apr 2023</w:t>
            </w:r>
          </w:p>
        </w:tc>
        <w:tc>
          <w:tcPr>
            <w:tcW w:type="dxa" w:w="2017"/>
            <w:vAlign w:val="center"/>
          </w:tcPr>
          <w:p>
            <w:r>
              <w:rPr>
                <w:sz w:val="15"/>
              </w:rPr>
              <w:t>0.00667</w:t>
            </w:r>
          </w:p>
        </w:tc>
        <w:tc>
          <w:tcPr>
            <w:tcW w:type="dxa" w:w="2017"/>
            <w:vAlign w:val="center"/>
          </w:tcPr>
          <w:p>
            <w:r>
              <w:rPr>
                <w:sz w:val="15"/>
              </w:rPr>
              <w:t>0.01415</w:t>
            </w:r>
          </w:p>
        </w:tc>
        <w:tc>
          <w:tcPr>
            <w:tcW w:type="dxa" w:w="2017"/>
            <w:vAlign w:val="center"/>
          </w:tcPr>
          <w:p>
            <w:r>
              <w:rPr>
                <w:sz w:val="15"/>
              </w:rPr>
              <w:t>0.646</w:t>
            </w:r>
          </w:p>
        </w:tc>
        <w:tc>
          <w:tcPr>
            <w:tcW w:type="dxa" w:w="2017"/>
            <w:vAlign w:val="center"/>
          </w:tcPr>
          <w:p>
            <w:r>
              <w:rPr>
                <w:sz w:val="15"/>
              </w:rPr>
              <w:t>0.572</w:t>
            </w:r>
          </w:p>
        </w:tc>
      </w:tr>
      <w:tr>
        <w:tc>
          <w:tcPr>
            <w:tcW w:type="dxa" w:w="2017"/>
            <w:vAlign w:val="center"/>
          </w:tcPr>
          <w:p>
            <w:r>
              <w:rPr>
                <w:sz w:val="15"/>
              </w:rPr>
              <w:t>RTT-history features only</w:t>
            </w:r>
          </w:p>
        </w:tc>
        <w:tc>
          <w:tcPr>
            <w:tcW w:type="dxa" w:w="2017"/>
            <w:vAlign w:val="center"/>
          </w:tcPr>
          <w:p>
            <w:r>
              <w:rPr>
                <w:sz w:val="15"/>
              </w:rPr>
              <w:t>0.00683</w:t>
            </w:r>
          </w:p>
        </w:tc>
        <w:tc>
          <w:tcPr>
            <w:tcW w:type="dxa" w:w="2017"/>
            <w:vAlign w:val="center"/>
          </w:tcPr>
          <w:p>
            <w:r>
              <w:rPr>
                <w:sz w:val="15"/>
              </w:rPr>
              <w:t>0.01430</w:t>
            </w:r>
          </w:p>
        </w:tc>
        <w:tc>
          <w:tcPr>
            <w:tcW w:type="dxa" w:w="2017"/>
            <w:vAlign w:val="center"/>
          </w:tcPr>
          <w:p>
            <w:r>
              <w:rPr>
                <w:sz w:val="15"/>
              </w:rPr>
              <w:t>0.639</w:t>
            </w:r>
          </w:p>
        </w:tc>
        <w:tc>
          <w:tcPr>
            <w:tcW w:type="dxa" w:w="2017"/>
            <w:vAlign w:val="center"/>
          </w:tcPr>
          <w:p>
            <w:r>
              <w:rPr>
                <w:sz w:val="15"/>
              </w:rPr>
              <w:t>0.572</w:t>
            </w:r>
          </w:p>
        </w:tc>
      </w:tr>
      <w:tr>
        <w:tc>
          <w:tcPr>
            <w:tcW w:type="dxa" w:w="2017"/>
            <w:vAlign w:val="center"/>
          </w:tcPr>
          <w:p>
            <w:r>
              <w:rPr>
                <w:sz w:val="15"/>
              </w:rPr>
              <w:t>RTT + diagnostics</w:t>
            </w:r>
          </w:p>
        </w:tc>
        <w:tc>
          <w:tcPr>
            <w:tcW w:type="dxa" w:w="2017"/>
            <w:vAlign w:val="center"/>
          </w:tcPr>
          <w:p>
            <w:r>
              <w:rPr>
                <w:sz w:val="15"/>
              </w:rPr>
              <w:t>0.00684</w:t>
            </w:r>
          </w:p>
        </w:tc>
        <w:tc>
          <w:tcPr>
            <w:tcW w:type="dxa" w:w="2017"/>
            <w:vAlign w:val="center"/>
          </w:tcPr>
          <w:p>
            <w:r>
              <w:rPr>
                <w:sz w:val="15"/>
              </w:rPr>
              <w:t>0.01431</w:t>
            </w:r>
          </w:p>
        </w:tc>
        <w:tc>
          <w:tcPr>
            <w:tcW w:type="dxa" w:w="2017"/>
            <w:vAlign w:val="center"/>
          </w:tcPr>
          <w:p>
            <w:r>
              <w:rPr>
                <w:sz w:val="15"/>
              </w:rPr>
              <w:t>0.638</w:t>
            </w:r>
          </w:p>
        </w:tc>
        <w:tc>
          <w:tcPr>
            <w:tcW w:type="dxa" w:w="2017"/>
            <w:vAlign w:val="center"/>
          </w:tcPr>
          <w:p>
            <w:r>
              <w:rPr>
                <w:sz w:val="15"/>
              </w:rPr>
              <w:t>0.578</w:t>
            </w:r>
          </w:p>
        </w:tc>
      </w:tr>
      <w:tr>
        <w:tc>
          <w:tcPr>
            <w:tcW w:type="dxa" w:w="2017"/>
            <w:vAlign w:val="center"/>
          </w:tcPr>
          <w:p>
            <w:r>
              <w:rPr>
                <w:sz w:val="15"/>
              </w:rPr>
              <w:t>Full operational context</w:t>
            </w:r>
          </w:p>
        </w:tc>
        <w:tc>
          <w:tcPr>
            <w:tcW w:type="dxa" w:w="2017"/>
            <w:vAlign w:val="center"/>
          </w:tcPr>
          <w:p>
            <w:r>
              <w:rPr>
                <w:sz w:val="15"/>
              </w:rPr>
              <w:t>0.00684</w:t>
            </w:r>
          </w:p>
        </w:tc>
        <w:tc>
          <w:tcPr>
            <w:tcW w:type="dxa" w:w="2017"/>
            <w:vAlign w:val="center"/>
          </w:tcPr>
          <w:p>
            <w:r>
              <w:rPr>
                <w:sz w:val="15"/>
              </w:rPr>
              <w:t>0.01434</w:t>
            </w:r>
          </w:p>
        </w:tc>
        <w:tc>
          <w:tcPr>
            <w:tcW w:type="dxa" w:w="2017"/>
            <w:vAlign w:val="center"/>
          </w:tcPr>
          <w:p>
            <w:r>
              <w:rPr>
                <w:sz w:val="15"/>
              </w:rPr>
              <w:t>0.636</w:t>
            </w:r>
          </w:p>
        </w:tc>
        <w:tc>
          <w:tcPr>
            <w:tcW w:type="dxa" w:w="2017"/>
            <w:vAlign w:val="center"/>
          </w:tcPr>
          <w:p>
            <w:r>
              <w:rPr>
                <w:sz w:val="15"/>
              </w:rPr>
              <w:t>0.578</w:t>
            </w:r>
          </w:p>
        </w:tc>
      </w:tr>
    </w:tbl>
    <w:p/>
    <w:p>
      <w:pPr>
        <w:pStyle w:val="Heading1"/>
      </w:pPr>
      <w:r>
        <w:t>S5. Equity policy algorithm</w:t>
      </w:r>
    </w:p>
    <w:p>
      <w:r>
        <w:t>High equity need is a provider-level Boolean: at or above the national 75th percentile for any one of deprivation, ethnicity, age or sex disparity. For top-K size 20 and requested floor q, the algorithm requires ceil(20q) high-need providers. If the unconstrained list misses the requirement, it replaces the lowest-forecast non-high-need services with the highest-forecast eligible services outside the list until the floor is satisfied. Dimension values and every selected row are exported for audit.</w:t>
      </w:r>
    </w:p>
    <w:p>
      <w:pPr>
        <w:pStyle w:val="Heading1"/>
      </w:pPr>
      <w:r>
        <w:t>S6. Reproduction sequence</w:t>
      </w:r>
    </w:p>
    <w:p>
      <w:r>
        <w:t>Install requirements, run `py run_all.py` (or `--skip-download` when manifest files already exist), then run `py -m pytest -q`. Generated metrics, selections, three figures and two tables are deterministic under seed 42. The anonymous code archive supplied to reviewers mirrors the public repository but omits identity-bearing metadata.</w:t>
      </w:r>
    </w:p>
    <w:sectPr>
      <w:footerReference w:type="default" r:id="rId9"/>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374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6C78"/>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6C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37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FairQueue 2.0: temporally validated forecasting and equity-constrained prioritisation of NHS elective-care pressure using public data</dc:title>
  <dc:subject>Health Systems research article submission</dc:subject>
  <dc:creator/>
  <cp:keywords>elective care; forecasting; equity; NHS; operations research</cp:keywords>
  <dc:description>generated by python-docx</dc:description>
  <cp:lastModifiedBy/>
  <cp:revision>1</cp:revision>
  <dcterms:created xsi:type="dcterms:W3CDTF">2013-12-23T23:15:00Z</dcterms:created>
  <dcterms:modified xsi:type="dcterms:W3CDTF">2013-12-23T23:15:00Z</dcterms:modified>
  <cp:category/>
</cp:coreProperties>
</file>