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Systems submission upload checklist</w:t>
      </w:r>
    </w:p>
    <w:p>
      <w:r>
        <w:t>Prepared 5 September 2026. Verify the live ScholarOne fields immediately before clicking Submit, as portal labels can change.</w:t>
      </w:r>
    </w:p>
    <w:p>
      <w:pPr>
        <w:pStyle w:val="Heading1"/>
      </w:pPr>
      <w:r>
        <w:t>Recommended upload order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  <w:shd w:fill="D9EAF0"/>
          </w:tcPr>
          <w:p>
            <w:r>
              <w:rPr>
                <w:b/>
                <w:sz w:val="16"/>
              </w:rPr>
              <w:t>Order</w:t>
            </w:r>
          </w:p>
        </w:tc>
        <w:tc>
          <w:tcPr>
            <w:tcW w:type="dxa" w:w="2379"/>
            <w:shd w:fill="D9EAF0"/>
          </w:tcPr>
          <w:p>
            <w:r>
              <w:rPr>
                <w:b/>
                <w:sz w:val="16"/>
              </w:rPr>
              <w:t>Portal designation</w:t>
            </w:r>
          </w:p>
        </w:tc>
        <w:tc>
          <w:tcPr>
            <w:tcW w:type="dxa" w:w="2379"/>
            <w:shd w:fill="D9EAF0"/>
          </w:tcPr>
          <w:p>
            <w:r>
              <w:rPr>
                <w:b/>
                <w:sz w:val="16"/>
              </w:rPr>
              <w:t>File</w:t>
            </w:r>
          </w:p>
        </w:tc>
        <w:tc>
          <w:tcPr>
            <w:tcW w:type="dxa" w:w="2379"/>
            <w:shd w:fill="D9EAF0"/>
          </w:tcPr>
          <w:p>
            <w:r>
              <w:rPr>
                <w:b/>
                <w:sz w:val="16"/>
              </w:rPr>
              <w:t>Visible to reviewers?</w:t>
            </w:r>
          </w:p>
        </w:tc>
      </w:tr>
      <w:tr>
        <w:tc>
          <w:tcPr>
            <w:tcW w:type="dxa" w:w="2379"/>
            <w:vAlign w:val="center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Main Document / Manuscript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02_FairQueue2_Anonymous_manuscript.docx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9"/>
            <w:vAlign w:val="center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Title Page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03_FairQueue2_Title_page.docx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2379"/>
            <w:vAlign w:val="center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Cover Letter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04_FairQueue2_Cover_letter.docx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No</w:t>
            </w:r>
          </w:p>
        </w:tc>
      </w:tr>
      <w:tr>
        <w:tc>
          <w:tcPr>
            <w:tcW w:type="dxa" w:w="2379"/>
            <w:vAlign w:val="center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Supplemental Material for Review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05_FairQueue2_Anonymous_supplement.docx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9"/>
            <w:vAlign w:val="center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Figure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figures/Figure1_workflow.tiff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9"/>
            <w:vAlign w:val="center"/>
          </w:tcPr>
          <w:p>
            <w:r>
              <w:rPr>
                <w:sz w:val="15"/>
              </w:rPr>
              <w:t>6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Figure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figures/Figure2_temporal_performance.tiff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9"/>
            <w:vAlign w:val="center"/>
          </w:tcPr>
          <w:p>
            <w:r>
              <w:rPr>
                <w:sz w:val="15"/>
              </w:rPr>
              <w:t>7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Figure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figures/Figure3_equity_utility_tradeoff.tiff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Yes</w:t>
            </w:r>
          </w:p>
        </w:tc>
      </w:tr>
      <w:tr>
        <w:tc>
          <w:tcPr>
            <w:tcW w:type="dxa" w:w="2379"/>
            <w:vAlign w:val="center"/>
          </w:tcPr>
          <w:p>
            <w:r>
              <w:rPr>
                <w:sz w:val="15"/>
              </w:rPr>
              <w:t>8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Manuscript—unblinded / not for review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01_FairQueue2_Manuscript_with_authors.docx</w:t>
            </w:r>
          </w:p>
        </w:tc>
        <w:tc>
          <w:tcPr>
            <w:tcW w:type="dxa" w:w="2379"/>
            <w:vAlign w:val="center"/>
          </w:tcPr>
          <w:p>
            <w:r>
              <w:rPr>
                <w:sz w:val="15"/>
              </w:rPr>
              <w:t>No</w:t>
            </w:r>
          </w:p>
        </w:tc>
      </w:tr>
    </w:tbl>
    <w:p/>
    <w:p>
      <w:r>
        <w:t>The two CSV files in `tables/` are audit-friendly copies; the same two tables are already embedded in both manuscripts. Upload them only if the portal requests separate table files.</w:t>
      </w:r>
    </w:p>
    <w:p>
      <w:pPr>
        <w:pStyle w:val="Heading1"/>
      </w:pPr>
      <w:r>
        <w:t>Verified article requirements</w:t>
      </w:r>
    </w:p>
    <w:p>
      <w:pPr>
        <w:pStyle w:val="ListBullet"/>
      </w:pPr>
      <w:r>
        <w:t>Article type: Research Article; structured abstract uses Introduction, Objectives, Methodology, Results and Practical implication.</w:t>
      </w:r>
    </w:p>
    <w:p>
      <w:pPr>
        <w:pStyle w:val="ListBullet"/>
      </w:pPr>
      <w:r>
        <w:t>Abstract is under the journal’s 200-word limit; six keywords are supplied (allowed range: 3–7).</w:t>
      </w:r>
    </w:p>
    <w:p>
      <w:pPr>
        <w:pStyle w:val="ListBullet"/>
      </w:pPr>
      <w:r>
        <w:t>The article is below the approximate 8,000-word guidance and contains three figures plus two tables.</w:t>
      </w:r>
    </w:p>
    <w:p>
      <w:pPr>
        <w:pStyle w:val="ListBullet"/>
      </w:pPr>
      <w:r>
        <w:t>Practitioner Summary appears between the abstract material and Introduction in both manuscript versions.</w:t>
      </w:r>
    </w:p>
    <w:p>
      <w:pPr>
        <w:pStyle w:val="ListBullet"/>
      </w:pPr>
      <w:r>
        <w:t>Anonymous files contain no author names, affiliations, email addresses, ORCIDs or public-repository identity; personal metadata has been scrubbed.</w:t>
      </w:r>
    </w:p>
    <w:p>
      <w:pPr>
        <w:pStyle w:val="ListBullet"/>
      </w:pPr>
      <w:r>
        <w:t>Subscription publication can be selected without an article publishing charge; open access is optional and should be chosen only if funding is available.</w:t>
      </w:r>
    </w:p>
    <w:p>
      <w:pPr>
        <w:pStyle w:val="Heading1"/>
      </w:pPr>
      <w:r>
        <w:t>ScholarOne form entries</w:t>
      </w:r>
    </w:p>
    <w:p>
      <w:r>
        <w:t>Copy the title and structured abstract from the manuscript. Enter all authors and ORCIDs from the title page. Select 3–7 matching keywords. Declare: no specific funding; no competing interests; public aggregate data only; no ethics approval required. Suggest reviewers only if the portal requests them and after checking institutional conflicts.</w:t>
      </w:r>
    </w:p>
    <w:p>
      <w:pPr>
        <w:pStyle w:val="Heading1"/>
      </w:pPr>
      <w:r>
        <w:t>Final pre-submit checks</w:t>
      </w:r>
    </w:p>
    <w:p>
      <w:pPr>
        <w:pStyle w:val="ListBullet"/>
      </w:pPr>
      <w:r>
        <w:t>Open the generated PDF proof and confirm figure/table placement.</w:t>
      </w:r>
    </w:p>
    <w:p>
      <w:pPr>
        <w:pStyle w:val="ListBullet"/>
      </w:pPr>
      <w:r>
        <w:t>Confirm the anonymous manuscript—not the author copy—is designated for review.</w:t>
      </w:r>
    </w:p>
    <w:p>
      <w:pPr>
        <w:pStyle w:val="ListBullet"/>
      </w:pPr>
      <w:r>
        <w:t>Confirm no tracked changes, comments, hidden author details or temporary Word lock files remain.</w:t>
      </w:r>
    </w:p>
    <w:p>
      <w:pPr>
        <w:pStyle w:val="ListBullet"/>
      </w:pPr>
      <w:r>
        <w:t>Confirm the GitHub repository and any Zenodo archive show the same FairQueue 2.0 code/results before making them public in the unblinded version.</w:t>
      </w:r>
    </w:p>
    <w:p>
      <w:pPr>
        <w:pStyle w:val="ListBullet"/>
      </w:pPr>
      <w:r>
        <w:t>Keep the ZIP as an archive; upload individual files because ScholarOne assigns a designation to each file.</w:t>
      </w:r>
    </w:p>
    <w:p>
      <w:pPr>
        <w:pStyle w:val="Heading1"/>
      </w:pPr>
      <w:r>
        <w:t>Official guidance checked</w:t>
      </w:r>
    </w:p>
    <w:p>
      <w:r>
        <w:t>Journal instructions: https://www.tandfonline.com/journals/thss20/about-this-journal</w:t>
      </w:r>
    </w:p>
    <w:p>
      <w:r>
        <w:t>Taylor &amp; Francis submission checklist: https://authorservices.taylorandfrancis.com/publishing-your-research/making-your-submission/article-submission-checklist/</w:t>
      </w:r>
    </w:p>
    <w:p>
      <w:r>
        <w:t>Anonymous peer review guidance: https://authorservices.taylorandfrancis.com/publishing-your-research/peer-review/anonymous-peer-review/</w:t>
      </w:r>
    </w:p>
    <w:sectPr w:rsidR="00FC693F" w:rsidRPr="0006063C" w:rsidSect="00034616">
      <w:footerReference w:type="default" r:id="rId9"/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Rule="auto" w:line="259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37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6C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6C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F374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FairQueue 2.0: temporally validated forecasting and equity-constrained prioritisation of NHS elective-care pressure using public data</dc:title>
  <dc:subject>Health Systems research article submission</dc:subject>
  <dc:creator>Adebayo Aliu Adetola</dc:creator>
  <cp:keywords>elective care; forecasting; equity; NHS; operations research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