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0" w:name="content"/>
    <w:bookmarkStart w:id="49" w:name="Xfe3650cc516842f1d6f45ecebf4bd3b8e78750a"/>
    <w:p>
      <w:pPr>
        <w:pStyle w:val="Heading1"/>
      </w:pPr>
      <w:r>
        <w:t xml:space="preserve">Octopus Energy Finance Strategy for Enlit Europe 2025 (Bilbao, 18‑20 Nov 2025)</w:t>
      </w:r>
    </w:p>
    <w:bookmarkStart w:id="41" w:name="Xcf4e57098e81dd3722da656c397cdde31ef079b"/>
    <w:p>
      <w:pPr>
        <w:pStyle w:val="Heading2"/>
      </w:pPr>
      <w:r>
        <w:t xml:space="preserve">1 Company Target List – 15 Priority Meeting Targets</w:t>
      </w:r>
    </w:p>
    <w:p>
      <w:pPr>
        <w:pStyle w:val="FirstParagraph"/>
      </w:pPr>
      <w:r>
        <w:t xml:space="preserve">The following companies were selected based on their relevance to Octopus Energy Finance’s focus on mid‑market deals (≈€50M–€500M), renewable development, grid modernisation, storage and flexibility. Sectors include utilities, developers, equipment suppliers, EPC contractors and digital‑platform providers.</w:t>
      </w:r>
      <w:r>
        <w:t xml:space="preserve"> </w:t>
      </w:r>
      <w:r>
        <w:rPr>
          <w:b/>
          <w:bCs/>
        </w:rPr>
        <w:t xml:space="preserve">Priority level</w:t>
      </w:r>
      <w:r>
        <w:t xml:space="preserve"> </w:t>
      </w:r>
      <w:r>
        <w:t xml:space="preserve">indicates the potential fit for financing or partnership discussions.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Company &amp; Sector</w:t>
            </w:r>
          </w:p>
        </w:tc>
        <w:tc>
          <w:tcPr/>
          <w:p>
            <w:pPr>
              <w:pStyle w:val="Compact"/>
            </w:pPr>
            <w:r>
              <w:t xml:space="preserve">Location</w:t>
            </w:r>
          </w:p>
        </w:tc>
        <w:tc>
          <w:tcPr/>
          <w:p>
            <w:pPr>
              <w:pStyle w:val="Compact"/>
            </w:pPr>
            <w:r>
              <w:t xml:space="preserve">Priority</w:t>
            </w:r>
          </w:p>
        </w:tc>
        <w:tc>
          <w:tcPr/>
          <w:p>
            <w:pPr>
              <w:pStyle w:val="Compact"/>
            </w:pPr>
            <w:r>
              <w:t xml:space="preserve">Why relevant (with evidence)</w:t>
            </w:r>
          </w:p>
        </w:tc>
        <w:tc>
          <w:tcPr/>
          <w:p>
            <w:pPr>
              <w:pStyle w:val="Compact"/>
            </w:pPr>
            <w:r>
              <w:t xml:space="preserve">Decision‑makers to target</w:t>
            </w:r>
          </w:p>
        </w:tc>
      </w:tr>
      <w:tr>
        <w:tc>
          <w:tcPr/>
          <w:p>
            <w:pPr>
              <w:pStyle w:val="Compact"/>
            </w:pPr>
            <w:r>
              <w:rPr>
                <w:b/>
                <w:bCs/>
              </w:rPr>
              <w:t xml:space="preserve">Iberdrola – Integrated utility &amp; developer</w:t>
            </w:r>
          </w:p>
        </w:tc>
        <w:tc>
          <w:tcPr/>
          <w:p>
            <w:pPr>
              <w:pStyle w:val="Compact"/>
            </w:pPr>
            <w:r>
              <w:t xml:space="preserve">Spain/International</w:t>
            </w:r>
          </w:p>
        </w:tc>
        <w:tc>
          <w:tcPr/>
          <w:p>
            <w:pPr>
              <w:pStyle w:val="Compact"/>
            </w:pPr>
            <w:r>
              <w:rPr>
                <w:b/>
                <w:bCs/>
              </w:rPr>
              <w:t xml:space="preserve">High</w:t>
            </w:r>
          </w:p>
        </w:tc>
        <w:tc>
          <w:tcPr/>
          <w:p>
            <w:pPr>
              <w:pStyle w:val="Compact"/>
            </w:pPr>
            <w:r>
              <w:t xml:space="preserve">Iberdrola is Spain’s largest utility and one of the world’s leading renewable developers. Investopedia notes that Iberdrola generates, distributes and trades electricity and specializes in clean energy including on‑/offshore wind, pumped hydro, solar PV and battery storage; the group operates in the U.S., U.K., Spain, Mexico and Brazil</w:t>
            </w:r>
            <w:hyperlink r:id="rId21">
              <w:r>
                <w:rPr>
                  <w:rStyle w:val="Hyperlink"/>
                </w:rPr>
                <w:t xml:space="preserve">[1]</w:t>
              </w:r>
            </w:hyperlink>
            <w:r>
              <w:t xml:space="preserve">. Meeting Iberdrola executives could lead to co‑financing of Spanish solar or storage projects.</w:t>
            </w:r>
          </w:p>
        </w:tc>
        <w:tc>
          <w:tcPr/>
          <w:p>
            <w:pPr>
              <w:pStyle w:val="Compact"/>
            </w:pPr>
            <w:r>
              <w:t xml:space="preserve">CEO of Networks &amp; Smart Grids, Director of Renewable Development, Head of Project Finance.</w:t>
            </w:r>
          </w:p>
        </w:tc>
      </w:tr>
      <w:tr>
        <w:tc>
          <w:tcPr/>
          <w:p>
            <w:pPr>
              <w:pStyle w:val="Compact"/>
            </w:pPr>
            <w:r>
              <w:rPr>
                <w:b/>
                <w:bCs/>
              </w:rPr>
              <w:t xml:space="preserve">Siemens Energy – equipment manufacturer &amp; technology provider</w:t>
            </w:r>
          </w:p>
        </w:tc>
        <w:tc>
          <w:tcPr/>
          <w:p>
            <w:pPr>
              <w:pStyle w:val="Compact"/>
            </w:pPr>
            <w:r>
              <w:t xml:space="preserve">Germany/Global</w:t>
            </w:r>
          </w:p>
        </w:tc>
        <w:tc>
          <w:tcPr/>
          <w:p>
            <w:pPr>
              <w:pStyle w:val="Compact"/>
            </w:pPr>
            <w:r>
              <w:rPr>
                <w:b/>
                <w:bCs/>
              </w:rPr>
              <w:t xml:space="preserve">High</w:t>
            </w:r>
          </w:p>
        </w:tc>
        <w:tc>
          <w:tcPr/>
          <w:p>
            <w:pPr>
              <w:pStyle w:val="Compact"/>
            </w:pPr>
            <w:r>
              <w:t xml:space="preserve">Sustainability Magazine reports that Siemens Energy (spun off from Siemens in 2020) owns 117 GW of renewable capacity and that one‑sixth of global electricity generation is based on its technology</w:t>
            </w:r>
            <w:hyperlink r:id="rId22">
              <w:r>
                <w:rPr>
                  <w:rStyle w:val="Hyperlink"/>
                </w:rPr>
                <w:t xml:space="preserve">[2]</w:t>
              </w:r>
            </w:hyperlink>
            <w:r>
              <w:t xml:space="preserve">. The company is involved in major projects such as the 1.4‑GW East Anglia Three offshore wind farm and a 1‑GW electrolyser in Berlin</w:t>
            </w:r>
            <w:hyperlink r:id="rId22">
              <w:r>
                <w:rPr>
                  <w:rStyle w:val="Hyperlink"/>
                </w:rPr>
                <w:t xml:space="preserve">[2]</w:t>
              </w:r>
            </w:hyperlink>
            <w:r>
              <w:t xml:space="preserve">. Octopus could finance projects using Siemens technology or partner on hydrogen initiatives.</w:t>
            </w:r>
          </w:p>
        </w:tc>
        <w:tc>
          <w:tcPr/>
          <w:p>
            <w:pPr>
              <w:pStyle w:val="Compact"/>
            </w:pPr>
            <w:r>
              <w:t xml:space="preserve">CEO or VP for Grid Software, Head of Hybrid &amp; Storage Projects, Business Development for Europe.</w:t>
            </w:r>
          </w:p>
        </w:tc>
      </w:tr>
      <w:tr>
        <w:tc>
          <w:tcPr/>
          <w:p>
            <w:pPr>
              <w:pStyle w:val="Compact"/>
            </w:pPr>
            <w:r>
              <w:rPr>
                <w:b/>
                <w:bCs/>
              </w:rPr>
              <w:t xml:space="preserve">Vestas – wind turbine manufacturer</w:t>
            </w:r>
          </w:p>
        </w:tc>
        <w:tc>
          <w:tcPr/>
          <w:p>
            <w:pPr>
              <w:pStyle w:val="Compact"/>
            </w:pPr>
            <w:r>
              <w:t xml:space="preserve">Denmark/Global</w:t>
            </w:r>
          </w:p>
        </w:tc>
        <w:tc>
          <w:tcPr/>
          <w:p>
            <w:pPr>
              <w:pStyle w:val="Compact"/>
            </w:pPr>
            <w:r>
              <w:rPr>
                <w:b/>
                <w:bCs/>
              </w:rPr>
              <w:t xml:space="preserve">High</w:t>
            </w:r>
          </w:p>
        </w:tc>
        <w:tc>
          <w:tcPr/>
          <w:p>
            <w:pPr>
              <w:pStyle w:val="Compact"/>
            </w:pPr>
            <w:r>
              <w:t xml:space="preserve">Vestas has installed more than</w:t>
            </w:r>
            <w:r>
              <w:t xml:space="preserve"> </w:t>
            </w:r>
            <w:r>
              <w:rPr>
                <w:b/>
                <w:bCs/>
              </w:rPr>
              <w:t xml:space="preserve">189 GW</w:t>
            </w:r>
            <w:r>
              <w:t xml:space="preserve"> </w:t>
            </w:r>
            <w:r>
              <w:t xml:space="preserve">of wind capacity globally and operates in over</w:t>
            </w:r>
            <w:r>
              <w:t xml:space="preserve"> </w:t>
            </w:r>
            <w:r>
              <w:rPr>
                <w:b/>
                <w:bCs/>
              </w:rPr>
              <w:t xml:space="preserve">80 countries</w:t>
            </w:r>
            <w:r>
              <w:t xml:space="preserve">; the company signed a deal in May 2025 for a blades factory in Poland</w:t>
            </w:r>
            <w:hyperlink r:id="rId23">
              <w:r>
                <w:rPr>
                  <w:rStyle w:val="Hyperlink"/>
                </w:rPr>
                <w:t xml:space="preserve">[3]</w:t>
              </w:r>
            </w:hyperlink>
            <w:r>
              <w:t xml:space="preserve">. As Europe’s leading turbine supplier, Vestas is a critical partner for financing onshore and offshore wind projects.</w:t>
            </w:r>
          </w:p>
        </w:tc>
        <w:tc>
          <w:tcPr/>
          <w:p>
            <w:pPr>
              <w:pStyle w:val="Compact"/>
            </w:pPr>
            <w:r>
              <w:t xml:space="preserve">CEO of Sales &amp; Service, Regional VP Europe, Head of Finance Partnerships.</w:t>
            </w:r>
          </w:p>
        </w:tc>
      </w:tr>
      <w:tr>
        <w:tc>
          <w:tcPr/>
          <w:p>
            <w:pPr>
              <w:pStyle w:val="Compact"/>
            </w:pPr>
            <w:r>
              <w:rPr>
                <w:b/>
                <w:bCs/>
              </w:rPr>
              <w:t xml:space="preserve">Enel – utility &amp; renewable developer</w:t>
            </w:r>
          </w:p>
        </w:tc>
        <w:tc>
          <w:tcPr/>
          <w:p>
            <w:pPr>
              <w:pStyle w:val="Compact"/>
            </w:pPr>
            <w:r>
              <w:t xml:space="preserve">Italy/Global</w:t>
            </w:r>
          </w:p>
        </w:tc>
        <w:tc>
          <w:tcPr/>
          <w:p>
            <w:pPr>
              <w:pStyle w:val="Compact"/>
            </w:pPr>
            <w:r>
              <w:rPr>
                <w:b/>
                <w:bCs/>
              </w:rPr>
              <w:t xml:space="preserve">High</w:t>
            </w:r>
          </w:p>
        </w:tc>
        <w:tc>
          <w:tcPr/>
          <w:p>
            <w:pPr>
              <w:pStyle w:val="Compact"/>
            </w:pPr>
            <w:r>
              <w:t xml:space="preserve">Enel is investing</w:t>
            </w:r>
            <w:r>
              <w:t xml:space="preserve"> </w:t>
            </w:r>
            <w:r>
              <w:rPr>
                <w:b/>
                <w:bCs/>
              </w:rPr>
              <w:t xml:space="preserve">US $13.8 billion</w:t>
            </w:r>
            <w:r>
              <w:t xml:space="preserve"> </w:t>
            </w:r>
            <w:r>
              <w:t xml:space="preserve">in renewable energy between 2025–2027 and operates wind, solar, hydro and geothermal assets</w:t>
            </w:r>
            <w:hyperlink r:id="rId24">
              <w:r>
                <w:rPr>
                  <w:rStyle w:val="Hyperlink"/>
                </w:rPr>
                <w:t xml:space="preserve">[4]</w:t>
              </w:r>
            </w:hyperlink>
            <w:r>
              <w:t xml:space="preserve">. The company’s strategy includes hybridisation and repowering to improve renewable efficiency</w:t>
            </w:r>
            <w:hyperlink r:id="rId25">
              <w:r>
                <w:rPr>
                  <w:rStyle w:val="Hyperlink"/>
                </w:rPr>
                <w:t xml:space="preserve">[5]</w:t>
              </w:r>
            </w:hyperlink>
            <w:r>
              <w:t xml:space="preserve">, making it a natural partner for co‑investing in hybrid projects or repowering deals.</w:t>
            </w:r>
          </w:p>
        </w:tc>
        <w:tc>
          <w:tcPr/>
          <w:p>
            <w:pPr>
              <w:pStyle w:val="Compact"/>
            </w:pPr>
            <w:r>
              <w:t xml:space="preserve">CEO of Enel Green Power, Head of Corporate Finance, Director of Hybrid Projects.</w:t>
            </w:r>
          </w:p>
        </w:tc>
      </w:tr>
      <w:tr>
        <w:tc>
          <w:tcPr/>
          <w:p>
            <w:pPr>
              <w:pStyle w:val="Compact"/>
            </w:pPr>
            <w:r>
              <w:rPr>
                <w:b/>
                <w:bCs/>
              </w:rPr>
              <w:t xml:space="preserve">ENGIE – utility &amp; energy services provider</w:t>
            </w:r>
          </w:p>
        </w:tc>
        <w:tc>
          <w:tcPr/>
          <w:p>
            <w:pPr>
              <w:pStyle w:val="Compact"/>
            </w:pPr>
            <w:r>
              <w:t xml:space="preserve">France/International</w:t>
            </w:r>
          </w:p>
        </w:tc>
        <w:tc>
          <w:tcPr/>
          <w:p>
            <w:pPr>
              <w:pStyle w:val="Compact"/>
            </w:pPr>
            <w:r>
              <w:rPr>
                <w:b/>
                <w:bCs/>
              </w:rPr>
              <w:t xml:space="preserve">High</w:t>
            </w:r>
          </w:p>
        </w:tc>
        <w:tc>
          <w:tcPr/>
          <w:p>
            <w:pPr>
              <w:pStyle w:val="Compact"/>
            </w:pPr>
            <w:r>
              <w:t xml:space="preserve">Engie’s strategic plan emphasises decarbonised, decentralised and digitised energy; the group has invested €15 billion in new activities and plans another</w:t>
            </w:r>
            <w:r>
              <w:t xml:space="preserve"> </w:t>
            </w:r>
            <w:r>
              <w:rPr>
                <w:b/>
                <w:bCs/>
              </w:rPr>
              <w:t xml:space="preserve">€12 billion</w:t>
            </w:r>
            <w:r>
              <w:t xml:space="preserve"> </w:t>
            </w:r>
            <w:r>
              <w:t xml:space="preserve">for renewable projects to reach</w:t>
            </w:r>
            <w:r>
              <w:t xml:space="preserve"> </w:t>
            </w:r>
            <w:r>
              <w:rPr>
                <w:b/>
                <w:bCs/>
              </w:rPr>
              <w:t xml:space="preserve">52–64 GW</w:t>
            </w:r>
            <w:r>
              <w:t xml:space="preserve"> </w:t>
            </w:r>
            <w:r>
              <w:t xml:space="preserve">of renewable capacity by 2026</w:t>
            </w:r>
            <w:hyperlink r:id="rId26">
              <w:r>
                <w:rPr>
                  <w:rStyle w:val="Hyperlink"/>
                </w:rPr>
                <w:t xml:space="preserve">[6]</w:t>
              </w:r>
            </w:hyperlink>
            <w:r>
              <w:t xml:space="preserve">. It focuses on smart grids, green mobility, energy storage and hydrogen</w:t>
            </w:r>
            <w:hyperlink r:id="rId26">
              <w:r>
                <w:rPr>
                  <w:rStyle w:val="Hyperlink"/>
                </w:rPr>
                <w:t xml:space="preserve">[7]</w:t>
              </w:r>
            </w:hyperlink>
            <w:r>
              <w:t xml:space="preserve">. Octopus could offer structured finance for ENGIE’s decentralised generation or storage projects.</w:t>
            </w:r>
          </w:p>
        </w:tc>
        <w:tc>
          <w:tcPr/>
          <w:p>
            <w:pPr>
              <w:pStyle w:val="Compact"/>
            </w:pPr>
            <w:r>
              <w:t xml:space="preserve">EVP Renewables &amp; Hydrogen, Head of Investments, CFO of ENGIE Impact.</w:t>
            </w:r>
          </w:p>
        </w:tc>
      </w:tr>
      <w:tr>
        <w:tc>
          <w:tcPr/>
          <w:p>
            <w:pPr>
              <w:pStyle w:val="Compact"/>
            </w:pPr>
            <w:r>
              <w:rPr>
                <w:b/>
                <w:bCs/>
              </w:rPr>
              <w:t xml:space="preserve">RWE – utility &amp; renewable developer</w:t>
            </w:r>
          </w:p>
        </w:tc>
        <w:tc>
          <w:tcPr/>
          <w:p>
            <w:pPr>
              <w:pStyle w:val="Compact"/>
            </w:pPr>
            <w:r>
              <w:t xml:space="preserve">Germany/International</w:t>
            </w:r>
          </w:p>
        </w:tc>
        <w:tc>
          <w:tcPr/>
          <w:p>
            <w:pPr>
              <w:pStyle w:val="Compact"/>
            </w:pPr>
            <w:r>
              <w:rPr>
                <w:b/>
                <w:bCs/>
              </w:rPr>
              <w:t xml:space="preserve">High</w:t>
            </w:r>
          </w:p>
        </w:tc>
        <w:tc>
          <w:tcPr/>
          <w:p>
            <w:pPr>
              <w:pStyle w:val="Compact"/>
            </w:pPr>
            <w:r>
              <w:t xml:space="preserve">RWE is adding renewable capacity and aims to be climate neutral by</w:t>
            </w:r>
            <w:r>
              <w:t xml:space="preserve"> </w:t>
            </w:r>
            <w:r>
              <w:rPr>
                <w:b/>
                <w:bCs/>
              </w:rPr>
              <w:t xml:space="preserve">2040</w:t>
            </w:r>
            <w:r>
              <w:t xml:space="preserve">. Sustainability Magazine notes that the company recently energised the Langford Solar Farm and views it as an important step in its solar ambitions</w:t>
            </w:r>
            <w:hyperlink r:id="rId27">
              <w:r>
                <w:rPr>
                  <w:rStyle w:val="Hyperlink"/>
                </w:rPr>
                <w:t xml:space="preserve">[8]</w:t>
              </w:r>
            </w:hyperlink>
            <w:r>
              <w:t xml:space="preserve">. RWE’s renewable pipeline provides opportunities for mid‑market financing.</w:t>
            </w:r>
          </w:p>
        </w:tc>
        <w:tc>
          <w:tcPr/>
          <w:p>
            <w:pPr>
              <w:pStyle w:val="Compact"/>
            </w:pPr>
            <w:r>
              <w:t xml:space="preserve">CEO of RWE Renewables, Head of Solar Development, Project Finance Director.</w:t>
            </w:r>
          </w:p>
        </w:tc>
      </w:tr>
      <w:tr>
        <w:tc>
          <w:tcPr/>
          <w:p>
            <w:pPr>
              <w:pStyle w:val="Compact"/>
            </w:pPr>
            <w:r>
              <w:rPr>
                <w:b/>
                <w:bCs/>
              </w:rPr>
              <w:t xml:space="preserve">Ørsted – offshore wind developer</w:t>
            </w:r>
          </w:p>
        </w:tc>
        <w:tc>
          <w:tcPr/>
          <w:p>
            <w:pPr>
              <w:pStyle w:val="Compact"/>
            </w:pPr>
            <w:r>
              <w:t xml:space="preserve">Denmark/Global</w:t>
            </w:r>
          </w:p>
        </w:tc>
        <w:tc>
          <w:tcPr/>
          <w:p>
            <w:pPr>
              <w:pStyle w:val="Compact"/>
            </w:pPr>
            <w:r>
              <w:rPr>
                <w:b/>
                <w:bCs/>
              </w:rPr>
              <w:t xml:space="preserve">High</w:t>
            </w:r>
          </w:p>
        </w:tc>
        <w:tc>
          <w:tcPr/>
          <w:p>
            <w:pPr>
              <w:pStyle w:val="Compact"/>
            </w:pPr>
            <w:r>
              <w:t xml:space="preserve">Ørsted is the world’s leading offshore wind developer; it operates Hornsea 2 and manages a UK fleet with</w:t>
            </w:r>
            <w:r>
              <w:t xml:space="preserve"> </w:t>
            </w:r>
            <w:r>
              <w:rPr>
                <w:b/>
                <w:bCs/>
              </w:rPr>
              <w:t xml:space="preserve">5.6 GW</w:t>
            </w:r>
            <w:r>
              <w:t xml:space="preserve"> </w:t>
            </w:r>
            <w:r>
              <w:t xml:space="preserve">capacity</w:t>
            </w:r>
            <w:hyperlink r:id="rId28">
              <w:r>
                <w:rPr>
                  <w:rStyle w:val="Hyperlink"/>
                </w:rPr>
                <w:t xml:space="preserve">[9]</w:t>
              </w:r>
            </w:hyperlink>
            <w:r>
              <w:t xml:space="preserve">. Collaborations may include financing of large‑scale offshore wind and storage integration.</w:t>
            </w:r>
          </w:p>
        </w:tc>
        <w:tc>
          <w:tcPr/>
          <w:p>
            <w:pPr>
              <w:pStyle w:val="Compact"/>
            </w:pPr>
            <w:r>
              <w:t xml:space="preserve">VP of Partnerships, Head of Offshore Development, CFO.</w:t>
            </w:r>
          </w:p>
        </w:tc>
      </w:tr>
      <w:tr>
        <w:tc>
          <w:tcPr/>
          <w:p>
            <w:pPr>
              <w:pStyle w:val="Compact"/>
            </w:pPr>
            <w:r>
              <w:rPr>
                <w:b/>
                <w:bCs/>
              </w:rPr>
              <w:t xml:space="preserve">Neoen – independent power producer (IPP)</w:t>
            </w:r>
          </w:p>
        </w:tc>
        <w:tc>
          <w:tcPr/>
          <w:p>
            <w:pPr>
              <w:pStyle w:val="Compact"/>
            </w:pPr>
            <w:r>
              <w:t xml:space="preserve">France/International</w:t>
            </w:r>
          </w:p>
        </w:tc>
        <w:tc>
          <w:tcPr/>
          <w:p>
            <w:pPr>
              <w:pStyle w:val="Compact"/>
            </w:pPr>
            <w:r>
              <w:rPr>
                <w:b/>
                <w:bCs/>
              </w:rPr>
              <w:t xml:space="preserve">High</w:t>
            </w:r>
          </w:p>
        </w:tc>
        <w:tc>
          <w:tcPr/>
          <w:p>
            <w:pPr>
              <w:pStyle w:val="Compact"/>
            </w:pPr>
            <w:r>
              <w:t xml:space="preserve">Neoen produces exclusively renewable energy; it operates nearly</w:t>
            </w:r>
            <w:r>
              <w:t xml:space="preserve"> </w:t>
            </w:r>
            <w:r>
              <w:rPr>
                <w:b/>
                <w:bCs/>
              </w:rPr>
              <w:t xml:space="preserve">200 assets across 14 countries</w:t>
            </w:r>
            <w:r>
              <w:t xml:space="preserve"> </w:t>
            </w:r>
            <w:r>
              <w:t xml:space="preserve">and has</w:t>
            </w:r>
            <w:r>
              <w:t xml:space="preserve"> </w:t>
            </w:r>
            <w:r>
              <w:rPr>
                <w:b/>
                <w:bCs/>
              </w:rPr>
              <w:t xml:space="preserve">8.9 GW</w:t>
            </w:r>
            <w:r>
              <w:t xml:space="preserve"> </w:t>
            </w:r>
            <w:r>
              <w:t xml:space="preserve">of renewable capacity</w:t>
            </w:r>
            <w:hyperlink r:id="rId29">
              <w:r>
                <w:rPr>
                  <w:rStyle w:val="Hyperlink"/>
                </w:rPr>
                <w:t xml:space="preserve">[10]</w:t>
              </w:r>
            </w:hyperlink>
            <w:r>
              <w:t xml:space="preserve">. Octopus could finance battery storage or solar projects with Neoen, which often retains ownership and long‑term PPAs.</w:t>
            </w:r>
          </w:p>
        </w:tc>
        <w:tc>
          <w:tcPr/>
          <w:p>
            <w:pPr>
              <w:pStyle w:val="Compact"/>
            </w:pPr>
            <w:r>
              <w:t xml:space="preserve">CEO, Head of Project Finance, Director of Storage.</w:t>
            </w:r>
          </w:p>
        </w:tc>
      </w:tr>
      <w:tr>
        <w:tc>
          <w:tcPr/>
          <w:p>
            <w:pPr>
              <w:pStyle w:val="Compact"/>
            </w:pPr>
            <w:r>
              <w:rPr>
                <w:b/>
                <w:bCs/>
              </w:rPr>
              <w:t xml:space="preserve">Statkraft – hydropower &amp; renewables developer</w:t>
            </w:r>
          </w:p>
        </w:tc>
        <w:tc>
          <w:tcPr/>
          <w:p>
            <w:pPr>
              <w:pStyle w:val="Compact"/>
            </w:pPr>
            <w:r>
              <w:t xml:space="preserve">Norway/International</w:t>
            </w:r>
          </w:p>
        </w:tc>
        <w:tc>
          <w:tcPr/>
          <w:p>
            <w:pPr>
              <w:pStyle w:val="Compact"/>
            </w:pPr>
            <w:r>
              <w:rPr>
                <w:b/>
                <w:bCs/>
              </w:rPr>
              <w:t xml:space="preserve">Medium</w:t>
            </w:r>
          </w:p>
        </w:tc>
        <w:tc>
          <w:tcPr/>
          <w:p>
            <w:pPr>
              <w:pStyle w:val="Compact"/>
            </w:pPr>
            <w:r>
              <w:t xml:space="preserve">Statkraft has more than a century of hydropower experience and</w:t>
            </w:r>
            <w:r>
              <w:t xml:space="preserve"> </w:t>
            </w:r>
            <w:r>
              <w:rPr>
                <w:b/>
                <w:bCs/>
              </w:rPr>
              <w:t xml:space="preserve">21 GW</w:t>
            </w:r>
            <w:r>
              <w:t xml:space="preserve"> </w:t>
            </w:r>
            <w:r>
              <w:t xml:space="preserve">of renewable capacity</w:t>
            </w:r>
            <w:hyperlink r:id="rId30">
              <w:r>
                <w:rPr>
                  <w:rStyle w:val="Hyperlink"/>
                </w:rPr>
                <w:t xml:space="preserve">[11]</w:t>
              </w:r>
            </w:hyperlink>
            <w:r>
              <w:t xml:space="preserve">. The company is building the Aura power plant to deliver more capacity without using additional water</w:t>
            </w:r>
            <w:hyperlink r:id="rId31">
              <w:r>
                <w:rPr>
                  <w:rStyle w:val="Hyperlink"/>
                </w:rPr>
                <w:t xml:space="preserve">[12]</w:t>
              </w:r>
            </w:hyperlink>
            <w:r>
              <w:t xml:space="preserve">. Octopus could explore run‑of‑river hydro, pumped storage or Nordic wind investments.</w:t>
            </w:r>
          </w:p>
        </w:tc>
        <w:tc>
          <w:tcPr/>
          <w:p>
            <w:pPr>
              <w:pStyle w:val="Compact"/>
            </w:pPr>
            <w:r>
              <w:t xml:space="preserve">EVP International Power, Head of New Developments, Investment Manager.</w:t>
            </w:r>
          </w:p>
        </w:tc>
      </w:tr>
      <w:tr>
        <w:tc>
          <w:tcPr/>
          <w:p>
            <w:pPr>
              <w:pStyle w:val="Compact"/>
            </w:pPr>
            <w:r>
              <w:rPr>
                <w:b/>
                <w:bCs/>
              </w:rPr>
              <w:t xml:space="preserve">TotalEnergies – energy major moving into renewables</w:t>
            </w:r>
          </w:p>
        </w:tc>
        <w:tc>
          <w:tcPr/>
          <w:p>
            <w:pPr>
              <w:pStyle w:val="Compact"/>
            </w:pPr>
            <w:r>
              <w:t xml:space="preserve">France/Global</w:t>
            </w:r>
          </w:p>
        </w:tc>
        <w:tc>
          <w:tcPr/>
          <w:p>
            <w:pPr>
              <w:pStyle w:val="Compact"/>
            </w:pPr>
            <w:r>
              <w:rPr>
                <w:b/>
                <w:bCs/>
              </w:rPr>
              <w:t xml:space="preserve">Medium</w:t>
            </w:r>
          </w:p>
        </w:tc>
        <w:tc>
          <w:tcPr/>
          <w:p>
            <w:pPr>
              <w:pStyle w:val="Compact"/>
            </w:pPr>
            <w:r>
              <w:t xml:space="preserve">TotalEnergies aims to reach</w:t>
            </w:r>
            <w:r>
              <w:t xml:space="preserve"> </w:t>
            </w:r>
            <w:r>
              <w:rPr>
                <w:b/>
                <w:bCs/>
              </w:rPr>
              <w:t xml:space="preserve">100 GW</w:t>
            </w:r>
            <w:r>
              <w:t xml:space="preserve"> </w:t>
            </w:r>
            <w:r>
              <w:t xml:space="preserve">of installed renewable capacity by</w:t>
            </w:r>
            <w:r>
              <w:t xml:space="preserve"> </w:t>
            </w:r>
            <w:r>
              <w:rPr>
                <w:b/>
                <w:bCs/>
              </w:rPr>
              <w:t xml:space="preserve">2030</w:t>
            </w:r>
            <w:r>
              <w:t xml:space="preserve">; it recently acquired a pipeline of eight solar and battery projects in the UK as part of its integrated power strategy</w:t>
            </w:r>
            <w:hyperlink r:id="rId32">
              <w:r>
                <w:rPr>
                  <w:rStyle w:val="Hyperlink"/>
                </w:rPr>
                <w:t xml:space="preserve">[13]</w:t>
              </w:r>
            </w:hyperlink>
            <w:r>
              <w:t xml:space="preserve">. With a large balance sheet and aggressive renewables pivot, the company could partner with Octopus on battery storage or hybrid projects.</w:t>
            </w:r>
          </w:p>
        </w:tc>
        <w:tc>
          <w:tcPr/>
          <w:p>
            <w:pPr>
              <w:pStyle w:val="Compact"/>
            </w:pPr>
            <w:r>
              <w:t xml:space="preserve">EVP Renewables &amp; Power, Head of Project Finance, Director of Integrated Power.</w:t>
            </w:r>
          </w:p>
        </w:tc>
      </w:tr>
      <w:tr>
        <w:tc>
          <w:tcPr/>
          <w:p>
            <w:pPr>
              <w:pStyle w:val="Compact"/>
            </w:pPr>
            <w:r>
              <w:rPr>
                <w:b/>
                <w:bCs/>
              </w:rPr>
              <w:t xml:space="preserve">Schneider Electric – grid digitalisation &amp; automation</w:t>
            </w:r>
          </w:p>
        </w:tc>
        <w:tc>
          <w:tcPr/>
          <w:p>
            <w:pPr>
              <w:pStyle w:val="Compact"/>
            </w:pPr>
            <w:r>
              <w:t xml:space="preserve">France/Global</w:t>
            </w:r>
          </w:p>
        </w:tc>
        <w:tc>
          <w:tcPr/>
          <w:p>
            <w:pPr>
              <w:pStyle w:val="Compact"/>
            </w:pPr>
            <w:r>
              <w:rPr>
                <w:b/>
                <w:bCs/>
              </w:rPr>
              <w:t xml:space="preserve">Medium</w:t>
            </w:r>
          </w:p>
        </w:tc>
        <w:tc>
          <w:tcPr/>
          <w:p>
            <w:pPr>
              <w:pStyle w:val="Compact"/>
            </w:pPr>
            <w:r>
              <w:t xml:space="preserve">Schneider Electric unveiled the</w:t>
            </w:r>
            <w:r>
              <w:t xml:space="preserve"> </w:t>
            </w:r>
            <w:r>
              <w:rPr>
                <w:b/>
                <w:bCs/>
              </w:rPr>
              <w:t xml:space="preserve">One Digital Grid Platform</w:t>
            </w:r>
            <w:r>
              <w:t xml:space="preserve">, an AI‑powered platform that enhances grid resiliency, reliability and efficiency; it provides real‑time insights, predictive analytics and automation</w:t>
            </w:r>
            <w:hyperlink r:id="rId33">
              <w:r>
                <w:rPr>
                  <w:rStyle w:val="Hyperlink"/>
                </w:rPr>
                <w:t xml:space="preserve">[14]</w:t>
              </w:r>
            </w:hyperlink>
            <w:r>
              <w:t xml:space="preserve">. The platform helps utilities modernise grids and integrate distributed energy resources</w:t>
            </w:r>
            <w:hyperlink r:id="rId33">
              <w:r>
                <w:rPr>
                  <w:rStyle w:val="Hyperlink"/>
                </w:rPr>
                <w:t xml:space="preserve">[14]</w:t>
              </w:r>
            </w:hyperlink>
            <w:r>
              <w:t xml:space="preserve">. Octopus could explore financing digital grid deployments or joint market initiatives.</w:t>
            </w:r>
          </w:p>
        </w:tc>
        <w:tc>
          <w:tcPr/>
          <w:p>
            <w:pPr>
              <w:pStyle w:val="Compact"/>
            </w:pPr>
            <w:r>
              <w:t xml:space="preserve">CEO Digital Grid, VP Strategic Partnerships, Director of Utilities Business.</w:t>
            </w:r>
          </w:p>
        </w:tc>
      </w:tr>
      <w:tr>
        <w:tc>
          <w:tcPr/>
          <w:p>
            <w:pPr>
              <w:pStyle w:val="Compact"/>
            </w:pPr>
            <w:r>
              <w:rPr>
                <w:b/>
                <w:bCs/>
              </w:rPr>
              <w:t xml:space="preserve">Gridspertise – smart‑grid technology provider</w:t>
            </w:r>
          </w:p>
        </w:tc>
        <w:tc>
          <w:tcPr/>
          <w:p>
            <w:pPr>
              <w:pStyle w:val="Compact"/>
            </w:pPr>
            <w:r>
              <w:t xml:space="preserve">Italy/International</w:t>
            </w:r>
          </w:p>
        </w:tc>
        <w:tc>
          <w:tcPr/>
          <w:p>
            <w:pPr>
              <w:pStyle w:val="Compact"/>
            </w:pPr>
            <w:r>
              <w:rPr>
                <w:b/>
                <w:bCs/>
              </w:rPr>
              <w:t xml:space="preserve">Medium</w:t>
            </w:r>
          </w:p>
        </w:tc>
        <w:tc>
          <w:tcPr/>
          <w:p>
            <w:pPr>
              <w:pStyle w:val="Compact"/>
            </w:pPr>
            <w:r>
              <w:t xml:space="preserve">Gridspertise offers intelligent devices and a cloud‑edge platform to accelerate the digital transformation of distribution grids</w:t>
            </w:r>
            <w:hyperlink r:id="rId34">
              <w:r>
                <w:rPr>
                  <w:rStyle w:val="Hyperlink"/>
                </w:rPr>
                <w:t xml:space="preserve">[15]</w:t>
              </w:r>
            </w:hyperlink>
            <w:r>
              <w:t xml:space="preserve">. It has delivered technology for</w:t>
            </w:r>
            <w:r>
              <w:t xml:space="preserve"> </w:t>
            </w:r>
            <w:r>
              <w:rPr>
                <w:b/>
                <w:bCs/>
              </w:rPr>
              <w:t xml:space="preserve">100 million smart meters</w:t>
            </w:r>
            <w:r>
              <w:t xml:space="preserve"> </w:t>
            </w:r>
            <w:r>
              <w:t xml:space="preserve">globally and was carved out of Enel</w:t>
            </w:r>
            <w:hyperlink r:id="rId35">
              <w:r>
                <w:rPr>
                  <w:rStyle w:val="Hyperlink"/>
                </w:rPr>
                <w:t xml:space="preserve">[16]</w:t>
              </w:r>
            </w:hyperlink>
            <w:r>
              <w:t xml:space="preserve">. Partnership discussions could involve financing deployment of edge devices in DSOs’ networks.</w:t>
            </w:r>
          </w:p>
        </w:tc>
        <w:tc>
          <w:tcPr/>
          <w:p>
            <w:pPr>
              <w:pStyle w:val="Compact"/>
            </w:pPr>
            <w:r>
              <w:t xml:space="preserve">CEO, Head of Commercial Partnerships, Chief Technology Officer.</w:t>
            </w:r>
          </w:p>
        </w:tc>
      </w:tr>
      <w:tr>
        <w:tc>
          <w:tcPr/>
          <w:p>
            <w:pPr>
              <w:pStyle w:val="Compact"/>
            </w:pPr>
            <w:r>
              <w:rPr>
                <w:b/>
                <w:bCs/>
              </w:rPr>
              <w:t xml:space="preserve">Elevion Group – energy efficiency &amp; EPC services</w:t>
            </w:r>
          </w:p>
        </w:tc>
        <w:tc>
          <w:tcPr/>
          <w:p>
            <w:pPr>
              <w:pStyle w:val="Compact"/>
            </w:pPr>
            <w:r>
              <w:t xml:space="preserve">Netherlands/Europe</w:t>
            </w:r>
          </w:p>
        </w:tc>
        <w:tc>
          <w:tcPr/>
          <w:p>
            <w:pPr>
              <w:pStyle w:val="Compact"/>
            </w:pPr>
            <w:r>
              <w:rPr>
                <w:b/>
                <w:bCs/>
              </w:rPr>
              <w:t xml:space="preserve">Medium</w:t>
            </w:r>
          </w:p>
        </w:tc>
        <w:tc>
          <w:tcPr/>
          <w:p>
            <w:pPr>
              <w:pStyle w:val="Compact"/>
            </w:pPr>
            <w:r>
              <w:t xml:space="preserve">Elevion Group is Europe’s leading provider of end‑to‑end decarbonisation and energy‑efficiency solutions and operates in more than</w:t>
            </w:r>
            <w:r>
              <w:t xml:space="preserve"> </w:t>
            </w:r>
            <w:r>
              <w:rPr>
                <w:b/>
                <w:bCs/>
              </w:rPr>
              <w:t xml:space="preserve">13 European markets</w:t>
            </w:r>
            <w:r>
              <w:t xml:space="preserve"> </w:t>
            </w:r>
            <w:r>
              <w:t xml:space="preserve">through over</w:t>
            </w:r>
            <w:r>
              <w:t xml:space="preserve"> </w:t>
            </w:r>
            <w:r>
              <w:rPr>
                <w:b/>
                <w:bCs/>
              </w:rPr>
              <w:t xml:space="preserve">80 specialised companies</w:t>
            </w:r>
            <w:hyperlink r:id="rId36">
              <w:r>
                <w:rPr>
                  <w:rStyle w:val="Hyperlink"/>
                </w:rPr>
                <w:t xml:space="preserve">[17]</w:t>
              </w:r>
            </w:hyperlink>
            <w:r>
              <w:t xml:space="preserve">. Its unique structure allows projects of various sizes</w:t>
            </w:r>
            <w:hyperlink r:id="rId36">
              <w:r>
                <w:rPr>
                  <w:rStyle w:val="Hyperlink"/>
                </w:rPr>
                <w:t xml:space="preserve">[17]</w:t>
              </w:r>
            </w:hyperlink>
            <w:r>
              <w:t xml:space="preserve">. Octopus could finance ESCO and building‑scale energy‑efficiency projects or partner on demand‑side flexibility.</w:t>
            </w:r>
          </w:p>
        </w:tc>
        <w:tc>
          <w:tcPr/>
          <w:p>
            <w:pPr>
              <w:pStyle w:val="Compact"/>
            </w:pPr>
            <w:r>
              <w:t xml:space="preserve">CEO, Head of Finance &amp; Treasury, Director of Development.</w:t>
            </w:r>
          </w:p>
        </w:tc>
      </w:tr>
      <w:tr>
        <w:tc>
          <w:tcPr/>
          <w:p>
            <w:pPr>
              <w:pStyle w:val="Compact"/>
            </w:pPr>
            <w:r>
              <w:rPr>
                <w:b/>
                <w:bCs/>
              </w:rPr>
              <w:t xml:space="preserve">Acciona Energía – renewable developer</w:t>
            </w:r>
          </w:p>
        </w:tc>
        <w:tc>
          <w:tcPr/>
          <w:p>
            <w:pPr>
              <w:pStyle w:val="Compact"/>
            </w:pPr>
            <w:r>
              <w:t xml:space="preserve">Spain/International</w:t>
            </w:r>
          </w:p>
        </w:tc>
        <w:tc>
          <w:tcPr/>
          <w:p>
            <w:pPr>
              <w:pStyle w:val="Compact"/>
            </w:pPr>
            <w:r>
              <w:rPr>
                <w:b/>
                <w:bCs/>
              </w:rPr>
              <w:t xml:space="preserve">Medium</w:t>
            </w:r>
          </w:p>
        </w:tc>
        <w:tc>
          <w:tcPr/>
          <w:p>
            <w:pPr>
              <w:pStyle w:val="Compact"/>
            </w:pPr>
            <w:r>
              <w:t xml:space="preserve">Acciona Energía describes itself as “the world’s first energy operator with activities exclusively in renewable energy,” noting that it has no legacy of fossil‑fuel technologies and leads decarbonisation through advanced solutions</w:t>
            </w:r>
            <w:hyperlink r:id="rId37">
              <w:r>
                <w:rPr>
                  <w:rStyle w:val="Hyperlink"/>
                </w:rPr>
                <w:t xml:space="preserve">[18]</w:t>
              </w:r>
            </w:hyperlink>
            <w:r>
              <w:t xml:space="preserve">. It specialises in wind, solar, hydro, biomass and storage technologies</w:t>
            </w:r>
            <w:hyperlink r:id="rId38">
              <w:r>
                <w:rPr>
                  <w:rStyle w:val="Hyperlink"/>
                </w:rPr>
                <w:t xml:space="preserve">[19]</w:t>
              </w:r>
            </w:hyperlink>
            <w:r>
              <w:t xml:space="preserve">. Financing opportunities include large solar or onshore wind farms.</w:t>
            </w:r>
          </w:p>
        </w:tc>
        <w:tc>
          <w:tcPr/>
          <w:p>
            <w:pPr>
              <w:pStyle w:val="Compact"/>
            </w:pPr>
            <w:r>
              <w:t xml:space="preserve">CEO, Director of Finance, Head of Wind &amp; Solar Development.</w:t>
            </w:r>
          </w:p>
        </w:tc>
      </w:tr>
      <w:tr>
        <w:tc>
          <w:tcPr/>
          <w:p>
            <w:pPr>
              <w:pStyle w:val="Compact"/>
            </w:pPr>
            <w:r>
              <w:rPr>
                <w:b/>
                <w:bCs/>
              </w:rPr>
              <w:t xml:space="preserve">EDP Renewables (EDPR) – independent power producer</w:t>
            </w:r>
          </w:p>
        </w:tc>
        <w:tc>
          <w:tcPr/>
          <w:p>
            <w:pPr>
              <w:pStyle w:val="Compact"/>
            </w:pPr>
            <w:r>
              <w:t xml:space="preserve">Portugal/Global</w:t>
            </w:r>
          </w:p>
        </w:tc>
        <w:tc>
          <w:tcPr/>
          <w:p>
            <w:pPr>
              <w:pStyle w:val="Compact"/>
            </w:pPr>
            <w:r>
              <w:rPr>
                <w:b/>
                <w:bCs/>
              </w:rPr>
              <w:t xml:space="preserve">Medium</w:t>
            </w:r>
          </w:p>
        </w:tc>
        <w:tc>
          <w:tcPr/>
          <w:p>
            <w:pPr>
              <w:pStyle w:val="Compact"/>
            </w:pPr>
            <w:r>
              <w:t xml:space="preserve">EDPR is a global producer of solar and wind power and the</w:t>
            </w:r>
            <w:r>
              <w:t xml:space="preserve"> </w:t>
            </w:r>
            <w:r>
              <w:rPr>
                <w:b/>
                <w:bCs/>
              </w:rPr>
              <w:t xml:space="preserve">fourth‑largest</w:t>
            </w:r>
            <w:r>
              <w:t xml:space="preserve"> </w:t>
            </w:r>
            <w:r>
              <w:t xml:space="preserve">producer of wind generation; it has more than</w:t>
            </w:r>
            <w:r>
              <w:t xml:space="preserve"> </w:t>
            </w:r>
            <w:r>
              <w:rPr>
                <w:b/>
                <w:bCs/>
              </w:rPr>
              <w:t xml:space="preserve">270 wind farms</w:t>
            </w:r>
            <w:r>
              <w:t xml:space="preserve"> </w:t>
            </w:r>
            <w:r>
              <w:t xml:space="preserve">and over</w:t>
            </w:r>
            <w:r>
              <w:t xml:space="preserve"> </w:t>
            </w:r>
            <w:r>
              <w:rPr>
                <w:b/>
                <w:bCs/>
              </w:rPr>
              <w:t xml:space="preserve">11,400 MW</w:t>
            </w:r>
            <w:r>
              <w:t xml:space="preserve"> </w:t>
            </w:r>
            <w:r>
              <w:t xml:space="preserve">of renewables in operation in North America</w:t>
            </w:r>
            <w:hyperlink r:id="rId39">
              <w:r>
                <w:rPr>
                  <w:rStyle w:val="Hyperlink"/>
                </w:rPr>
                <w:t xml:space="preserve">[20]</w:t>
              </w:r>
            </w:hyperlink>
            <w:r>
              <w:t xml:space="preserve">. Its projects bring significant capital investment and community benefits</w:t>
            </w:r>
            <w:hyperlink r:id="rId40">
              <w:r>
                <w:rPr>
                  <w:rStyle w:val="Hyperlink"/>
                </w:rPr>
                <w:t xml:space="preserve">[21]</w:t>
              </w:r>
            </w:hyperlink>
            <w:r>
              <w:t xml:space="preserve">. Octopus could co‑finance European wind or battery projects with EDPR.</w:t>
            </w:r>
          </w:p>
        </w:tc>
        <w:tc>
          <w:tcPr/>
          <w:p>
            <w:pPr>
              <w:pStyle w:val="Compact"/>
            </w:pPr>
            <w:r>
              <w:t xml:space="preserve">CFO, Head of Project Finance, VP North Europe.</w:t>
            </w:r>
          </w:p>
        </w:tc>
      </w:tr>
      <w:tr>
        <w:tc>
          <w:tcPr/>
          <w:p>
            <w:pPr>
              <w:pStyle w:val="Compact"/>
            </w:pPr>
            <w:r>
              <w:rPr>
                <w:b/>
                <w:bCs/>
              </w:rPr>
              <w:t xml:space="preserve">Neother</w:t>
            </w:r>
            <w:r>
              <w:t xml:space="preserve">: additional targets could include technology platforms like</w:t>
            </w:r>
            <w:r>
              <w:t xml:space="preserve"> </w:t>
            </w:r>
            <w:r>
              <w:rPr>
                <w:b/>
                <w:bCs/>
              </w:rPr>
              <w:t xml:space="preserve">Kaluza</w:t>
            </w:r>
            <w:r>
              <w:t xml:space="preserve"> </w:t>
            </w:r>
            <w:r>
              <w:t xml:space="preserve">or</w:t>
            </w:r>
            <w:r>
              <w:t xml:space="preserve"> </w:t>
            </w:r>
            <w:r>
              <w:rPr>
                <w:b/>
                <w:bCs/>
              </w:rPr>
              <w:t xml:space="preserve">Kraken Technologies</w:t>
            </w:r>
            <w:r>
              <w:t xml:space="preserve">, which provide flexibility software for demand‑side response; however, these are within Octopus’s own ecosystem and may not require separate meetings.</w:t>
            </w:r>
          </w:p>
        </w:tc>
        <w:tc>
          <w:tcPr/>
          <w:p>
            <w:pPr>
              <w:pStyle w:val="Compact"/>
            </w:pPr>
          </w:p>
        </w:tc>
        <w:tc>
          <w:tcPr/>
          <w:p>
            <w:pPr>
              <w:pStyle w:val="Compact"/>
            </w:pPr>
          </w:p>
        </w:tc>
        <w:tc>
          <w:tcPr/>
          <w:p>
            <w:pPr>
              <w:pStyle w:val="Compact"/>
            </w:pPr>
          </w:p>
        </w:tc>
        <w:tc>
          <w:tcPr/>
          <w:p>
            <w:pPr>
              <w:pStyle w:val="Compact"/>
            </w:pPr>
          </w:p>
        </w:tc>
      </w:tr>
    </w:tbl>
    <w:bookmarkEnd w:id="41"/>
    <w:bookmarkStart w:id="45" w:name="most-relevant-sessions-presentations"/>
    <w:p>
      <w:pPr>
        <w:pStyle w:val="Heading2"/>
      </w:pPr>
      <w:r>
        <w:t xml:space="preserve">2 Most Relevant Sessions &amp; Presentations</w:t>
      </w:r>
    </w:p>
    <w:p>
      <w:pPr>
        <w:pStyle w:val="FirstParagraph"/>
      </w:pPr>
      <w:r>
        <w:t xml:space="preserve">The exact Enlit Europe 2025 programme has not been released at the time of writing. However, the event’s hub structure (AI Hub, Decarbonisation Hub, Digitalisation Hub, Energy Democracy Hub, Energy Storage &amp; Flexible Demand Hub, Generation Innovation Hub, Grid Transformation Hub, Mobility Hub and EU Projects Zone) is described in Enlit’s navigation. Based on these hubs and Octopus Energy Finance’s objectives, the following sessions are recommended (times are provisional and will need confirmation once the official schedule is published):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Session Title (proposed)</w:t>
            </w:r>
          </w:p>
        </w:tc>
        <w:tc>
          <w:tcPr/>
          <w:p>
            <w:pPr>
              <w:pStyle w:val="Compact"/>
            </w:pPr>
            <w:r>
              <w:t xml:space="preserve">Day/Time*</w:t>
            </w:r>
          </w:p>
        </w:tc>
        <w:tc>
          <w:tcPr/>
          <w:p>
            <w:pPr>
              <w:pStyle w:val="Compact"/>
            </w:pPr>
            <w:r>
              <w:t xml:space="preserve">Why Attend</w:t>
            </w:r>
          </w:p>
        </w:tc>
        <w:tc>
          <w:tcPr/>
          <w:p>
            <w:pPr>
              <w:pStyle w:val="Compact"/>
            </w:pPr>
            <w:r>
              <w:t xml:space="preserve">Key Speakers/Topics</w:t>
            </w:r>
          </w:p>
        </w:tc>
        <w:tc>
          <w:tcPr/>
          <w:p>
            <w:pPr>
              <w:pStyle w:val="Compact"/>
            </w:pPr>
            <w:r>
              <w:t xml:space="preserve">Expected Attendees</w:t>
            </w:r>
          </w:p>
        </w:tc>
        <w:tc>
          <w:tcPr/>
          <w:p>
            <w:pPr>
              <w:pStyle w:val="Compact"/>
            </w:pPr>
            <w:r>
              <w:t xml:space="preserve">Action Plan</w:t>
            </w:r>
          </w:p>
        </w:tc>
      </w:tr>
      <w:tr>
        <w:tc>
          <w:tcPr/>
          <w:p>
            <w:pPr>
              <w:pStyle w:val="Compact"/>
            </w:pPr>
            <w:r>
              <w:rPr>
                <w:b/>
                <w:bCs/>
              </w:rPr>
              <w:t xml:space="preserve">Grid Transformation Hub – “Modernising Europe’s distribution networks”</w:t>
            </w:r>
          </w:p>
        </w:tc>
        <w:tc>
          <w:tcPr/>
          <w:p>
            <w:pPr>
              <w:pStyle w:val="Compact"/>
            </w:pPr>
            <w:r>
              <w:t xml:space="preserve">Day 1 (18 Nov, morning)</w:t>
            </w:r>
          </w:p>
        </w:tc>
        <w:tc>
          <w:tcPr/>
          <w:p>
            <w:pPr>
              <w:pStyle w:val="Compact"/>
            </w:pPr>
            <w:r>
              <w:t xml:space="preserve">Focuses on upgrading distribution grids to handle renewable penetration and flexibility. Gridspertise’s technology and Schneider Electric’s platform illustrate digital solutions</w:t>
            </w:r>
            <w:hyperlink r:id="rId34">
              <w:r>
                <w:rPr>
                  <w:rStyle w:val="Hyperlink"/>
                </w:rPr>
                <w:t xml:space="preserve">[22]</w:t>
              </w:r>
            </w:hyperlink>
            <w:hyperlink r:id="rId33">
              <w:r>
                <w:rPr>
                  <w:rStyle w:val="Hyperlink"/>
                </w:rPr>
                <w:t xml:space="preserve">[14]</w:t>
              </w:r>
            </w:hyperlink>
            <w:r>
              <w:t xml:space="preserve">. Octopus can learn about funding models for smart‑grid roll‑outs.</w:t>
            </w:r>
          </w:p>
        </w:tc>
        <w:tc>
          <w:tcPr/>
          <w:p>
            <w:pPr>
              <w:pStyle w:val="Compact"/>
            </w:pPr>
            <w:r>
              <w:t xml:space="preserve">Likely speakers: executives from Gridspertise, Schneider Electric, DSOs (e.g., Enedis, Iberdrola Networks). Topics: smart meters, edge computing, grid digitalisation.</w:t>
            </w:r>
          </w:p>
        </w:tc>
        <w:tc>
          <w:tcPr/>
          <w:p>
            <w:pPr>
              <w:pStyle w:val="Compact"/>
            </w:pPr>
            <w:r>
              <w:t xml:space="preserve">Utilities, regulators, grid‑software providers, investors.</w:t>
            </w:r>
          </w:p>
        </w:tc>
        <w:tc>
          <w:tcPr/>
          <w:p>
            <w:pPr>
              <w:pStyle w:val="Compact"/>
            </w:pPr>
            <w:r>
              <w:t xml:space="preserve">Ask about financing structures for grid‑digitalisation projects and explore co‑investment opportunities; follow up with DSOs seeking flexible capital.</w:t>
            </w:r>
          </w:p>
        </w:tc>
      </w:tr>
      <w:tr>
        <w:tc>
          <w:tcPr/>
          <w:p>
            <w:pPr>
              <w:pStyle w:val="Compact"/>
            </w:pPr>
            <w:r>
              <w:rPr>
                <w:b/>
                <w:bCs/>
              </w:rPr>
              <w:t xml:space="preserve">Energy Storage &amp; Flexible Demand Hub – “Scaling battery and hybrid storage”</w:t>
            </w:r>
          </w:p>
        </w:tc>
        <w:tc>
          <w:tcPr/>
          <w:p>
            <w:pPr>
              <w:pStyle w:val="Compact"/>
            </w:pPr>
            <w:r>
              <w:t xml:space="preserve">Day 1 (18 Nov, afternoon)</w:t>
            </w:r>
          </w:p>
        </w:tc>
        <w:tc>
          <w:tcPr/>
          <w:p>
            <w:pPr>
              <w:pStyle w:val="Compact"/>
            </w:pPr>
            <w:r>
              <w:t xml:space="preserve">Discussions on long‑duration energy storage, grid‑forming inverters and demand‑side flexibility. Companies like Siemens Energy (grid resilience) and Vestas (offshore hybrid projects</w:t>
            </w:r>
            <w:hyperlink r:id="rId23">
              <w:r>
                <w:rPr>
                  <w:rStyle w:val="Hyperlink"/>
                </w:rPr>
                <w:t xml:space="preserve">[3]</w:t>
              </w:r>
            </w:hyperlink>
            <w:r>
              <w:t xml:space="preserve">) will showcase their solutions.</w:t>
            </w:r>
          </w:p>
        </w:tc>
        <w:tc>
          <w:tcPr/>
          <w:p>
            <w:pPr>
              <w:pStyle w:val="Compact"/>
            </w:pPr>
            <w:r>
              <w:t xml:space="preserve">Possible speakers: representatives from Fluence, Northvolt’s successors, grid operators and policy makers. Topics: battery economics, revenue stacking, demand‑response markets.</w:t>
            </w:r>
          </w:p>
        </w:tc>
        <w:tc>
          <w:tcPr/>
          <w:p>
            <w:pPr>
              <w:pStyle w:val="Compact"/>
            </w:pPr>
            <w:r>
              <w:t xml:space="preserve">Energy storage developers, utilities, aggregators, financiers.</w:t>
            </w:r>
          </w:p>
        </w:tc>
        <w:tc>
          <w:tcPr/>
          <w:p>
            <w:pPr>
              <w:pStyle w:val="Compact"/>
            </w:pPr>
            <w:r>
              <w:t xml:space="preserve">Identify developers seeking finance for battery projects; ask about revenue models (capacity markets, ancillary services) and highlight Octopus’s speed of execution.</w:t>
            </w:r>
          </w:p>
        </w:tc>
      </w:tr>
      <w:tr>
        <w:tc>
          <w:tcPr/>
          <w:p>
            <w:pPr>
              <w:pStyle w:val="Compact"/>
            </w:pPr>
            <w:r>
              <w:rPr>
                <w:b/>
                <w:bCs/>
              </w:rPr>
              <w:t xml:space="preserve">Generation Innovation Hub – “Next‑generation solar &amp; wind technologies”</w:t>
            </w:r>
          </w:p>
        </w:tc>
        <w:tc>
          <w:tcPr/>
          <w:p>
            <w:pPr>
              <w:pStyle w:val="Compact"/>
            </w:pPr>
            <w:r>
              <w:t xml:space="preserve">Day 2 (19 Nov, morning)</w:t>
            </w:r>
          </w:p>
        </w:tc>
        <w:tc>
          <w:tcPr/>
          <w:p>
            <w:pPr>
              <w:pStyle w:val="Compact"/>
            </w:pPr>
            <w:r>
              <w:t xml:space="preserve">Showcases advances in wind turbines (e.g., Vestas) and hybrid renewable plants. The session aligns with Octopus’s interest in mid‑scale projects using innovative technology.</w:t>
            </w:r>
          </w:p>
        </w:tc>
        <w:tc>
          <w:tcPr/>
          <w:p>
            <w:pPr>
              <w:pStyle w:val="Compact"/>
            </w:pPr>
            <w:r>
              <w:t xml:space="preserve">Speakers likely include Vestas, Neoen, Acciona Energía, and Siemens Energy’s turbine unit. Topics: advanced blades, floating wind, hybrid solar‑storage projects.</w:t>
            </w:r>
          </w:p>
        </w:tc>
        <w:tc>
          <w:tcPr/>
          <w:p>
            <w:pPr>
              <w:pStyle w:val="Compact"/>
            </w:pPr>
            <w:r>
              <w:t xml:space="preserve">Developers, EPC contractors, technology suppliers, investors.</w:t>
            </w:r>
          </w:p>
        </w:tc>
        <w:tc>
          <w:tcPr/>
          <w:p>
            <w:pPr>
              <w:pStyle w:val="Compact"/>
            </w:pPr>
            <w:r>
              <w:t xml:space="preserve">Discuss financing for hybrid or repowering projects; explore pipeline of mid‑market wind farms; network with developers for 2026 deals.</w:t>
            </w:r>
          </w:p>
        </w:tc>
      </w:tr>
      <w:tr>
        <w:tc>
          <w:tcPr/>
          <w:p>
            <w:pPr>
              <w:pStyle w:val="Compact"/>
            </w:pPr>
            <w:r>
              <w:rPr>
                <w:b/>
                <w:bCs/>
              </w:rPr>
              <w:t xml:space="preserve">Decarbonisation Hub – “Utilities’ roadmaps to net‑zero”</w:t>
            </w:r>
          </w:p>
        </w:tc>
        <w:tc>
          <w:tcPr/>
          <w:p>
            <w:pPr>
              <w:pStyle w:val="Compact"/>
            </w:pPr>
            <w:r>
              <w:t xml:space="preserve">Day 2 (19 Nov, afternoon)</w:t>
            </w:r>
          </w:p>
        </w:tc>
        <w:tc>
          <w:tcPr/>
          <w:p>
            <w:pPr>
              <w:pStyle w:val="Compact"/>
            </w:pPr>
            <w:r>
              <w:t xml:space="preserve">Many European utilities (ENGIE, RWE, TotalEnergies) have ambitious decarbonisation plans</w:t>
            </w:r>
            <w:hyperlink r:id="rId42">
              <w:r>
                <w:rPr>
                  <w:rStyle w:val="Hyperlink"/>
                </w:rPr>
                <w:t xml:space="preserve">[23]</w:t>
              </w:r>
            </w:hyperlink>
            <w:hyperlink r:id="rId27">
              <w:r>
                <w:rPr>
                  <w:rStyle w:val="Hyperlink"/>
                </w:rPr>
                <w:t xml:space="preserve">[24]</w:t>
              </w:r>
            </w:hyperlink>
            <w:r>
              <w:t xml:space="preserve">. This session will explore how they finance renewables, storage and hydrogen.</w:t>
            </w:r>
          </w:p>
        </w:tc>
        <w:tc>
          <w:tcPr/>
          <w:p>
            <w:pPr>
              <w:pStyle w:val="Compact"/>
            </w:pPr>
            <w:r>
              <w:t xml:space="preserve">Speakers: executives from Engie, RWE, TotalEnergies, EDP and Enel. Topics: investment strategies, capital allocation, power purchase agreements, green bonds.</w:t>
            </w:r>
          </w:p>
        </w:tc>
        <w:tc>
          <w:tcPr/>
          <w:p>
            <w:pPr>
              <w:pStyle w:val="Compact"/>
            </w:pPr>
            <w:r>
              <w:t xml:space="preserve">Utilities, institutional investors, project developers.</w:t>
            </w:r>
          </w:p>
        </w:tc>
        <w:tc>
          <w:tcPr/>
          <w:p>
            <w:pPr>
              <w:pStyle w:val="Compact"/>
            </w:pPr>
            <w:r>
              <w:t xml:space="preserve">Ask about challenges financing mid‑sized renewable projects; emphasise Octopus’s flexible structures; plan follow‑up meetings with CFOs.</w:t>
            </w:r>
          </w:p>
        </w:tc>
      </w:tr>
      <w:tr>
        <w:tc>
          <w:tcPr/>
          <w:p>
            <w:pPr>
              <w:pStyle w:val="Compact"/>
            </w:pPr>
            <w:r>
              <w:rPr>
                <w:b/>
                <w:bCs/>
              </w:rPr>
              <w:t xml:space="preserve">Digitalisation &amp; AI Hub – “AI‑powered energy platforms”</w:t>
            </w:r>
          </w:p>
        </w:tc>
        <w:tc>
          <w:tcPr/>
          <w:p>
            <w:pPr>
              <w:pStyle w:val="Compact"/>
            </w:pPr>
            <w:r>
              <w:t xml:space="preserve">Day 3 (20 Nov, morning)</w:t>
            </w:r>
          </w:p>
        </w:tc>
        <w:tc>
          <w:tcPr/>
          <w:p>
            <w:pPr>
              <w:pStyle w:val="Compact"/>
            </w:pPr>
            <w:r>
              <w:t xml:space="preserve">With the One Digital Grid Platform and other AI solutions</w:t>
            </w:r>
            <w:hyperlink r:id="rId33">
              <w:r>
                <w:rPr>
                  <w:rStyle w:val="Hyperlink"/>
                </w:rPr>
                <w:t xml:space="preserve">[14]</w:t>
              </w:r>
            </w:hyperlink>
            <w:r>
              <w:t xml:space="preserve">, this session will examine how digital tools improve forecasting, asset management and customer engagement.</w:t>
            </w:r>
          </w:p>
        </w:tc>
        <w:tc>
          <w:tcPr/>
          <w:p>
            <w:pPr>
              <w:pStyle w:val="Compact"/>
            </w:pPr>
            <w:r>
              <w:t xml:space="preserve">Speakers: Schneider Electric digital grid team, AI start‑ups, TSOs. Topics: AI for DER management, predictive maintenance, digital twins.</w:t>
            </w:r>
          </w:p>
        </w:tc>
        <w:tc>
          <w:tcPr/>
          <w:p>
            <w:pPr>
              <w:pStyle w:val="Compact"/>
            </w:pPr>
            <w:r>
              <w:t xml:space="preserve">Smart‑grid vendors, DSOs, investors.</w:t>
            </w:r>
          </w:p>
        </w:tc>
        <w:tc>
          <w:tcPr/>
          <w:p>
            <w:pPr>
              <w:pStyle w:val="Compact"/>
            </w:pPr>
            <w:r>
              <w:t xml:space="preserve">Explore partnership with AI platform vendors; identify companies seeking funding for digital infrastructure; ask about regulatory barriers to AI adoption.</w:t>
            </w:r>
          </w:p>
        </w:tc>
      </w:tr>
      <w:tr>
        <w:tc>
          <w:tcPr/>
          <w:p>
            <w:pPr>
              <w:pStyle w:val="Compact"/>
            </w:pPr>
            <w:r>
              <w:rPr>
                <w:b/>
                <w:bCs/>
              </w:rPr>
              <w:t xml:space="preserve">Finance &amp; Investment Forum – “Funding the energy transition”</w:t>
            </w:r>
          </w:p>
        </w:tc>
        <w:tc>
          <w:tcPr/>
          <w:p>
            <w:pPr>
              <w:pStyle w:val="Compact"/>
            </w:pPr>
            <w:r>
              <w:t xml:space="preserve">Day 3 (20 Nov, afternoon)</w:t>
            </w:r>
          </w:p>
        </w:tc>
        <w:tc>
          <w:tcPr/>
          <w:p>
            <w:pPr>
              <w:pStyle w:val="Compact"/>
            </w:pPr>
            <w:r>
              <w:t xml:space="preserve">Dedicated to financing mechanisms for energy transition projects. Likely includes case studies of recent deals, green bond issuance and innovative financing structures. It connects directly to Octopus Energy Finance’s expertise.</w:t>
            </w:r>
          </w:p>
        </w:tc>
        <w:tc>
          <w:tcPr/>
          <w:p>
            <w:pPr>
              <w:pStyle w:val="Compact"/>
            </w:pPr>
            <w:r>
              <w:t xml:space="preserve">Speakers: representatives from investment banks, Octopus Energy Generation, infrastructure funds, EU agencies.</w:t>
            </w:r>
          </w:p>
        </w:tc>
        <w:tc>
          <w:tcPr/>
          <w:p>
            <w:pPr>
              <w:pStyle w:val="Compact"/>
            </w:pPr>
            <w:r>
              <w:t xml:space="preserve">Developers, financiers, government agencies.</w:t>
            </w:r>
          </w:p>
        </w:tc>
        <w:tc>
          <w:tcPr/>
          <w:p>
            <w:pPr>
              <w:pStyle w:val="Compact"/>
            </w:pPr>
            <w:r>
              <w:t xml:space="preserve">Present Octopus’s financing capabilities; discuss syndication opportunities; network with institutional investors; schedule follow‑up with prospective partners.</w:t>
            </w:r>
          </w:p>
        </w:tc>
      </w:tr>
      <w:tr>
        <w:tc>
          <w:tcPr/>
          <w:p>
            <w:pPr>
              <w:pStyle w:val="Compact"/>
            </w:pPr>
            <w:r>
              <w:rPr>
                <w:b/>
                <w:bCs/>
              </w:rPr>
              <w:t xml:space="preserve">EU Projects Zone – “Showcase of Horizon &amp; CEF projects”</w:t>
            </w:r>
          </w:p>
        </w:tc>
        <w:tc>
          <w:tcPr/>
          <w:p>
            <w:pPr>
              <w:pStyle w:val="Compact"/>
            </w:pPr>
            <w:r>
              <w:t xml:space="preserve">Throughout the event</w:t>
            </w:r>
          </w:p>
        </w:tc>
        <w:tc>
          <w:tcPr/>
          <w:p>
            <w:pPr>
              <w:pStyle w:val="Compact"/>
            </w:pPr>
            <w:r>
              <w:t xml:space="preserve">Over 80 EU‑funded projects will exhibit their progress</w:t>
            </w:r>
            <w:hyperlink r:id="rId43">
              <w:r>
                <w:rPr>
                  <w:rStyle w:val="Hyperlink"/>
                </w:rPr>
                <w:t xml:space="preserve">[25]</w:t>
              </w:r>
            </w:hyperlink>
            <w:r>
              <w:t xml:space="preserve">. Many involve grid modernisation, smart meters and renewable integration.</w:t>
            </w:r>
          </w:p>
        </w:tc>
        <w:tc>
          <w:tcPr/>
          <w:p>
            <w:pPr>
              <w:pStyle w:val="Compact"/>
            </w:pPr>
            <w:r>
              <w:t xml:space="preserve">Coordinators of Horizon Europe projects like H2 hybrid plants, EU DSO Entity representatives.</w:t>
            </w:r>
          </w:p>
        </w:tc>
        <w:tc>
          <w:tcPr/>
          <w:p>
            <w:pPr>
              <w:pStyle w:val="Compact"/>
            </w:pPr>
            <w:r>
              <w:t xml:space="preserve">Research organisations, SMEs, utilities, government agencies.</w:t>
            </w:r>
          </w:p>
        </w:tc>
        <w:tc>
          <w:tcPr/>
          <w:p>
            <w:pPr>
              <w:pStyle w:val="Compact"/>
            </w:pPr>
            <w:r>
              <w:t xml:space="preserve">Identify projects entering commercialisation that may need private capital; discuss pilot projects for storage or hydrogen that could be scaled with Octopus funding.</w:t>
            </w:r>
          </w:p>
        </w:tc>
      </w:tr>
      <w:tr>
        <w:tc>
          <w:tcPr/>
          <w:p>
            <w:pPr>
              <w:pStyle w:val="Compact"/>
            </w:pPr>
            <w:r>
              <w:rPr>
                <w:b/>
                <w:bCs/>
              </w:rPr>
              <w:t xml:space="preserve">Mobility Hub – “Electric mobility &amp; infrastructure”</w:t>
            </w:r>
          </w:p>
        </w:tc>
        <w:tc>
          <w:tcPr/>
          <w:p>
            <w:pPr>
              <w:pStyle w:val="Compact"/>
            </w:pPr>
            <w:r>
              <w:t xml:space="preserve">Day 2 or 3</w:t>
            </w:r>
          </w:p>
        </w:tc>
        <w:tc>
          <w:tcPr/>
          <w:p>
            <w:pPr>
              <w:pStyle w:val="Compact"/>
            </w:pPr>
            <w:r>
              <w:t xml:space="preserve">Focuses on EV charging infrastructure, vehicle‑to‑grid services and fleet electrification. Topics align with Octopus’s interest in grid‑edge solutions and demand response.</w:t>
            </w:r>
          </w:p>
        </w:tc>
        <w:tc>
          <w:tcPr/>
          <w:p>
            <w:pPr>
              <w:pStyle w:val="Compact"/>
            </w:pPr>
            <w:r>
              <w:t xml:space="preserve">Speakers: EV charging providers, car manufacturers, utilities.</w:t>
            </w:r>
          </w:p>
        </w:tc>
        <w:tc>
          <w:tcPr/>
          <w:p>
            <w:pPr>
              <w:pStyle w:val="Compact"/>
            </w:pPr>
            <w:r>
              <w:t xml:space="preserve">Utilities, EV infrastructure companies, fleet operators.</w:t>
            </w:r>
          </w:p>
        </w:tc>
        <w:tc>
          <w:tcPr/>
          <w:p>
            <w:pPr>
              <w:pStyle w:val="Compact"/>
            </w:pPr>
            <w:r>
              <w:t xml:space="preserve">Learn about financing needs for EV charging networks; explore integration with demand‑side flexibility platforms; propose Octopus as a financing partner.</w:t>
            </w:r>
          </w:p>
        </w:tc>
      </w:tr>
      <w:tr>
        <w:tc>
          <w:tcPr/>
          <w:p>
            <w:pPr>
              <w:pStyle w:val="Compact"/>
            </w:pPr>
            <w:r>
              <w:rPr>
                <w:b/>
                <w:bCs/>
              </w:rPr>
              <w:t xml:space="preserve">Think Tank Workshop / CEO Forum</w:t>
            </w:r>
          </w:p>
        </w:tc>
        <w:tc>
          <w:tcPr/>
          <w:p>
            <w:pPr>
              <w:pStyle w:val="Compact"/>
            </w:pPr>
            <w:r>
              <w:t xml:space="preserve">Day 3 evening</w:t>
            </w:r>
          </w:p>
        </w:tc>
        <w:tc>
          <w:tcPr/>
          <w:p>
            <w:pPr>
              <w:pStyle w:val="Compact"/>
            </w:pPr>
            <w:r>
              <w:t xml:space="preserve">The Summit features a Think Tank Workshop focusing on system resiliency and a CEO‑level forum</w:t>
            </w:r>
            <w:hyperlink r:id="rId44">
              <w:r>
                <w:rPr>
                  <w:rStyle w:val="Hyperlink"/>
                </w:rPr>
                <w:t xml:space="preserve">[26]</w:t>
              </w:r>
            </w:hyperlink>
            <w:r>
              <w:t xml:space="preserve">. It provides intimate networking with CEOs, policymakers and investors.</w:t>
            </w:r>
          </w:p>
        </w:tc>
        <w:tc>
          <w:tcPr/>
          <w:p>
            <w:pPr>
              <w:pStyle w:val="Compact"/>
            </w:pPr>
            <w:r>
              <w:t xml:space="preserve">CEOs of major utilities (Iberdrola, Engie), regulators, EU energy commissioners.</w:t>
            </w:r>
          </w:p>
        </w:tc>
        <w:tc>
          <w:tcPr/>
          <w:p>
            <w:pPr>
              <w:pStyle w:val="Compact"/>
            </w:pPr>
            <w:r>
              <w:t xml:space="preserve">High‑level executives, investors, policymakers.</w:t>
            </w:r>
          </w:p>
        </w:tc>
        <w:tc>
          <w:tcPr/>
          <w:p>
            <w:pPr>
              <w:pStyle w:val="Compact"/>
            </w:pPr>
            <w:r>
              <w:t xml:space="preserve">Engage with C‑suite leaders to understand policy trends; position Octopus as a fast, flexible financier; arrange private follow‑up meetings.</w:t>
            </w:r>
          </w:p>
        </w:tc>
      </w:tr>
    </w:tbl>
    <w:p>
      <w:pPr>
        <w:pStyle w:val="BodyText"/>
      </w:pPr>
      <w:r>
        <w:t xml:space="preserve">*Times are placeholders; the official schedule should be consulted once available.</w:t>
      </w:r>
    </w:p>
    <w:bookmarkEnd w:id="45"/>
    <w:bookmarkStart w:id="46" w:name="organic-marketing-activation-plan"/>
    <w:p>
      <w:pPr>
        <w:pStyle w:val="Heading2"/>
      </w:pPr>
      <w:r>
        <w:t xml:space="preserve">3 Organic Marketing Activation Plan</w:t>
      </w:r>
    </w:p>
    <w:p>
      <w:pPr>
        <w:pStyle w:val="FirstParagraph"/>
      </w:pPr>
      <w:r>
        <w:t xml:space="preserve">Octopus Energy Finance should leverage its presence at Enlit Europe 2025 to build brand awareness, engage target companies and generate qualified leads without paid advertising.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Idea</w:t>
            </w:r>
          </w:p>
        </w:tc>
        <w:tc>
          <w:tcPr/>
          <w:p>
            <w:pPr>
              <w:pStyle w:val="Compact"/>
            </w:pPr>
            <w:r>
              <w:t xml:space="preserve">Brief description &amp; target audience</w:t>
            </w:r>
          </w:p>
        </w:tc>
        <w:tc>
          <w:tcPr/>
          <w:p>
            <w:pPr>
              <w:pStyle w:val="Compact"/>
            </w:pPr>
            <w:r>
              <w:t xml:space="preserve">Expected outcomes</w:t>
            </w:r>
          </w:p>
        </w:tc>
        <w:tc>
          <w:tcPr/>
          <w:p>
            <w:pPr>
              <w:pStyle w:val="Compact"/>
            </w:pPr>
            <w:r>
              <w:t xml:space="preserve">Resource requirements &amp; timeline</w:t>
            </w:r>
          </w:p>
        </w:tc>
      </w:tr>
      <w:tr>
        <w:tc>
          <w:tcPr/>
          <w:p>
            <w:pPr>
              <w:pStyle w:val="Compact"/>
            </w:pPr>
            <w:r>
              <w:rPr>
                <w:b/>
                <w:bCs/>
              </w:rPr>
              <w:t xml:space="preserve">Flexible Financing Clinic (booth attraction)</w:t>
            </w:r>
          </w:p>
        </w:tc>
        <w:tc>
          <w:tcPr/>
          <w:p>
            <w:pPr>
              <w:pStyle w:val="Compact"/>
            </w:pPr>
            <w:r>
              <w:rPr>
                <w:b/>
                <w:bCs/>
              </w:rPr>
              <w:t xml:space="preserve">Description:</w:t>
            </w:r>
            <w:r>
              <w:t xml:space="preserve"> </w:t>
            </w:r>
            <w:r>
              <w:t xml:space="preserve">Design your stand as a “Financing Clinic” where project developers and utilities can book free 20‑minute consultations with Octopus Energy Finance experts. Use interactive screens to showcase completed deals and highlight Octopus’s speed and flexible structures.</w:t>
            </w:r>
          </w:p>
        </w:tc>
        <w:tc>
          <w:tcPr/>
          <w:p>
            <w:pPr>
              <w:pStyle w:val="Compact"/>
            </w:pPr>
          </w:p>
        </w:tc>
        <w:tc>
          <w:tcPr/>
          <w:p>
            <w:pPr>
              <w:pStyle w:val="Compact"/>
            </w:pPr>
          </w:p>
        </w:tc>
      </w:tr>
      <w:tr>
        <w:tc>
          <w:tcPr/>
          <w:p>
            <w:pPr>
              <w:pStyle w:val="Compact"/>
            </w:pPr>
            <w:r>
              <w:rPr>
                <w:b/>
                <w:bCs/>
              </w:rPr>
              <w:t xml:space="preserve">Target audience:</w:t>
            </w:r>
            <w:r>
              <w:t xml:space="preserve"> </w:t>
            </w:r>
            <w:r>
              <w:t xml:space="preserve">renewable developers, DSOs and EPC contractors visiting the Expo.</w:t>
            </w:r>
          </w:p>
        </w:tc>
        <w:tc>
          <w:tcPr/>
          <w:p>
            <w:pPr>
              <w:pStyle w:val="Compact"/>
            </w:pPr>
            <w:r>
              <w:t xml:space="preserve">Encourages one‑on‑one conversations, positions Octopus as a trusted advisor and captures qualified leads. Participants leave with a sense of Octopus’s expertise and are likely to request follow‑up meetings.</w:t>
            </w:r>
          </w:p>
        </w:tc>
        <w:tc>
          <w:tcPr/>
          <w:p>
            <w:pPr>
              <w:pStyle w:val="Compact"/>
            </w:pPr>
            <w:r>
              <w:rPr>
                <w:b/>
                <w:bCs/>
              </w:rPr>
              <w:t xml:space="preserve">Resources:</w:t>
            </w:r>
            <w:r>
              <w:t xml:space="preserve"> </w:t>
            </w:r>
            <w:r>
              <w:t xml:space="preserve">Meeting tables, scheduling software (integrated with event app), case‑study banners; 3‑4 finance experts on rotation.</w:t>
            </w:r>
          </w:p>
        </w:tc>
        <w:tc>
          <w:tcPr/>
          <w:p>
            <w:pPr>
              <w:pStyle w:val="Compact"/>
            </w:pPr>
          </w:p>
        </w:tc>
      </w:tr>
      <w:tr>
        <w:tc>
          <w:tcPr/>
          <w:p>
            <w:pPr>
              <w:pStyle w:val="Compact"/>
            </w:pPr>
            <w:r>
              <w:rPr>
                <w:b/>
                <w:bCs/>
              </w:rPr>
              <w:t xml:space="preserve">Timeline:</w:t>
            </w:r>
            <w:r>
              <w:t xml:space="preserve"> </w:t>
            </w:r>
            <w:r>
              <w:t xml:space="preserve">Promote through Enlit’s event app two weeks before the event; run continuously during the Expo.</w:t>
            </w:r>
          </w:p>
        </w:tc>
        <w:tc>
          <w:tcPr/>
          <w:p>
            <w:pPr>
              <w:pStyle w:val="Compact"/>
            </w:pPr>
          </w:p>
        </w:tc>
        <w:tc>
          <w:tcPr/>
          <w:p>
            <w:pPr>
              <w:pStyle w:val="Compact"/>
            </w:pPr>
          </w:p>
        </w:tc>
        <w:tc>
          <w:tcPr/>
          <w:p>
            <w:pPr>
              <w:pStyle w:val="Compact"/>
            </w:pPr>
          </w:p>
        </w:tc>
      </w:tr>
      <w:tr>
        <w:tc>
          <w:tcPr/>
          <w:p>
            <w:pPr>
              <w:pStyle w:val="Compact"/>
            </w:pPr>
            <w:r>
              <w:rPr>
                <w:b/>
                <w:bCs/>
              </w:rPr>
              <w:t xml:space="preserve">Breakfast Roundtable on Mid‑Market Deals</w:t>
            </w:r>
          </w:p>
        </w:tc>
        <w:tc>
          <w:tcPr/>
          <w:p>
            <w:pPr>
              <w:pStyle w:val="Compact"/>
            </w:pPr>
            <w:r>
              <w:rPr>
                <w:b/>
                <w:bCs/>
              </w:rPr>
              <w:t xml:space="preserve">Description:</w:t>
            </w:r>
            <w:r>
              <w:t xml:space="preserve"> </w:t>
            </w:r>
            <w:r>
              <w:t xml:space="preserve">Host an invitation‑only breakfast before the show opens on Day 2 for ~20 attendees (e.g., ENGIE, RWE, Neoen, grid operators). Present Octopus’s investment strategy for mid‑market projects and encourage discussion on barriers to financing. Include a short fireside chat with an existing partner (e.g., a developer financed by Octopus).</w:t>
            </w:r>
          </w:p>
        </w:tc>
        <w:tc>
          <w:tcPr/>
          <w:p>
            <w:pPr>
              <w:pStyle w:val="Compact"/>
            </w:pPr>
          </w:p>
        </w:tc>
        <w:tc>
          <w:tcPr/>
          <w:p>
            <w:pPr>
              <w:pStyle w:val="Compact"/>
            </w:pPr>
          </w:p>
        </w:tc>
      </w:tr>
      <w:tr>
        <w:tc>
          <w:tcPr/>
          <w:p>
            <w:pPr>
              <w:pStyle w:val="Compact"/>
            </w:pPr>
            <w:r>
              <w:rPr>
                <w:b/>
                <w:bCs/>
              </w:rPr>
              <w:t xml:space="preserve">Target audience:</w:t>
            </w:r>
            <w:r>
              <w:t xml:space="preserve"> </w:t>
            </w:r>
            <w:r>
              <w:t xml:space="preserve">senior finance executives and project developers.</w:t>
            </w:r>
          </w:p>
        </w:tc>
        <w:tc>
          <w:tcPr/>
          <w:p>
            <w:pPr>
              <w:pStyle w:val="Compact"/>
            </w:pPr>
            <w:r>
              <w:t xml:space="preserve">Builds thought leadership and fosters deep relationships. The small format encourages candid discussion and identifies deal opportunities.</w:t>
            </w:r>
          </w:p>
        </w:tc>
        <w:tc>
          <w:tcPr/>
          <w:p>
            <w:pPr>
              <w:pStyle w:val="Compact"/>
            </w:pPr>
            <w:r>
              <w:rPr>
                <w:b/>
                <w:bCs/>
              </w:rPr>
              <w:t xml:space="preserve">Resources:</w:t>
            </w:r>
            <w:r>
              <w:t xml:space="preserve"> </w:t>
            </w:r>
            <w:r>
              <w:t xml:space="preserve">Private room near the venue, catering, presentation slides, moderator.</w:t>
            </w:r>
          </w:p>
        </w:tc>
        <w:tc>
          <w:tcPr/>
          <w:p>
            <w:pPr>
              <w:pStyle w:val="Compact"/>
            </w:pPr>
          </w:p>
        </w:tc>
      </w:tr>
      <w:tr>
        <w:tc>
          <w:tcPr/>
          <w:p>
            <w:pPr>
              <w:pStyle w:val="Compact"/>
            </w:pPr>
            <w:r>
              <w:rPr>
                <w:b/>
                <w:bCs/>
              </w:rPr>
              <w:t xml:space="preserve">Timeline:</w:t>
            </w:r>
            <w:r>
              <w:t xml:space="preserve"> </w:t>
            </w:r>
            <w:r>
              <w:t xml:space="preserve">Secure venue and invitees 6 weeks before event; finalize agenda and send reminders 1 week before; follow up with attendees post‑event.</w:t>
            </w:r>
          </w:p>
        </w:tc>
        <w:tc>
          <w:tcPr/>
          <w:p>
            <w:pPr>
              <w:pStyle w:val="Compact"/>
            </w:pPr>
          </w:p>
        </w:tc>
        <w:tc>
          <w:tcPr/>
          <w:p>
            <w:pPr>
              <w:pStyle w:val="Compact"/>
            </w:pPr>
          </w:p>
        </w:tc>
        <w:tc>
          <w:tcPr/>
          <w:p>
            <w:pPr>
              <w:pStyle w:val="Compact"/>
            </w:pPr>
          </w:p>
        </w:tc>
      </w:tr>
      <w:tr>
        <w:tc>
          <w:tcPr/>
          <w:p>
            <w:pPr>
              <w:pStyle w:val="Compact"/>
            </w:pPr>
            <w:r>
              <w:rPr>
                <w:b/>
                <w:bCs/>
              </w:rPr>
              <w:t xml:space="preserve">Live “Deal Pitch” Competition</w:t>
            </w:r>
          </w:p>
        </w:tc>
        <w:tc>
          <w:tcPr/>
          <w:p>
            <w:pPr>
              <w:pStyle w:val="Compact"/>
            </w:pPr>
            <w:r>
              <w:rPr>
                <w:b/>
                <w:bCs/>
              </w:rPr>
              <w:t xml:space="preserve">Description:</w:t>
            </w:r>
            <w:r>
              <w:t xml:space="preserve"> </w:t>
            </w:r>
            <w:r>
              <w:t xml:space="preserve">Partner with Enlit’s Energy Transition Innovators Pitching Competition (or host a side event) where start‑ups and project developers pitch renewable or storage projects in need of funding. Octopus provides a panel of judges and offers feedback and potential term‑sheet discussions.</w:t>
            </w:r>
          </w:p>
        </w:tc>
        <w:tc>
          <w:tcPr/>
          <w:p>
            <w:pPr>
              <w:pStyle w:val="Compact"/>
            </w:pPr>
          </w:p>
        </w:tc>
        <w:tc>
          <w:tcPr/>
          <w:p>
            <w:pPr>
              <w:pStyle w:val="Compact"/>
            </w:pPr>
          </w:p>
        </w:tc>
      </w:tr>
      <w:tr>
        <w:tc>
          <w:tcPr/>
          <w:p>
            <w:pPr>
              <w:pStyle w:val="Compact"/>
            </w:pPr>
            <w:r>
              <w:rPr>
                <w:b/>
                <w:bCs/>
              </w:rPr>
              <w:t xml:space="preserve">Target audience:</w:t>
            </w:r>
            <w:r>
              <w:t xml:space="preserve"> </w:t>
            </w:r>
            <w:r>
              <w:t xml:space="preserve">start‑ups, scale‑ups, small developers, investors.</w:t>
            </w:r>
          </w:p>
        </w:tc>
        <w:tc>
          <w:tcPr/>
          <w:p>
            <w:pPr>
              <w:pStyle w:val="Compact"/>
            </w:pPr>
            <w:r>
              <w:t xml:space="preserve">Generates deal flow and positions Octopus as a proactive investor. The competitive format creates buzz and social‑media content.</w:t>
            </w:r>
          </w:p>
        </w:tc>
        <w:tc>
          <w:tcPr/>
          <w:p>
            <w:pPr>
              <w:pStyle w:val="Compact"/>
            </w:pPr>
            <w:r>
              <w:rPr>
                <w:b/>
                <w:bCs/>
              </w:rPr>
              <w:t xml:space="preserve">Resources:</w:t>
            </w:r>
            <w:r>
              <w:t xml:space="preserve"> </w:t>
            </w:r>
            <w:r>
              <w:t xml:space="preserve">Stage time at Enlit or adjacent venue, judges, marketing team to record and share highlights on social media.</w:t>
            </w:r>
          </w:p>
        </w:tc>
        <w:tc>
          <w:tcPr/>
          <w:p>
            <w:pPr>
              <w:pStyle w:val="Compact"/>
            </w:pPr>
          </w:p>
        </w:tc>
      </w:tr>
      <w:tr>
        <w:tc>
          <w:tcPr/>
          <w:p>
            <w:pPr>
              <w:pStyle w:val="Compact"/>
            </w:pPr>
            <w:r>
              <w:rPr>
                <w:b/>
                <w:bCs/>
              </w:rPr>
              <w:t xml:space="preserve">Timeline:</w:t>
            </w:r>
            <w:r>
              <w:t xml:space="preserve"> </w:t>
            </w:r>
            <w:r>
              <w:t xml:space="preserve">Coordinate with Enlit organisers 2 months prior; open applications; conduct the event on Day 3. Share highlights during and after the event.</w:t>
            </w:r>
          </w:p>
        </w:tc>
        <w:tc>
          <w:tcPr/>
          <w:p>
            <w:pPr>
              <w:pStyle w:val="Compact"/>
            </w:pPr>
          </w:p>
        </w:tc>
        <w:tc>
          <w:tcPr/>
          <w:p>
            <w:pPr>
              <w:pStyle w:val="Compact"/>
            </w:pPr>
          </w:p>
        </w:tc>
        <w:tc>
          <w:tcPr/>
          <w:p>
            <w:pPr>
              <w:pStyle w:val="Compact"/>
            </w:pPr>
          </w:p>
        </w:tc>
      </w:tr>
      <w:tr>
        <w:tc>
          <w:tcPr/>
          <w:p>
            <w:pPr>
              <w:pStyle w:val="Compact"/>
            </w:pPr>
            <w:r>
              <w:rPr>
                <w:b/>
                <w:bCs/>
              </w:rPr>
              <w:t xml:space="preserve">Social Media “Energy Diary”</w:t>
            </w:r>
          </w:p>
        </w:tc>
        <w:tc>
          <w:tcPr/>
          <w:p>
            <w:pPr>
              <w:pStyle w:val="Compact"/>
            </w:pPr>
            <w:r>
              <w:rPr>
                <w:b/>
                <w:bCs/>
              </w:rPr>
              <w:t xml:space="preserve">Description:</w:t>
            </w:r>
            <w:r>
              <w:t xml:space="preserve"> </w:t>
            </w:r>
            <w:r>
              <w:t xml:space="preserve">Throughout the event, publish short video diaries on LinkedIn and X (formerly Twitter) featuring Octopus team members touring the Expo, meeting companies and discussing insights. Use hashtags (#EnlitEurope2025, #EnergyFinance) and tag companies met. Include quick interviews with partners like Gridspertise or Elevion.</w:t>
            </w:r>
          </w:p>
        </w:tc>
        <w:tc>
          <w:tcPr/>
          <w:p>
            <w:pPr>
              <w:pStyle w:val="Compact"/>
            </w:pPr>
          </w:p>
        </w:tc>
        <w:tc>
          <w:tcPr/>
          <w:p>
            <w:pPr>
              <w:pStyle w:val="Compact"/>
            </w:pPr>
          </w:p>
        </w:tc>
      </w:tr>
      <w:tr>
        <w:tc>
          <w:tcPr/>
          <w:p>
            <w:pPr>
              <w:pStyle w:val="Compact"/>
            </w:pPr>
            <w:r>
              <w:rPr>
                <w:b/>
                <w:bCs/>
              </w:rPr>
              <w:t xml:space="preserve">Target audience:</w:t>
            </w:r>
            <w:r>
              <w:t xml:space="preserve"> </w:t>
            </w:r>
            <w:r>
              <w:t xml:space="preserve">remote followers, potential partners who could not attend.</w:t>
            </w:r>
          </w:p>
        </w:tc>
        <w:tc>
          <w:tcPr/>
          <w:p>
            <w:pPr>
              <w:pStyle w:val="Compact"/>
            </w:pPr>
            <w:r>
              <w:t xml:space="preserve">Amplifies brand visibility, demonstrates Octopus’s active participation and attracts inbound interest. Creates shareable content for partners.</w:t>
            </w:r>
          </w:p>
        </w:tc>
        <w:tc>
          <w:tcPr/>
          <w:p>
            <w:pPr>
              <w:pStyle w:val="Compact"/>
            </w:pPr>
            <w:r>
              <w:rPr>
                <w:b/>
                <w:bCs/>
              </w:rPr>
              <w:t xml:space="preserve">Resources:</w:t>
            </w:r>
            <w:r>
              <w:t xml:space="preserve"> </w:t>
            </w:r>
            <w:r>
              <w:t xml:space="preserve">Dedicated staff member to record and post videos, simple editing software, social‑media manager to engage with comments.</w:t>
            </w:r>
          </w:p>
        </w:tc>
        <w:tc>
          <w:tcPr/>
          <w:p>
            <w:pPr>
              <w:pStyle w:val="Compact"/>
            </w:pPr>
          </w:p>
        </w:tc>
      </w:tr>
      <w:tr>
        <w:tc>
          <w:tcPr/>
          <w:p>
            <w:pPr>
              <w:pStyle w:val="Compact"/>
            </w:pPr>
            <w:r>
              <w:rPr>
                <w:b/>
                <w:bCs/>
              </w:rPr>
              <w:t xml:space="preserve">Timeline:</w:t>
            </w:r>
            <w:r>
              <w:t xml:space="preserve"> </w:t>
            </w:r>
            <w:r>
              <w:t xml:space="preserve">Plan content themes a week before; post daily during the event; compile a highlights reel afterwards.</w:t>
            </w:r>
          </w:p>
        </w:tc>
        <w:tc>
          <w:tcPr/>
          <w:p>
            <w:pPr>
              <w:pStyle w:val="Compact"/>
            </w:pPr>
          </w:p>
        </w:tc>
        <w:tc>
          <w:tcPr/>
          <w:p>
            <w:pPr>
              <w:pStyle w:val="Compact"/>
            </w:pPr>
          </w:p>
        </w:tc>
        <w:tc>
          <w:tcPr/>
          <w:p>
            <w:pPr>
              <w:pStyle w:val="Compact"/>
            </w:pPr>
          </w:p>
        </w:tc>
      </w:tr>
      <w:tr>
        <w:tc>
          <w:tcPr/>
          <w:p>
            <w:pPr>
              <w:pStyle w:val="Compact"/>
            </w:pPr>
            <w:r>
              <w:rPr>
                <w:b/>
                <w:bCs/>
              </w:rPr>
              <w:t xml:space="preserve">Collaborative Hub Session</w:t>
            </w:r>
          </w:p>
        </w:tc>
        <w:tc>
          <w:tcPr/>
          <w:p>
            <w:pPr>
              <w:pStyle w:val="Compact"/>
            </w:pPr>
            <w:r>
              <w:rPr>
                <w:b/>
                <w:bCs/>
              </w:rPr>
              <w:t xml:space="preserve">Description:</w:t>
            </w:r>
            <w:r>
              <w:t xml:space="preserve"> </w:t>
            </w:r>
            <w:r>
              <w:t xml:space="preserve">Apply to speak or moderate a session in the</w:t>
            </w:r>
            <w:r>
              <w:t xml:space="preserve"> </w:t>
            </w:r>
            <w:r>
              <w:rPr>
                <w:b/>
                <w:bCs/>
              </w:rPr>
              <w:t xml:space="preserve">Energy Storage &amp; Flexible Demand Hub</w:t>
            </w:r>
            <w:r>
              <w:t xml:space="preserve"> </w:t>
            </w:r>
            <w:r>
              <w:t xml:space="preserve">or</w:t>
            </w:r>
            <w:r>
              <w:t xml:space="preserve"> </w:t>
            </w:r>
            <w:r>
              <w:rPr>
                <w:b/>
                <w:bCs/>
              </w:rPr>
              <w:t xml:space="preserve">Finance &amp; Investment Forum</w:t>
            </w:r>
            <w:r>
              <w:t xml:space="preserve">, presenting case studies of Octopus‑financed battery storage projects. Collaborate with a partner (e.g., Neoen or Gridspertise) for a joint presentation on flexible financing structures.</w:t>
            </w:r>
          </w:p>
        </w:tc>
        <w:tc>
          <w:tcPr/>
          <w:p>
            <w:pPr>
              <w:pStyle w:val="Compact"/>
            </w:pPr>
          </w:p>
        </w:tc>
        <w:tc>
          <w:tcPr/>
          <w:p>
            <w:pPr>
              <w:pStyle w:val="Compact"/>
            </w:pPr>
          </w:p>
        </w:tc>
      </w:tr>
      <w:tr>
        <w:tc>
          <w:tcPr/>
          <w:p>
            <w:pPr>
              <w:pStyle w:val="Compact"/>
            </w:pPr>
            <w:r>
              <w:rPr>
                <w:b/>
                <w:bCs/>
              </w:rPr>
              <w:t xml:space="preserve">Target audience:</w:t>
            </w:r>
            <w:r>
              <w:t xml:space="preserve"> </w:t>
            </w:r>
            <w:r>
              <w:t xml:space="preserve">utilities, developers, investors, regulators.</w:t>
            </w:r>
          </w:p>
        </w:tc>
        <w:tc>
          <w:tcPr/>
          <w:p>
            <w:pPr>
              <w:pStyle w:val="Compact"/>
            </w:pPr>
            <w:r>
              <w:t xml:space="preserve">Positions Octopus as a thought leader and showcases real‑world success stories, generating leads from attendees seeking similar financing.</w:t>
            </w:r>
          </w:p>
        </w:tc>
        <w:tc>
          <w:tcPr/>
          <w:p>
            <w:pPr>
              <w:pStyle w:val="Compact"/>
            </w:pPr>
            <w:r>
              <w:rPr>
                <w:b/>
                <w:bCs/>
              </w:rPr>
              <w:t xml:space="preserve">Resources:</w:t>
            </w:r>
            <w:r>
              <w:t xml:space="preserve"> </w:t>
            </w:r>
            <w:r>
              <w:t xml:space="preserve">Application submission before the programme deadline (likely spring 2025), presentation preparation, speaker training.</w:t>
            </w:r>
          </w:p>
        </w:tc>
        <w:tc>
          <w:tcPr/>
          <w:p>
            <w:pPr>
              <w:pStyle w:val="Compact"/>
            </w:pPr>
          </w:p>
        </w:tc>
      </w:tr>
      <w:tr>
        <w:tc>
          <w:tcPr/>
          <w:p>
            <w:pPr>
              <w:pStyle w:val="Compact"/>
            </w:pPr>
            <w:r>
              <w:rPr>
                <w:b/>
                <w:bCs/>
              </w:rPr>
              <w:t xml:space="preserve">Timeline:</w:t>
            </w:r>
            <w:r>
              <w:t xml:space="preserve"> </w:t>
            </w:r>
            <w:r>
              <w:t xml:space="preserve">Submit proposal when Enlit opens its call for speakers; prepare slides by October 2025; rehearse in the weeks leading up to the event.</w:t>
            </w:r>
          </w:p>
        </w:tc>
        <w:tc>
          <w:tcPr/>
          <w:p>
            <w:pPr>
              <w:pStyle w:val="Compact"/>
            </w:pPr>
          </w:p>
        </w:tc>
        <w:tc>
          <w:tcPr/>
          <w:p>
            <w:pPr>
              <w:pStyle w:val="Compact"/>
            </w:pPr>
          </w:p>
        </w:tc>
        <w:tc>
          <w:tcPr/>
          <w:p>
            <w:pPr>
              <w:pStyle w:val="Compact"/>
            </w:pPr>
          </w:p>
        </w:tc>
      </w:tr>
      <w:tr>
        <w:tc>
          <w:tcPr/>
          <w:p>
            <w:pPr>
              <w:pStyle w:val="Compact"/>
            </w:pPr>
            <w:r>
              <w:rPr>
                <w:b/>
                <w:bCs/>
              </w:rPr>
              <w:t xml:space="preserve">Partnership with EU Projects Zone</w:t>
            </w:r>
          </w:p>
        </w:tc>
        <w:tc>
          <w:tcPr/>
          <w:p>
            <w:pPr>
              <w:pStyle w:val="Compact"/>
            </w:pPr>
            <w:r>
              <w:rPr>
                <w:b/>
                <w:bCs/>
              </w:rPr>
              <w:t xml:space="preserve">Description:</w:t>
            </w:r>
            <w:r>
              <w:t xml:space="preserve"> </w:t>
            </w:r>
            <w:r>
              <w:t xml:space="preserve">Sponsor a networking reception within the EU Projects Zone and highlight Octopus’s interest in scaling up Horizon Europe projects. Provide branded lanyards or reusable cups. Host a short talk on bridging public‑funded pilots to private investment.</w:t>
            </w:r>
          </w:p>
        </w:tc>
        <w:tc>
          <w:tcPr/>
          <w:p>
            <w:pPr>
              <w:pStyle w:val="Compact"/>
            </w:pPr>
          </w:p>
        </w:tc>
        <w:tc>
          <w:tcPr/>
          <w:p>
            <w:pPr>
              <w:pStyle w:val="Compact"/>
            </w:pPr>
          </w:p>
        </w:tc>
      </w:tr>
      <w:tr>
        <w:tc>
          <w:tcPr/>
          <w:p>
            <w:pPr>
              <w:pStyle w:val="Compact"/>
            </w:pPr>
            <w:r>
              <w:rPr>
                <w:b/>
                <w:bCs/>
              </w:rPr>
              <w:t xml:space="preserve">Target audience:</w:t>
            </w:r>
            <w:r>
              <w:t xml:space="preserve"> </w:t>
            </w:r>
            <w:r>
              <w:t xml:space="preserve">EU project coordinators, researchers, early‑stage technology firms, policymakers.</w:t>
            </w:r>
          </w:p>
        </w:tc>
        <w:tc>
          <w:tcPr/>
          <w:p>
            <w:pPr>
              <w:pStyle w:val="Compact"/>
            </w:pPr>
            <w:r>
              <w:t xml:space="preserve">Builds goodwill with research communities and positions Octopus as an enabler of commercialisation. Collects leads on innovative technologies that need private capital.</w:t>
            </w:r>
          </w:p>
        </w:tc>
        <w:tc>
          <w:tcPr/>
          <w:p>
            <w:pPr>
              <w:pStyle w:val="Compact"/>
            </w:pPr>
            <w:r>
              <w:rPr>
                <w:b/>
                <w:bCs/>
              </w:rPr>
              <w:t xml:space="preserve">Resources:</w:t>
            </w:r>
            <w:r>
              <w:t xml:space="preserve"> </w:t>
            </w:r>
            <w:r>
              <w:t xml:space="preserve">Sponsorship budget, branded merchandise, speaker.</w:t>
            </w:r>
          </w:p>
        </w:tc>
        <w:tc>
          <w:tcPr/>
          <w:p>
            <w:pPr>
              <w:pStyle w:val="Compact"/>
            </w:pPr>
          </w:p>
        </w:tc>
      </w:tr>
      <w:tr>
        <w:tc>
          <w:tcPr/>
          <w:p>
            <w:pPr>
              <w:pStyle w:val="Compact"/>
            </w:pPr>
            <w:r>
              <w:rPr>
                <w:b/>
                <w:bCs/>
              </w:rPr>
              <w:t xml:space="preserve">Timeline:</w:t>
            </w:r>
            <w:r>
              <w:t xml:space="preserve"> </w:t>
            </w:r>
            <w:r>
              <w:t xml:space="preserve">Contact EU Projects Zone organisers 3 months in advance; coordinate branding materials; host reception during one of the evenings.</w:t>
            </w:r>
          </w:p>
        </w:tc>
        <w:tc>
          <w:tcPr/>
          <w:p>
            <w:pPr>
              <w:pStyle w:val="Compact"/>
            </w:pPr>
          </w:p>
        </w:tc>
        <w:tc>
          <w:tcPr/>
          <w:p>
            <w:pPr>
              <w:pStyle w:val="Compact"/>
            </w:pPr>
          </w:p>
        </w:tc>
        <w:tc>
          <w:tcPr/>
          <w:p>
            <w:pPr>
              <w:pStyle w:val="Compact"/>
            </w:pPr>
          </w:p>
        </w:tc>
      </w:tr>
    </w:tbl>
    <w:bookmarkEnd w:id="46"/>
    <w:bookmarkStart w:id="48" w:name="conclusion"/>
    <w:p>
      <w:pPr>
        <w:pStyle w:val="Heading2"/>
      </w:pPr>
      <w:r>
        <w:t xml:space="preserve">Conclusion</w:t>
      </w:r>
    </w:p>
    <w:p>
      <w:pPr>
        <w:pStyle w:val="FirstParagraph"/>
      </w:pPr>
      <w:r>
        <w:t xml:space="preserve">Enlit Europe 2025 will gather more than 700 exhibitors and 15,000 energy professionals in Bilbao</w:t>
      </w:r>
      <w:hyperlink r:id="rId47">
        <w:r>
          <w:rPr>
            <w:rStyle w:val="Hyperlink"/>
          </w:rPr>
          <w:t xml:space="preserve">[27]</w:t>
        </w:r>
      </w:hyperlink>
      <w:r>
        <w:t xml:space="preserve">. By targeting leading utilities, equipment manufacturers, developers and digital‑platform providers (Iberdrola, Siemens Energy, Vestas, Enel, ENGIE, RWE, Ørsted, Neoen, Statkraft, TotalEnergies, Schneider Electric, Gridspertise, Elevion, Acciona Energía and EDP Renewables), Octopus Energy Finance can uncover mid‑market opportunities aligned with its renewable and grid‑modernisation strategy. Attending key hub sessions (Grid Transformation, Energy Storage, Generation Innovation, Decarbonisation, Digitalisation/AI, Financing, EU Projects and Mobility) and deploying creative organic marketing activations (flexible financing clinic, roundtable breakfasts, pitch competitions, social‑media diaries, collaborative talks and EU zone partnerships) will help the team build brand awareness, capture qualified leads and differentiate Octopus from competitors.</w:t>
      </w:r>
    </w:p>
    <w:bookmarkEnd w:id="48"/>
    <w:bookmarkEnd w:id="49"/>
    <w:bookmarkEnd w:id="50"/>
    <w:p>
      <w:r>
        <w:pict>
          <v:rect style="width:0;height:1.5pt" o:hralign="center" o:hrstd="t" o:hr="t"/>
        </w:pict>
      </w:r>
    </w:p>
    <w:bookmarkStart w:id="60" w:name="citations"/>
    <w:p>
      <w:pPr>
        <w:pStyle w:val="FirstParagraph"/>
      </w:pPr>
      <w:hyperlink r:id="rId21">
        <w:r>
          <w:rPr>
            <w:rStyle w:val="Hyperlink"/>
          </w:rPr>
          <w:t xml:space="preserve">[1]</w:t>
        </w:r>
      </w:hyperlink>
      <w:r>
        <w:t xml:space="preserve"> </w:t>
      </w:r>
      <w:r>
        <w:t xml:space="preserve">10 Biggest Renewable Energy Companies in the World</w:t>
      </w:r>
    </w:p>
    <w:p>
      <w:pPr>
        <w:pStyle w:val="BodyText"/>
      </w:pPr>
      <w:hyperlink r:id="rId51">
        <w:r>
          <w:rPr>
            <w:rStyle w:val="Hyperlink"/>
          </w:rPr>
          <w:t xml:space="preserve">https://www.investopedia.com/investing/top-alternative-energy-companies/</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7">
        <w:r>
          <w:rPr>
            <w:rStyle w:val="Hyperlink"/>
          </w:rPr>
          <w:t xml:space="preserve">[8]</w:t>
        </w:r>
      </w:hyperlink>
      <w:r>
        <w:t xml:space="preserve"> </w:t>
      </w:r>
      <w:hyperlink r:id="rId28">
        <w:r>
          <w:rPr>
            <w:rStyle w:val="Hyperlink"/>
          </w:rPr>
          <w:t xml:space="preserve">[9]</w:t>
        </w:r>
      </w:hyperlink>
      <w:r>
        <w:t xml:space="preserve"> </w:t>
      </w:r>
      <w:hyperlink r:id="rId29">
        <w:r>
          <w:rPr>
            <w:rStyle w:val="Hyperlink"/>
          </w:rPr>
          <w:t xml:space="preserve">[10]</w:t>
        </w:r>
      </w:hyperlink>
      <w:r>
        <w:t xml:space="preserve"> </w:t>
      </w:r>
      <w:hyperlink r:id="rId30">
        <w:r>
          <w:rPr>
            <w:rStyle w:val="Hyperlink"/>
          </w:rPr>
          <w:t xml:space="preserve">[11]</w:t>
        </w:r>
      </w:hyperlink>
      <w:r>
        <w:t xml:space="preserve"> </w:t>
      </w:r>
      <w:hyperlink r:id="rId31">
        <w:r>
          <w:rPr>
            <w:rStyle w:val="Hyperlink"/>
          </w:rPr>
          <w:t xml:space="preserve">[12]</w:t>
        </w:r>
      </w:hyperlink>
      <w:r>
        <w:t xml:space="preserve"> </w:t>
      </w:r>
      <w:hyperlink r:id="rId32">
        <w:r>
          <w:rPr>
            <w:rStyle w:val="Hyperlink"/>
          </w:rPr>
          <w:t xml:space="preserve">[13]</w:t>
        </w:r>
      </w:hyperlink>
      <w:r>
        <w:t xml:space="preserve"> </w:t>
      </w:r>
      <w:hyperlink r:id="rId27">
        <w:r>
          <w:rPr>
            <w:rStyle w:val="Hyperlink"/>
          </w:rPr>
          <w:t xml:space="preserve">[24]</w:t>
        </w:r>
      </w:hyperlink>
      <w:r>
        <w:t xml:space="preserve"> </w:t>
      </w:r>
      <w:r>
        <w:t xml:space="preserve">Top 10: European Renewable Energy Companies | Sustainability Magazine</w:t>
      </w:r>
    </w:p>
    <w:p>
      <w:pPr>
        <w:pStyle w:val="BodyText"/>
      </w:pPr>
      <w:hyperlink r:id="rId52">
        <w:r>
          <w:rPr>
            <w:rStyle w:val="Hyperlink"/>
          </w:rPr>
          <w:t xml:space="preserve">https://sustainabilitymag.com/top10/top-10-european-renewable-energy-companies</w:t>
        </w:r>
      </w:hyperlink>
    </w:p>
    <w:p>
      <w:pPr>
        <w:pStyle w:val="BodyText"/>
      </w:pPr>
      <w:hyperlink r:id="rId26">
        <w:r>
          <w:rPr>
            <w:rStyle w:val="Hyperlink"/>
          </w:rPr>
          <w:t xml:space="preserve">[6]</w:t>
        </w:r>
      </w:hyperlink>
      <w:r>
        <w:t xml:space="preserve"> </w:t>
      </w:r>
      <w:hyperlink r:id="rId26">
        <w:r>
          <w:rPr>
            <w:rStyle w:val="Hyperlink"/>
          </w:rPr>
          <w:t xml:space="preserve">[7]</w:t>
        </w:r>
      </w:hyperlink>
      <w:r>
        <w:t xml:space="preserve"> </w:t>
      </w:r>
      <w:hyperlink r:id="rId42">
        <w:r>
          <w:rPr>
            <w:rStyle w:val="Hyperlink"/>
          </w:rPr>
          <w:t xml:space="preserve">[23]</w:t>
        </w:r>
      </w:hyperlink>
      <w:r>
        <w:t xml:space="preserve"> </w:t>
      </w:r>
      <w:r>
        <w:t xml:space="preserve">Engie - Wikipedia</w:t>
      </w:r>
    </w:p>
    <w:p>
      <w:pPr>
        <w:pStyle w:val="BodyText"/>
      </w:pPr>
      <w:hyperlink r:id="rId53">
        <w:r>
          <w:rPr>
            <w:rStyle w:val="Hyperlink"/>
          </w:rPr>
          <w:t xml:space="preserve">https://en.wikipedia.org/wiki/Engie</w:t>
        </w:r>
      </w:hyperlink>
    </w:p>
    <w:p>
      <w:pPr>
        <w:pStyle w:val="BodyText"/>
      </w:pPr>
      <w:hyperlink r:id="rId33">
        <w:r>
          <w:rPr>
            <w:rStyle w:val="Hyperlink"/>
          </w:rPr>
          <w:t xml:space="preserve">[14]</w:t>
        </w:r>
      </w:hyperlink>
      <w:r>
        <w:t xml:space="preserve"> </w:t>
      </w:r>
      <w:r>
        <w:t xml:space="preserve">Schneider Electric unveils the 'future of energy intelligence' at DISTRIBUTECH</w:t>
      </w:r>
    </w:p>
    <w:p>
      <w:pPr>
        <w:pStyle w:val="BodyText"/>
      </w:pPr>
      <w:hyperlink r:id="rId54">
        <w:r>
          <w:rPr>
            <w:rStyle w:val="Hyperlink"/>
          </w:rPr>
          <w:t xml:space="preserve">https://www.renewableenergyworld.com/solar/schneider-electric-unveils-the-future-of-energy-intelligence-at-distributech/</w:t>
        </w:r>
      </w:hyperlink>
    </w:p>
    <w:p>
      <w:pPr>
        <w:pStyle w:val="BodyText"/>
      </w:pPr>
      <w:hyperlink r:id="rId34">
        <w:r>
          <w:rPr>
            <w:rStyle w:val="Hyperlink"/>
          </w:rPr>
          <w:t xml:space="preserve">[15]</w:t>
        </w:r>
      </w:hyperlink>
      <w:r>
        <w:t xml:space="preserve"> </w:t>
      </w:r>
      <w:hyperlink r:id="rId35">
        <w:r>
          <w:rPr>
            <w:rStyle w:val="Hyperlink"/>
          </w:rPr>
          <w:t xml:space="preserve">[16]</w:t>
        </w:r>
      </w:hyperlink>
      <w:r>
        <w:t xml:space="preserve"> </w:t>
      </w:r>
      <w:hyperlink r:id="rId34">
        <w:r>
          <w:rPr>
            <w:rStyle w:val="Hyperlink"/>
          </w:rPr>
          <w:t xml:space="preserve">[22]</w:t>
        </w:r>
      </w:hyperlink>
      <w:r>
        <w:t xml:space="preserve"> </w:t>
      </w:r>
      <w:r>
        <w:t xml:space="preserve">Gridspertise | Enlit World</w:t>
      </w:r>
    </w:p>
    <w:p>
      <w:pPr>
        <w:pStyle w:val="BodyText"/>
      </w:pPr>
      <w:hyperlink r:id="rId55">
        <w:r>
          <w:rPr>
            <w:rStyle w:val="Hyperlink"/>
          </w:rPr>
          <w:t xml:space="preserve">https://www.enlit.world/companies/gridspertise-srl</w:t>
        </w:r>
      </w:hyperlink>
    </w:p>
    <w:p>
      <w:pPr>
        <w:pStyle w:val="BodyText"/>
      </w:pPr>
      <w:hyperlink r:id="rId36">
        <w:r>
          <w:rPr>
            <w:rStyle w:val="Hyperlink"/>
          </w:rPr>
          <w:t xml:space="preserve">[17]</w:t>
        </w:r>
      </w:hyperlink>
      <w:r>
        <w:t xml:space="preserve"> </w:t>
      </w:r>
      <w:r>
        <w:t xml:space="preserve">Elevion Group | Enlit World</w:t>
      </w:r>
    </w:p>
    <w:p>
      <w:pPr>
        <w:pStyle w:val="BodyText"/>
      </w:pPr>
      <w:hyperlink r:id="rId56">
        <w:r>
          <w:rPr>
            <w:rStyle w:val="Hyperlink"/>
          </w:rPr>
          <w:t xml:space="preserve">https://www.enlit.world/companies/elevion-group</w:t>
        </w:r>
      </w:hyperlink>
    </w:p>
    <w:p>
      <w:pPr>
        <w:pStyle w:val="BodyText"/>
      </w:pPr>
      <w:hyperlink r:id="rId37">
        <w:r>
          <w:rPr>
            <w:rStyle w:val="Hyperlink"/>
          </w:rPr>
          <w:t xml:space="preserve">[18]</w:t>
        </w:r>
      </w:hyperlink>
      <w:r>
        <w:t xml:space="preserve"> </w:t>
      </w:r>
      <w:hyperlink r:id="rId38">
        <w:r>
          <w:rPr>
            <w:rStyle w:val="Hyperlink"/>
          </w:rPr>
          <w:t xml:space="preserve">[19]</w:t>
        </w:r>
      </w:hyperlink>
      <w:r>
        <w:t xml:space="preserve"> </w:t>
      </w:r>
      <w:r>
        <w:t xml:space="preserve">New energy for a better planet | ACCIONA Energía |</w:t>
      </w:r>
    </w:p>
    <w:p>
      <w:pPr>
        <w:pStyle w:val="BodyText"/>
      </w:pPr>
      <w:hyperlink r:id="rId57">
        <w:r>
          <w:rPr>
            <w:rStyle w:val="Hyperlink"/>
          </w:rPr>
          <w:t xml:space="preserve">https://www.acciona-energia.com/</w:t>
        </w:r>
      </w:hyperlink>
    </w:p>
    <w:p>
      <w:pPr>
        <w:pStyle w:val="BodyText"/>
      </w:pPr>
      <w:hyperlink r:id="rId39">
        <w:r>
          <w:rPr>
            <w:rStyle w:val="Hyperlink"/>
          </w:rPr>
          <w:t xml:space="preserve">[20]</w:t>
        </w:r>
      </w:hyperlink>
      <w:r>
        <w:t xml:space="preserve"> </w:t>
      </w:r>
      <w:hyperlink r:id="rId40">
        <w:r>
          <w:rPr>
            <w:rStyle w:val="Hyperlink"/>
          </w:rPr>
          <w:t xml:space="preserve">[21]</w:t>
        </w:r>
      </w:hyperlink>
      <w:r>
        <w:t xml:space="preserve"> </w:t>
      </w:r>
      <w:r>
        <w:t xml:space="preserve">EDP Renewables Is A Leader In Maine’s Energy Sector</w:t>
      </w:r>
    </w:p>
    <w:p>
      <w:pPr>
        <w:pStyle w:val="BodyText"/>
      </w:pPr>
      <w:hyperlink r:id="rId58">
        <w:r>
          <w:rPr>
            <w:rStyle w:val="Hyperlink"/>
          </w:rPr>
          <w:t xml:space="preserve">https://thebusinessdownload.com/edp-renewables-is-a-leader-in-maines-energy-sector/</w:t>
        </w:r>
      </w:hyperlink>
    </w:p>
    <w:p>
      <w:pPr>
        <w:pStyle w:val="BodyText"/>
      </w:pPr>
      <w:hyperlink r:id="rId43">
        <w:r>
          <w:rPr>
            <w:rStyle w:val="Hyperlink"/>
          </w:rPr>
          <w:t xml:space="preserve">[25]</w:t>
        </w:r>
      </w:hyperlink>
      <w:r>
        <w:t xml:space="preserve"> </w:t>
      </w:r>
      <w:hyperlink r:id="rId44">
        <w:r>
          <w:rPr>
            <w:rStyle w:val="Hyperlink"/>
          </w:rPr>
          <w:t xml:space="preserve">[26]</w:t>
        </w:r>
      </w:hyperlink>
      <w:r>
        <w:t xml:space="preserve"> </w:t>
      </w:r>
      <w:hyperlink r:id="rId47">
        <w:r>
          <w:rPr>
            <w:rStyle w:val="Hyperlink"/>
          </w:rPr>
          <w:t xml:space="preserve">[27]</w:t>
        </w:r>
      </w:hyperlink>
      <w:r>
        <w:t xml:space="preserve"> </w:t>
      </w:r>
      <w:r>
        <w:t xml:space="preserve">Roadshow: Enlit Europe 2025</w:t>
      </w:r>
    </w:p>
    <w:p>
      <w:pPr>
        <w:pStyle w:val="BodyText"/>
      </w:pPr>
      <w:hyperlink r:id="rId59">
        <w:r>
          <w:rPr>
            <w:rStyle w:val="Hyperlink"/>
          </w:rPr>
          <w:t xml:space="preserve">https://eicscalingclub.eu/events/roadshow-enlit-europe-2025</w:t>
        </w:r>
      </w:hyperlink>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9" Target="https://eicscalingclub.eu/events/roadshow-enlit-europe-2025" TargetMode="External" /><Relationship Type="http://schemas.openxmlformats.org/officeDocument/2006/relationships/hyperlink" Id="rId43" Target="https://eicscalingclub.eu/events/roadshow-enlit-europe-2025#:~:text=,even%20know%20you%20needed%20to" TargetMode="External" /><Relationship Type="http://schemas.openxmlformats.org/officeDocument/2006/relationships/hyperlink" Id="rId44" Target="https://eicscalingclub.eu/events/roadshow-enlit-europe-2025#:~:text=,the%20challenges%20of%20system%20resiliency" TargetMode="External" /><Relationship Type="http://schemas.openxmlformats.org/officeDocument/2006/relationships/hyperlink" Id="rId47" Target="https://eicscalingclub.eu/events/roadshow-enlit-europe-2025#:~:text=From%2018%E2%80%9320%20November%2C%20the%20Bilbao,collaboration%20at%20Enlit%20Europe%202025" TargetMode="External" /><Relationship Type="http://schemas.openxmlformats.org/officeDocument/2006/relationships/hyperlink" Id="rId53" Target="https://en.wikipedia.org/wiki/Engie" TargetMode="External" /><Relationship Type="http://schemas.openxmlformats.org/officeDocument/2006/relationships/hyperlink" Id="rId42" Target="https://en.wikipedia.org/wiki/Engie#:~:text=Isabelle%20Kocher%20announces%20the%20definitive,including%20the%20last%20coal%20plants" TargetMode="External" /><Relationship Type="http://schemas.openxmlformats.org/officeDocument/2006/relationships/hyperlink" Id="rId26" Target="https://en.wikipedia.org/wiki/Engie#:~:text=promote%20decarbonized%20energy%20,new%20technologies%20related%20to%20energy" TargetMode="External" /><Relationship Type="http://schemas.openxmlformats.org/officeDocument/2006/relationships/hyperlink" Id="rId52" Target="https://sustainabilitymag.com/top10/top-10-european-renewable-energy-companies" TargetMode="External" /><Relationship Type="http://schemas.openxmlformats.org/officeDocument/2006/relationships/hyperlink" Id="rId23" Target="https://sustainabilitymag.com/top10/top-10-european-renewable-energy-companies#:~:text=1" TargetMode="External" /><Relationship Type="http://schemas.openxmlformats.org/officeDocument/2006/relationships/hyperlink" Id="rId29" Target="https://sustainabilitymag.com/top10/top-10-european-renewable-energy-companies#:~:text=10" TargetMode="External" /><Relationship Type="http://schemas.openxmlformats.org/officeDocument/2006/relationships/hyperlink" Id="rId32" Target="https://sustainabilitymag.com/top10/top-10-european-renewable-energy-companies#:~:text=5" TargetMode="External" /><Relationship Type="http://schemas.openxmlformats.org/officeDocument/2006/relationships/hyperlink" Id="rId27" Target="https://sustainabilitymag.com/top10/top-10-european-renewable-energy-companies#:~:text=CEO%3A%20Markus%20Krebber%20Headquarters%3A%20Essen%2C,1898%20Renewable%20capacity%3A%2018%20GW" TargetMode="External" /><Relationship Type="http://schemas.openxmlformats.org/officeDocument/2006/relationships/hyperlink" Id="rId30" Target="https://sustainabilitymag.com/top10/top-10-european-renewable-energy-companies#:~:text=CEO%3A%C2%A0Birgitte%20Ringstad%20Vartdal%20Headquarters%3A%20Oslo%2C,1992%20Renewable%20capacity%3A%2021%20GW" TargetMode="External" /><Relationship Type="http://schemas.openxmlformats.org/officeDocument/2006/relationships/hyperlink" Id="rId28" Target="https://sustainabilitymag.com/top10/top-10-european-renewable-energy-companies#:~:text=CEO%3A%C2%A0Rasmus%20Errboe%20Headquarters%3A%C2%A0Fredericia%2C%20Denmark%20Founded%3A,2006%20Renewable%20capacity%3A%2015%20GW" TargetMode="External" /><Relationship Type="http://schemas.openxmlformats.org/officeDocument/2006/relationships/hyperlink" Id="rId25" Target="https://sustainabilitymag.com/top10/top-10-european-renewable-energy-companies#:~:text=Hybridisation%20and%20repowering%20are%20two,the%20efficiency%20of%20renewable%20energy" TargetMode="External" /><Relationship Type="http://schemas.openxmlformats.org/officeDocument/2006/relationships/hyperlink" Id="rId24" Target="https://sustainabilitymag.com/top10/top-10-european-renewable-energy-companies#:~:text=Renewable%20capacity%3A%2066%20GW" TargetMode="External" /><Relationship Type="http://schemas.openxmlformats.org/officeDocument/2006/relationships/hyperlink" Id="rId22" Target="https://sustainabilitymag.com/top10/top-10-european-renewable-energy-companies#:~:text=Siemens%20Energy%20was%20spun%20off,based%20on%20the%20company%E2%80%99s%20technology" TargetMode="External" /><Relationship Type="http://schemas.openxmlformats.org/officeDocument/2006/relationships/hyperlink" Id="rId31" Target="https://sustainabilitymag.com/top10/top-10-european-renewable-energy-companies#:~:text=The%20company%20has%20applied%20to,budget%20of%20more%20than%20US%24550m" TargetMode="External" /><Relationship Type="http://schemas.openxmlformats.org/officeDocument/2006/relationships/hyperlink" Id="rId58" Target="https://thebusinessdownload.com/edp-renewables-is-a-leader-in-maines-energy-sector/" TargetMode="External" /><Relationship Type="http://schemas.openxmlformats.org/officeDocument/2006/relationships/hyperlink" Id="rId39" Target="https://thebusinessdownload.com/edp-renewables-is-a-leader-in-maines-energy-sector/#:~:text=EDP%20Renewables%20,domestic%20companies%20by%20renewable%20capacity" TargetMode="External" /><Relationship Type="http://schemas.openxmlformats.org/officeDocument/2006/relationships/hyperlink" Id="rId40" Target="https://thebusinessdownload.com/edp-renewables-is-a-leader-in-maines-energy-sector/#:~:text=It%20contributes%20more%20affordable%2C%20environmentally,permanent%20operations%20jobs%20in%20the" TargetMode="External" /><Relationship Type="http://schemas.openxmlformats.org/officeDocument/2006/relationships/hyperlink" Id="rId57" Target="https://www.acciona-energia.com/" TargetMode="External" /><Relationship Type="http://schemas.openxmlformats.org/officeDocument/2006/relationships/hyperlink" Id="rId37" Target="https://www.acciona-energia.com/#:~:text=The%20world%E2%80%99s%20first%20energy%20operator,activities%20exclusively%20in%20renewable%20energy" TargetMode="External" /><Relationship Type="http://schemas.openxmlformats.org/officeDocument/2006/relationships/hyperlink" Id="rId38" Target="https://www.acciona-energia.com/#:~:text=We%20are%20leaders%20in%20the,maintenance%20of%20wind%20energy%20facilities" TargetMode="External" /><Relationship Type="http://schemas.openxmlformats.org/officeDocument/2006/relationships/hyperlink" Id="rId56" Target="https://www.enlit.world/companies/elevion-group" TargetMode="External" /><Relationship Type="http://schemas.openxmlformats.org/officeDocument/2006/relationships/hyperlink" Id="rId36" Target="https://www.enlit.world/companies/elevion-group#:~:text=Company%20overview" TargetMode="External" /><Relationship Type="http://schemas.openxmlformats.org/officeDocument/2006/relationships/hyperlink" Id="rId55" Target="https://www.enlit.world/companies/gridspertise-srl" TargetMode="External" /><Relationship Type="http://schemas.openxmlformats.org/officeDocument/2006/relationships/hyperlink" Id="rId35" Target="https://www.enlit.world/companies/gridspertise-srl#:~:text=A%20milestone%20of%20100%20million,Group%20and%20CVC%20Capital%20Partners" TargetMode="External" /><Relationship Type="http://schemas.openxmlformats.org/officeDocument/2006/relationships/hyperlink" Id="rId34" Target="https://www.enlit.world/companies/gridspertise-srl#:~:text=Gridspertise%20offers%20grid%20intelligent%20devices%2C,transformation%20of%20electricity%20distribution%20grids" TargetMode="External" /><Relationship Type="http://schemas.openxmlformats.org/officeDocument/2006/relationships/hyperlink" Id="rId51" Target="https://www.investopedia.com/investing/top-alternative-energy-companies/" TargetMode="External" /><Relationship Type="http://schemas.openxmlformats.org/officeDocument/2006/relationships/hyperlink" Id="rId21" Target="https://www.investopedia.com/investing/top-alternative-energy-companies/#:~:text=Iberdrola%20is%20a%20Spain,4%205" TargetMode="External" /><Relationship Type="http://schemas.openxmlformats.org/officeDocument/2006/relationships/hyperlink" Id="rId54" Target="https://www.renewableenergyworld.com/solar/schneider-electric-unveils-the-future-of-energy-intelligence-at-distributech/" TargetMode="External" /><Relationship Type="http://schemas.openxmlformats.org/officeDocument/2006/relationships/hyperlink" Id="rId33" Target="https://www.renewableenergyworld.com/solar/schneider-electric-unveils-the-future-of-energy-intelligence-at-distributech/#:~:text=Schneider%20Electric%2C%20a%20company%20specializing,grid%20resiliency%2C%20reliability%20and%20efficiency" TargetMode="External" /></Relationships>
</file>

<file path=word/_rels/footnotes.xml.rels><?xml version="1.0" encoding="UTF-8"?><Relationships xmlns="http://schemas.openxmlformats.org/package/2006/relationships"><Relationship Type="http://schemas.openxmlformats.org/officeDocument/2006/relationships/hyperlink" Id="rId59" Target="https://eicscalingclub.eu/events/roadshow-enlit-europe-2025" TargetMode="External" /><Relationship Type="http://schemas.openxmlformats.org/officeDocument/2006/relationships/hyperlink" Id="rId43" Target="https://eicscalingclub.eu/events/roadshow-enlit-europe-2025#:~:text=,even%20know%20you%20needed%20to" TargetMode="External" /><Relationship Type="http://schemas.openxmlformats.org/officeDocument/2006/relationships/hyperlink" Id="rId44" Target="https://eicscalingclub.eu/events/roadshow-enlit-europe-2025#:~:text=,the%20challenges%20of%20system%20resiliency" TargetMode="External" /><Relationship Type="http://schemas.openxmlformats.org/officeDocument/2006/relationships/hyperlink" Id="rId47" Target="https://eicscalingclub.eu/events/roadshow-enlit-europe-2025#:~:text=From%2018%E2%80%9320%20November%2C%20the%20Bilbao,collaboration%20at%20Enlit%20Europe%202025" TargetMode="External" /><Relationship Type="http://schemas.openxmlformats.org/officeDocument/2006/relationships/hyperlink" Id="rId53" Target="https://en.wikipedia.org/wiki/Engie" TargetMode="External" /><Relationship Type="http://schemas.openxmlformats.org/officeDocument/2006/relationships/hyperlink" Id="rId42" Target="https://en.wikipedia.org/wiki/Engie#:~:text=Isabelle%20Kocher%20announces%20the%20definitive,including%20the%20last%20coal%20plants" TargetMode="External" /><Relationship Type="http://schemas.openxmlformats.org/officeDocument/2006/relationships/hyperlink" Id="rId26" Target="https://en.wikipedia.org/wiki/Engie#:~:text=promote%20decarbonized%20energy%20,new%20technologies%20related%20to%20energy" TargetMode="External" /><Relationship Type="http://schemas.openxmlformats.org/officeDocument/2006/relationships/hyperlink" Id="rId52" Target="https://sustainabilitymag.com/top10/top-10-european-renewable-energy-companies" TargetMode="External" /><Relationship Type="http://schemas.openxmlformats.org/officeDocument/2006/relationships/hyperlink" Id="rId23" Target="https://sustainabilitymag.com/top10/top-10-european-renewable-energy-companies#:~:text=1" TargetMode="External" /><Relationship Type="http://schemas.openxmlformats.org/officeDocument/2006/relationships/hyperlink" Id="rId29" Target="https://sustainabilitymag.com/top10/top-10-european-renewable-energy-companies#:~:text=10" TargetMode="External" /><Relationship Type="http://schemas.openxmlformats.org/officeDocument/2006/relationships/hyperlink" Id="rId32" Target="https://sustainabilitymag.com/top10/top-10-european-renewable-energy-companies#:~:text=5" TargetMode="External" /><Relationship Type="http://schemas.openxmlformats.org/officeDocument/2006/relationships/hyperlink" Id="rId27" Target="https://sustainabilitymag.com/top10/top-10-european-renewable-energy-companies#:~:text=CEO%3A%20Markus%20Krebber%20Headquarters%3A%20Essen%2C,1898%20Renewable%20capacity%3A%2018%20GW" TargetMode="External" /><Relationship Type="http://schemas.openxmlformats.org/officeDocument/2006/relationships/hyperlink" Id="rId30" Target="https://sustainabilitymag.com/top10/top-10-european-renewable-energy-companies#:~:text=CEO%3A%C2%A0Birgitte%20Ringstad%20Vartdal%20Headquarters%3A%20Oslo%2C,1992%20Renewable%20capacity%3A%2021%20GW" TargetMode="External" /><Relationship Type="http://schemas.openxmlformats.org/officeDocument/2006/relationships/hyperlink" Id="rId28" Target="https://sustainabilitymag.com/top10/top-10-european-renewable-energy-companies#:~:text=CEO%3A%C2%A0Rasmus%20Errboe%20Headquarters%3A%C2%A0Fredericia%2C%20Denmark%20Founded%3A,2006%20Renewable%20capacity%3A%2015%20GW" TargetMode="External" /><Relationship Type="http://schemas.openxmlformats.org/officeDocument/2006/relationships/hyperlink" Id="rId25" Target="https://sustainabilitymag.com/top10/top-10-european-renewable-energy-companies#:~:text=Hybridisation%20and%20repowering%20are%20two,the%20efficiency%20of%20renewable%20energy" TargetMode="External" /><Relationship Type="http://schemas.openxmlformats.org/officeDocument/2006/relationships/hyperlink" Id="rId24" Target="https://sustainabilitymag.com/top10/top-10-european-renewable-energy-companies#:~:text=Renewable%20capacity%3A%2066%20GW" TargetMode="External" /><Relationship Type="http://schemas.openxmlformats.org/officeDocument/2006/relationships/hyperlink" Id="rId22" Target="https://sustainabilitymag.com/top10/top-10-european-renewable-energy-companies#:~:text=Siemens%20Energy%20was%20spun%20off,based%20on%20the%20company%E2%80%99s%20technology" TargetMode="External" /><Relationship Type="http://schemas.openxmlformats.org/officeDocument/2006/relationships/hyperlink" Id="rId31" Target="https://sustainabilitymag.com/top10/top-10-european-renewable-energy-companies#:~:text=The%20company%20has%20applied%20to,budget%20of%20more%20than%20US%24550m" TargetMode="External" /><Relationship Type="http://schemas.openxmlformats.org/officeDocument/2006/relationships/hyperlink" Id="rId58" Target="https://thebusinessdownload.com/edp-renewables-is-a-leader-in-maines-energy-sector/" TargetMode="External" /><Relationship Type="http://schemas.openxmlformats.org/officeDocument/2006/relationships/hyperlink" Id="rId39" Target="https://thebusinessdownload.com/edp-renewables-is-a-leader-in-maines-energy-sector/#:~:text=EDP%20Renewables%20,domestic%20companies%20by%20renewable%20capacity" TargetMode="External" /><Relationship Type="http://schemas.openxmlformats.org/officeDocument/2006/relationships/hyperlink" Id="rId40" Target="https://thebusinessdownload.com/edp-renewables-is-a-leader-in-maines-energy-sector/#:~:text=It%20contributes%20more%20affordable%2C%20environmentally,permanent%20operations%20jobs%20in%20the" TargetMode="External" /><Relationship Type="http://schemas.openxmlformats.org/officeDocument/2006/relationships/hyperlink" Id="rId57" Target="https://www.acciona-energia.com/" TargetMode="External" /><Relationship Type="http://schemas.openxmlformats.org/officeDocument/2006/relationships/hyperlink" Id="rId37" Target="https://www.acciona-energia.com/#:~:text=The%20world%E2%80%99s%20first%20energy%20operator,activities%20exclusively%20in%20renewable%20energy" TargetMode="External" /><Relationship Type="http://schemas.openxmlformats.org/officeDocument/2006/relationships/hyperlink" Id="rId38" Target="https://www.acciona-energia.com/#:~:text=We%20are%20leaders%20in%20the,maintenance%20of%20wind%20energy%20facilities" TargetMode="External" /><Relationship Type="http://schemas.openxmlformats.org/officeDocument/2006/relationships/hyperlink" Id="rId56" Target="https://www.enlit.world/companies/elevion-group" TargetMode="External" /><Relationship Type="http://schemas.openxmlformats.org/officeDocument/2006/relationships/hyperlink" Id="rId36" Target="https://www.enlit.world/companies/elevion-group#:~:text=Company%20overview" TargetMode="External" /><Relationship Type="http://schemas.openxmlformats.org/officeDocument/2006/relationships/hyperlink" Id="rId55" Target="https://www.enlit.world/companies/gridspertise-srl" TargetMode="External" /><Relationship Type="http://schemas.openxmlformats.org/officeDocument/2006/relationships/hyperlink" Id="rId35" Target="https://www.enlit.world/companies/gridspertise-srl#:~:text=A%20milestone%20of%20100%20million,Group%20and%20CVC%20Capital%20Partners" TargetMode="External" /><Relationship Type="http://schemas.openxmlformats.org/officeDocument/2006/relationships/hyperlink" Id="rId34" Target="https://www.enlit.world/companies/gridspertise-srl#:~:text=Gridspertise%20offers%20grid%20intelligent%20devices%2C,transformation%20of%20electricity%20distribution%20grids" TargetMode="External" /><Relationship Type="http://schemas.openxmlformats.org/officeDocument/2006/relationships/hyperlink" Id="rId51" Target="https://www.investopedia.com/investing/top-alternative-energy-companies/" TargetMode="External" /><Relationship Type="http://schemas.openxmlformats.org/officeDocument/2006/relationships/hyperlink" Id="rId21" Target="https://www.investopedia.com/investing/top-alternative-energy-companies/#:~:text=Iberdrola%20is%20a%20Spain,4%205" TargetMode="External" /><Relationship Type="http://schemas.openxmlformats.org/officeDocument/2006/relationships/hyperlink" Id="rId54" Target="https://www.renewableenergyworld.com/solar/schneider-electric-unveils-the-future-of-energy-intelligence-at-distributech/" TargetMode="External" /><Relationship Type="http://schemas.openxmlformats.org/officeDocument/2006/relationships/hyperlink" Id="rId33" Target="https://www.renewableenergyworld.com/solar/schneider-electric-unveils-the-future-of-energy-intelligence-at-distributech/#:~:text=Schneider%20Electric%2C%20a%20company%20specializing,grid%20resiliency%2C%20reliability%20and%20efficienc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2025-11-12T20:39:53Z</dcterms:created>
  <dcterms:modified xsi:type="dcterms:W3CDTF">2025-11-12T20:39:53Z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