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Strategic Discovery Report: Interior Design / PropTech Ecosystem</w:t>
      </w:r>
    </w:p>
    <w:p w:rsidR="00000000" w:rsidDel="00000000" w:rsidP="00000000" w:rsidRDefault="00000000" w:rsidRPr="00000000" w14:paraId="00000002">
      <w:pPr>
        <w:pStyle w:val="Heading1"/>
        <w:rPr/>
      </w:pPr>
      <w:r w:rsidDel="00000000" w:rsidR="00000000" w:rsidRPr="00000000">
        <w:rPr>
          <w:rtl w:val="0"/>
        </w:rPr>
        <w:t xml:space="preserve">Executive Summary</w:t>
      </w:r>
    </w:p>
    <w:p w:rsidR="00000000" w:rsidDel="00000000" w:rsidP="00000000" w:rsidRDefault="00000000" w:rsidRPr="00000000" w14:paraId="00000003">
      <w:pPr>
        <w:numPr>
          <w:ilvl w:val="0"/>
          <w:numId w:val="6"/>
        </w:numPr>
        <w:spacing w:after="0" w:afterAutospacing="0" w:before="240" w:lineRule="auto"/>
        <w:ind w:left="360"/>
      </w:pPr>
      <w:r w:rsidDel="00000000" w:rsidR="00000000" w:rsidRPr="00000000">
        <w:rPr>
          <w:rtl w:val="0"/>
        </w:rPr>
        <w:t xml:space="preserve">A</w:t>
      </w:r>
      <w:r w:rsidDel="00000000" w:rsidR="00000000" w:rsidRPr="00000000">
        <w:rPr>
          <w:rtl w:val="0"/>
        </w:rPr>
        <w:t xml:space="preserve">I-assisted design (generative layouts, rapid photoreal renders, automated specing) is moving from consumer/marketing demos into paid workflows for designers, retailers and build firms — the market is growing fast (high-20% CAGR estimates).</w:t>
      </w:r>
      <w:hyperlink r:id="rId7">
        <w:r w:rsidDel="00000000" w:rsidR="00000000" w:rsidRPr="00000000">
          <w:rPr>
            <w:color w:val="1155cc"/>
            <w:u w:val="single"/>
            <w:rtl w:val="0"/>
          </w:rPr>
          <w:t xml:space="preserve"> The Business Research Company</w:t>
        </w:r>
      </w:hyperlink>
      <w:r w:rsidDel="00000000" w:rsidR="00000000" w:rsidRPr="00000000">
        <w:rPr>
          <w:rtl w:val="0"/>
        </w:rPr>
      </w:r>
    </w:p>
    <w:p w:rsidR="00000000" w:rsidDel="00000000" w:rsidP="00000000" w:rsidRDefault="00000000" w:rsidRPr="00000000" w14:paraId="00000004">
      <w:pPr>
        <w:numPr>
          <w:ilvl w:val="0"/>
          <w:numId w:val="6"/>
        </w:numPr>
        <w:spacing w:after="0" w:afterAutospacing="0" w:before="0" w:beforeAutospacing="0" w:lineRule="auto"/>
        <w:ind w:left="360"/>
      </w:pPr>
      <w:r w:rsidDel="00000000" w:rsidR="00000000" w:rsidRPr="00000000">
        <w:rPr>
          <w:rtl w:val="0"/>
        </w:rPr>
        <w:t xml:space="preserve">AR/VR is maturing from visualization to operational tools (virtual site walks, 3D scans for measurements, remote collaboration). Matterport-style capture + AR overlays are becoming standard in project handover and sales.</w:t>
      </w:r>
      <w:hyperlink r:id="rId8">
        <w:r w:rsidDel="00000000" w:rsidR="00000000" w:rsidRPr="00000000">
          <w:rPr>
            <w:color w:val="1155cc"/>
            <w:u w:val="single"/>
            <w:rtl w:val="0"/>
          </w:rPr>
          <w:t xml:space="preserve"> Y Combinator</w:t>
        </w:r>
      </w:hyperlink>
      <w:r w:rsidDel="00000000" w:rsidR="00000000" w:rsidRPr="00000000">
        <w:rPr>
          <w:rtl w:val="0"/>
        </w:rPr>
      </w:r>
    </w:p>
    <w:p w:rsidR="00000000" w:rsidDel="00000000" w:rsidP="00000000" w:rsidRDefault="00000000" w:rsidRPr="00000000" w14:paraId="00000005">
      <w:pPr>
        <w:numPr>
          <w:ilvl w:val="0"/>
          <w:numId w:val="6"/>
        </w:numPr>
        <w:spacing w:after="0" w:afterAutospacing="0" w:before="0" w:beforeAutospacing="0" w:lineRule="auto"/>
        <w:ind w:left="360"/>
      </w:pPr>
      <w:r w:rsidDel="00000000" w:rsidR="00000000" w:rsidRPr="00000000">
        <w:rPr>
          <w:rtl w:val="0"/>
        </w:rPr>
        <w:t xml:space="preserve">Sustainability and carbon/energy platforms are becoming procurement and underwriting inputs — carbon/accounting platforms (Watershed, Persefoni etc.) are integrating with real-estate data stacks. ESG/regulatory pressure drives adoption.</w:t>
      </w:r>
      <w:hyperlink r:id="rId9">
        <w:r w:rsidDel="00000000" w:rsidR="00000000" w:rsidRPr="00000000">
          <w:rPr>
            <w:color w:val="1155cc"/>
            <w:u w:val="single"/>
            <w:rtl w:val="0"/>
          </w:rPr>
          <w:t xml:space="preserve"> Sustainability Magazine</w:t>
        </w:r>
      </w:hyperlink>
      <w:r w:rsidDel="00000000" w:rsidR="00000000" w:rsidRPr="00000000">
        <w:rPr>
          <w:rtl w:val="0"/>
        </w:rPr>
      </w:r>
    </w:p>
    <w:p w:rsidR="00000000" w:rsidDel="00000000" w:rsidP="00000000" w:rsidRDefault="00000000" w:rsidRPr="00000000" w14:paraId="00000006">
      <w:pPr>
        <w:numPr>
          <w:ilvl w:val="0"/>
          <w:numId w:val="6"/>
        </w:numPr>
        <w:spacing w:after="240" w:before="0" w:beforeAutospacing="0" w:lineRule="auto"/>
        <w:ind w:left="360"/>
        <w:rPr/>
      </w:pPr>
      <w:r w:rsidDel="00000000" w:rsidR="00000000" w:rsidRPr="00000000">
        <w:rPr>
          <w:rtl w:val="0"/>
        </w:rPr>
        <w:t xml:space="preserve">Funding is concentrated around a handful of categories: asset-management / rental operations, retrofit &amp; energy SaaS, 3D capture/visualization, and design tools that reduce time-to-decision. Regional pockets show local winners (Spain, India, US) and growing strategic/corporate backers. </w:t>
      </w:r>
      <w:hyperlink r:id="rId10">
        <w:r w:rsidDel="00000000" w:rsidR="00000000" w:rsidRPr="00000000">
          <w:rPr>
            <w:color w:val="1155cc"/>
            <w:u w:val="single"/>
            <w:rtl w:val="0"/>
          </w:rPr>
          <w:t xml:space="preserve">Houlihan Lockey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Adoption and Emerging Signals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This section </w:t>
      </w:r>
      <w:r w:rsidDel="00000000" w:rsidR="00000000" w:rsidRPr="00000000">
        <w:rPr>
          <w:rtl w:val="0"/>
        </w:rPr>
        <w:t xml:space="preserve">will talk about </w:t>
      </w:r>
      <w:r w:rsidDel="00000000" w:rsidR="00000000" w:rsidRPr="00000000">
        <w:rPr>
          <w:i w:val="0"/>
          <w:smallCaps w:val="0"/>
          <w:strike w:val="0"/>
          <w:color w:val="000000"/>
          <w:sz w:val="22"/>
          <w:szCs w:val="22"/>
          <w:u w:val="none"/>
          <w:shd w:fill="auto" w:val="clear"/>
          <w:vertAlign w:val="baseline"/>
          <w:rtl w:val="0"/>
        </w:rPr>
        <w:t xml:space="preserve">trends across PropTech, DesignTech, and Construction SaaS, identify emerging signals (AI in interior design, AR/VR for space planning, sustainability-driven platforms), and track regional funding patterns (investors, recent deals, themes).</w:t>
      </w:r>
      <w:r w:rsidDel="00000000" w:rsidR="00000000" w:rsidRPr="00000000">
        <w:rPr>
          <w:rtl w:val="0"/>
        </w:rPr>
      </w:r>
    </w:p>
    <w:p w:rsidR="00000000" w:rsidDel="00000000" w:rsidP="00000000" w:rsidRDefault="00000000" w:rsidRPr="00000000" w14:paraId="00000009">
      <w:pPr>
        <w:pStyle w:val="Heading3"/>
        <w:spacing w:after="80" w:before="160" w:line="240" w:lineRule="auto"/>
        <w:rPr>
          <w:rFonts w:ascii="Cambria" w:cs="Cambria" w:eastAsia="Cambria" w:hAnsi="Cambria"/>
          <w:color w:val="0f4761"/>
          <w:sz w:val="28"/>
          <w:szCs w:val="28"/>
        </w:rPr>
      </w:pPr>
      <w:r w:rsidDel="00000000" w:rsidR="00000000" w:rsidRPr="00000000">
        <w:rPr>
          <w:rFonts w:ascii="Cambria" w:cs="Cambria" w:eastAsia="Cambria" w:hAnsi="Cambria"/>
          <w:color w:val="0f4761"/>
          <w:sz w:val="28"/>
          <w:szCs w:val="28"/>
          <w:rtl w:val="0"/>
        </w:rPr>
        <w:t xml:space="preserve">AI-Driven Design Tools</w:t>
      </w:r>
    </w:p>
    <w:p w:rsidR="00000000" w:rsidDel="00000000" w:rsidP="00000000" w:rsidRDefault="00000000" w:rsidRPr="00000000" w14:paraId="0000000A">
      <w:pPr>
        <w:spacing w:after="180" w:before="180" w:line="240" w:lineRule="auto"/>
        <w:rPr/>
      </w:pPr>
      <w:r w:rsidDel="00000000" w:rsidR="00000000" w:rsidRPr="00000000">
        <w:rPr>
          <w:rtl w:val="0"/>
        </w:rPr>
        <w:t xml:space="preserve">AI is transforming interior design software by automating routine tasks and sparking creativity. For example, AI algorithms can suggest décor styles, generate 3D layouts, or even auto-tag images for moodboards </w:t>
      </w:r>
      <w:hyperlink r:id="rId11">
        <w:r w:rsidDel="00000000" w:rsidR="00000000" w:rsidRPr="00000000">
          <w:rPr>
            <w:color w:val="1155cc"/>
            <w:u w:val="single"/>
            <w:rtl w:val="0"/>
          </w:rPr>
          <w:t xml:space="preserve">[1]</w:t>
        </w:r>
      </w:hyperlink>
      <w:r w:rsidDel="00000000" w:rsidR="00000000" w:rsidRPr="00000000">
        <w:rPr>
          <w:rtl w:val="0"/>
        </w:rPr>
        <w:t xml:space="preserve">. In practice, tools like Foyr use AI to speed up floorplan creation and optimize layouts, while platforms (often still in development) are experimenting with generative design: automatically producing multiple concept images from a few inputs </w:t>
      </w:r>
      <w:hyperlink r:id="rId12">
        <w:r w:rsidDel="00000000" w:rsidR="00000000" w:rsidRPr="00000000">
          <w:rPr>
            <w:color w:val="1155cc"/>
            <w:u w:val="single"/>
            <w:rtl w:val="0"/>
          </w:rPr>
          <w:t xml:space="preserve">[2]</w:t>
        </w:r>
      </w:hyperlink>
      <w:r w:rsidDel="00000000" w:rsidR="00000000" w:rsidRPr="00000000">
        <w:rPr>
          <w:rtl w:val="0"/>
        </w:rPr>
        <w:t xml:space="preserve">. </w:t>
      </w:r>
    </w:p>
    <w:p w:rsidR="00000000" w:rsidDel="00000000" w:rsidP="00000000" w:rsidRDefault="00000000" w:rsidRPr="00000000" w14:paraId="0000000B">
      <w:pPr>
        <w:spacing w:after="180" w:before="180" w:line="240" w:lineRule="auto"/>
        <w:rPr/>
      </w:pPr>
      <w:r w:rsidDel="00000000" w:rsidR="00000000" w:rsidRPr="00000000">
        <w:rPr>
          <w:rtl w:val="0"/>
        </w:rPr>
        <w:t xml:space="preserve">By “analyzing client preferences and design trends,” AI lets designers focus on creative decisions while the software handles drafting and visualization. This trend matters because it dramatically cuts design time and helps non-experts visualize concepts. In retail and real estate, AI is also used for automated material takeoffs and budgeting (see next section on procurement). In sum, AI integration is emerging as a key differentiator: it can boost speed and personalization, though it’s still maturing (few turnkey AI design platforms exist yet).</w:t>
      </w:r>
    </w:p>
    <w:p w:rsidR="00000000" w:rsidDel="00000000" w:rsidP="00000000" w:rsidRDefault="00000000" w:rsidRPr="00000000" w14:paraId="0000000C">
      <w:pPr>
        <w:spacing w:after="180" w:before="180" w:line="240" w:lineRule="auto"/>
        <w:rPr/>
      </w:pPr>
      <w:r w:rsidDel="00000000" w:rsidR="00000000" w:rsidRPr="00000000">
        <w:rPr>
          <w:b w:val="1"/>
          <w:rtl w:val="0"/>
        </w:rPr>
        <w:t xml:space="preserve">Implication</w:t>
      </w:r>
      <w:r w:rsidDel="00000000" w:rsidR="00000000" w:rsidRPr="00000000">
        <w:rPr>
          <w:rtl w:val="0"/>
        </w:rPr>
        <w:t xml:space="preserve">: teams that combine generative AI + real product/sku integrations (so a concept can become a purchase/order) capture higher commercial value.</w:t>
      </w:r>
    </w:p>
    <w:p w:rsidR="00000000" w:rsidDel="00000000" w:rsidP="00000000" w:rsidRDefault="00000000" w:rsidRPr="00000000" w14:paraId="0000000D">
      <w:pPr>
        <w:pStyle w:val="Heading3"/>
        <w:spacing w:after="80" w:before="160" w:line="240" w:lineRule="auto"/>
        <w:rPr>
          <w:rFonts w:ascii="Cambria" w:cs="Cambria" w:eastAsia="Cambria" w:hAnsi="Cambria"/>
          <w:color w:val="0f4761"/>
          <w:sz w:val="28"/>
          <w:szCs w:val="28"/>
        </w:rPr>
      </w:pPr>
      <w:r w:rsidDel="00000000" w:rsidR="00000000" w:rsidRPr="00000000">
        <w:rPr>
          <w:rFonts w:ascii="Cambria" w:cs="Cambria" w:eastAsia="Cambria" w:hAnsi="Cambria"/>
          <w:color w:val="0f4761"/>
          <w:sz w:val="28"/>
          <w:szCs w:val="28"/>
          <w:rtl w:val="0"/>
        </w:rPr>
        <w:t xml:space="preserve">AR/VR for Space Planning and Presentation</w:t>
      </w:r>
    </w:p>
    <w:p w:rsidR="00000000" w:rsidDel="00000000" w:rsidP="00000000" w:rsidRDefault="00000000" w:rsidRPr="00000000" w14:paraId="0000000E">
      <w:pPr>
        <w:spacing w:after="180" w:before="180" w:line="240" w:lineRule="auto"/>
        <w:rPr/>
      </w:pPr>
      <w:r w:rsidDel="00000000" w:rsidR="00000000" w:rsidRPr="00000000">
        <w:rPr>
          <w:rtl w:val="0"/>
        </w:rPr>
        <w:t xml:space="preserve">Augmented reality (AR) and virtual reality (VR) are increasingly used to bridge the gap between concepts and physical space. AR apps (e.g. IKEA Place, Houzz AR) let clients superimpose furniture or textures in their own room via a smartphone, reducing uncertainty about fit and style. </w:t>
      </w:r>
    </w:p>
    <w:p w:rsidR="00000000" w:rsidDel="00000000" w:rsidP="00000000" w:rsidRDefault="00000000" w:rsidRPr="00000000" w14:paraId="0000000F">
      <w:pPr>
        <w:spacing w:after="180" w:before="180" w:line="240" w:lineRule="auto"/>
        <w:rPr/>
      </w:pPr>
      <w:r w:rsidDel="00000000" w:rsidR="00000000" w:rsidRPr="00000000">
        <w:rPr>
          <w:rtl w:val="0"/>
        </w:rPr>
        <w:t xml:space="preserve">VR solutions (like IrisVR, or even Foyr’s AR mode) allow immersive walkthroughs of unbuilt interiors, so users can “visit” a future room before renovation. Syspree’s industry report notes that VR/AR “immersion reduces costly mid-project revisions” by giving clients realistic previews. For space planning, AR/VR is especially powerful: designers can experiment with layouts and immediately see spatial impacts. </w:t>
      </w:r>
    </w:p>
    <w:p w:rsidR="00000000" w:rsidDel="00000000" w:rsidP="00000000" w:rsidRDefault="00000000" w:rsidRPr="00000000" w14:paraId="00000010">
      <w:pPr>
        <w:spacing w:after="180" w:before="180" w:line="240" w:lineRule="auto"/>
        <w:rPr/>
      </w:pPr>
      <w:r w:rsidDel="00000000" w:rsidR="00000000" w:rsidRPr="00000000">
        <w:rPr>
          <w:rtl w:val="0"/>
        </w:rPr>
        <w:t xml:space="preserve">Adoption is still limited by cost and the need for 3D content, but we expect more platforms to embed simple AR previews (e.g. using mobile ARKit/ARCore), and specialized VR showrooms for high-end clients or training.</w:t>
      </w:r>
    </w:p>
    <w:p w:rsidR="00000000" w:rsidDel="00000000" w:rsidP="00000000" w:rsidRDefault="00000000" w:rsidRPr="00000000" w14:paraId="00000011">
      <w:pPr>
        <w:spacing w:after="180" w:before="180" w:line="240" w:lineRule="auto"/>
        <w:rPr/>
      </w:pPr>
      <w:r w:rsidDel="00000000" w:rsidR="00000000" w:rsidRPr="00000000">
        <w:rPr>
          <w:b w:val="1"/>
          <w:rtl w:val="0"/>
        </w:rPr>
        <w:t xml:space="preserve">Implication</w:t>
      </w:r>
      <w:r w:rsidDel="00000000" w:rsidR="00000000" w:rsidRPr="00000000">
        <w:rPr>
          <w:rtl w:val="0"/>
        </w:rPr>
        <w:t xml:space="preserve">: vendors that reduce friction between reality capture → usable BIM/BOQ data (automated takeoffs) will win adoption in construction/estimation workflows.</w:t>
      </w:r>
    </w:p>
    <w:p w:rsidR="00000000" w:rsidDel="00000000" w:rsidP="00000000" w:rsidRDefault="00000000" w:rsidRPr="00000000" w14:paraId="00000012">
      <w:pPr>
        <w:spacing w:after="180" w:before="180" w:line="240" w:lineRule="auto"/>
        <w:rPr/>
      </w:pPr>
      <w:r w:rsidDel="00000000" w:rsidR="00000000" w:rsidRPr="00000000">
        <w:rPr>
          <w:b w:val="1"/>
          <w:i w:val="1"/>
          <w:rtl w:val="0"/>
        </w:rPr>
        <w:t xml:space="preserve">Figure</w:t>
      </w:r>
      <w:r w:rsidDel="00000000" w:rsidR="00000000" w:rsidRPr="00000000">
        <w:rPr>
          <w:i w:val="1"/>
          <w:rtl w:val="0"/>
        </w:rPr>
        <w:t xml:space="preserve">: Emerging AR/VR tools allow clients to virtually “place” new furnishings and walk through designs (source: SysPree)</w:t>
      </w:r>
      <w:hyperlink r:id="rId13">
        <w:r w:rsidDel="00000000" w:rsidR="00000000" w:rsidRPr="00000000">
          <w:rPr>
            <w:i w:val="1"/>
            <w:color w:val="1155cc"/>
            <w:u w:val="single"/>
            <w:rtl w:val="0"/>
          </w:rPr>
          <w:t xml:space="preserve">[1]</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13">
      <w:pPr>
        <w:pStyle w:val="Heading3"/>
        <w:spacing w:after="80" w:before="160" w:line="240" w:lineRule="auto"/>
        <w:rPr>
          <w:rFonts w:ascii="Cambria" w:cs="Cambria" w:eastAsia="Cambria" w:hAnsi="Cambria"/>
          <w:color w:val="0f4761"/>
          <w:sz w:val="28"/>
          <w:szCs w:val="28"/>
        </w:rPr>
      </w:pPr>
      <w:r w:rsidDel="00000000" w:rsidR="00000000" w:rsidRPr="00000000">
        <w:rPr>
          <w:rFonts w:ascii="Cambria" w:cs="Cambria" w:eastAsia="Cambria" w:hAnsi="Cambria"/>
          <w:color w:val="0f4761"/>
          <w:sz w:val="28"/>
          <w:szCs w:val="28"/>
          <w:rtl w:val="0"/>
        </w:rPr>
        <w:t xml:space="preserve">Sustainability and Green Design Platforms</w:t>
      </w:r>
    </w:p>
    <w:p w:rsidR="00000000" w:rsidDel="00000000" w:rsidP="00000000" w:rsidRDefault="00000000" w:rsidRPr="00000000" w14:paraId="00000014">
      <w:pPr>
        <w:spacing w:after="180" w:before="180" w:line="240" w:lineRule="auto"/>
        <w:rPr/>
      </w:pPr>
      <w:r w:rsidDel="00000000" w:rsidR="00000000" w:rsidRPr="00000000">
        <w:rPr>
          <w:rtl w:val="0"/>
        </w:rPr>
        <w:t xml:space="preserve">Sustainability is a rising priority in design and PropTech. As ESG and green building standards tighten, platforms are beginning to help track and optimize environmental impact. For example, procurement tools are now integrating “sustainability metrics” into their data analytics </w:t>
      </w:r>
      <w:hyperlink r:id="rId14">
        <w:r w:rsidDel="00000000" w:rsidR="00000000" w:rsidRPr="00000000">
          <w:rPr>
            <w:color w:val="1155cc"/>
            <w:u w:val="single"/>
            <w:rtl w:val="0"/>
          </w:rPr>
          <w:t xml:space="preserve">[3]</w:t>
        </w:r>
      </w:hyperlink>
      <w:r w:rsidDel="00000000" w:rsidR="00000000" w:rsidRPr="00000000">
        <w:rPr>
          <w:rtl w:val="0"/>
        </w:rPr>
        <w:t xml:space="preserve">. By capturing details about materials (recyclability, embodied energy, certifications), these platforms can flag eco-friendly options or forecast lifecycle costs. </w:t>
      </w:r>
    </w:p>
    <w:p w:rsidR="00000000" w:rsidDel="00000000" w:rsidP="00000000" w:rsidRDefault="00000000" w:rsidRPr="00000000" w14:paraId="00000015">
      <w:pPr>
        <w:spacing w:after="180" w:before="180" w:line="240" w:lineRule="auto"/>
        <w:rPr/>
      </w:pPr>
      <w:r w:rsidDel="00000000" w:rsidR="00000000" w:rsidRPr="00000000">
        <w:rPr>
          <w:rtl w:val="0"/>
        </w:rPr>
        <w:t xml:space="preserve">Industry reports highlight that integrated BIM and procurement systems can “plan for reuse, recycling, or upgrades” once items age </w:t>
      </w:r>
      <w:hyperlink r:id="rId15">
        <w:r w:rsidDel="00000000" w:rsidR="00000000" w:rsidRPr="00000000">
          <w:rPr>
            <w:color w:val="1155cc"/>
            <w:u w:val="single"/>
            <w:rtl w:val="0"/>
          </w:rPr>
          <w:t xml:space="preserve">[3]</w:t>
        </w:r>
      </w:hyperlink>
      <w:r w:rsidDel="00000000" w:rsidR="00000000" w:rsidRPr="00000000">
        <w:rPr>
          <w:rtl w:val="0"/>
        </w:rPr>
        <w:t xml:space="preserve">. In practice, some SaaS are adding features like energy-performance calculators or carbon-footprint charts. Sustainability matters because clients (especially in GCC cities aiming for LEED/Estidama standards) increasingly demand greener interiors. Thus, we see momentum for cloud tools that compare alternative materials on carbon footprint or that integrate with facility management for tracking asset lifecycles.</w:t>
      </w:r>
    </w:p>
    <w:p w:rsidR="00000000" w:rsidDel="00000000" w:rsidP="00000000" w:rsidRDefault="00000000" w:rsidRPr="00000000" w14:paraId="00000016">
      <w:pPr>
        <w:spacing w:after="180" w:before="180" w:line="240" w:lineRule="auto"/>
        <w:rPr/>
      </w:pPr>
      <w:r w:rsidDel="00000000" w:rsidR="00000000" w:rsidRPr="00000000">
        <w:rPr>
          <w:b w:val="1"/>
          <w:rtl w:val="0"/>
        </w:rPr>
        <w:t xml:space="preserve">Implication</w:t>
      </w:r>
      <w:r w:rsidDel="00000000" w:rsidR="00000000" w:rsidRPr="00000000">
        <w:rPr>
          <w:rtl w:val="0"/>
        </w:rPr>
        <w:t xml:space="preserve">: products that tie building performance to financing (capex planning, grants, tax credits) can unlock growth and procurement budgets.</w:t>
      </w:r>
    </w:p>
    <w:p w:rsidR="00000000" w:rsidDel="00000000" w:rsidP="00000000" w:rsidRDefault="00000000" w:rsidRPr="00000000" w14:paraId="00000017">
      <w:pPr>
        <w:pStyle w:val="Heading3"/>
        <w:spacing w:after="80" w:before="160" w:line="240" w:lineRule="auto"/>
        <w:rPr>
          <w:rFonts w:ascii="Cambria" w:cs="Cambria" w:eastAsia="Cambria" w:hAnsi="Cambria"/>
          <w:color w:val="0f4761"/>
          <w:sz w:val="28"/>
          <w:szCs w:val="28"/>
        </w:rPr>
      </w:pPr>
      <w:r w:rsidDel="00000000" w:rsidR="00000000" w:rsidRPr="00000000">
        <w:rPr>
          <w:rFonts w:ascii="Cambria" w:cs="Cambria" w:eastAsia="Cambria" w:hAnsi="Cambria"/>
          <w:color w:val="0f4761"/>
          <w:sz w:val="28"/>
          <w:szCs w:val="28"/>
          <w:rtl w:val="0"/>
        </w:rPr>
        <w:t xml:space="preserve">PropTech &amp; Construction SaaS Adoption</w:t>
      </w:r>
    </w:p>
    <w:p w:rsidR="00000000" w:rsidDel="00000000" w:rsidP="00000000" w:rsidRDefault="00000000" w:rsidRPr="00000000" w14:paraId="00000018">
      <w:pPr>
        <w:spacing w:after="180" w:before="180" w:line="240" w:lineRule="auto"/>
        <w:rPr/>
      </w:pPr>
      <w:r w:rsidDel="00000000" w:rsidR="00000000" w:rsidRPr="00000000">
        <w:rPr>
          <w:rtl w:val="0"/>
        </w:rPr>
        <w:t xml:space="preserve">Broadly, the real estate and construction sectors are digitizing, and interior design is part of that wave. Firms are adopting cloud BIM (Building Information Modeling), project-management apps, and digital-twin platforms to streamline workflows. A market report notes that using digital workflows (BIM, VR) “compresses design iterations and drives down rework costs”</w:t>
      </w:r>
      <w:hyperlink r:id="rId16">
        <w:r w:rsidDel="00000000" w:rsidR="00000000" w:rsidRPr="00000000">
          <w:rPr>
            <w:color w:val="1155cc"/>
            <w:u w:val="single"/>
            <w:rtl w:val="0"/>
          </w:rPr>
          <w:t xml:space="preserve">[4]</w:t>
        </w:r>
      </w:hyperlink>
      <w:r w:rsidDel="00000000" w:rsidR="00000000" w:rsidRPr="00000000">
        <w:rPr>
          <w:rtl w:val="0"/>
        </w:rPr>
        <w:t xml:space="preserve">. </w:t>
      </w:r>
    </w:p>
    <w:p w:rsidR="00000000" w:rsidDel="00000000" w:rsidP="00000000" w:rsidRDefault="00000000" w:rsidRPr="00000000" w14:paraId="00000019">
      <w:pPr>
        <w:spacing w:after="180" w:before="180" w:line="240" w:lineRule="auto"/>
        <w:rPr/>
      </w:pPr>
      <w:r w:rsidDel="00000000" w:rsidR="00000000" w:rsidRPr="00000000">
        <w:rPr>
          <w:rtl w:val="0"/>
        </w:rPr>
        <w:t xml:space="preserve">In construction tech, SaaS platforms like Procore, Asana, or even mobile site-monitoring (OpenSpace.ai) are becoming commonplace on major projects. For interior studios, the shift has been slower, but COVID-19 and remote work have pushed more collaboration tools (e.g. shared design boards, cloud document libraries). </w:t>
      </w:r>
    </w:p>
    <w:p w:rsidR="00000000" w:rsidDel="00000000" w:rsidP="00000000" w:rsidRDefault="00000000" w:rsidRPr="00000000" w14:paraId="0000001A">
      <w:pPr>
        <w:spacing w:after="180" w:before="180" w:line="240" w:lineRule="auto"/>
        <w:rPr/>
      </w:pPr>
      <w:r w:rsidDel="00000000" w:rsidR="00000000" w:rsidRPr="00000000">
        <w:rPr>
          <w:rtl w:val="0"/>
        </w:rPr>
        <w:t xml:space="preserve">Trend-wise, we see growth in: (a) integrated platforms that combine 3D design with procurement (e.g. Flipspaces, Hutch); (b) mobile/bim tools enabling on-site measurements and updates; and (c) IoT-smart furnishings (e.g. sensors in furniture for office planning). The tech-savvy large firms now demand ERP-like solutions (the “Studio Designer” model) rather than patchwork spreadsheets, reflecting this PropTech digitalization push </w:t>
      </w:r>
      <w:hyperlink r:id="rId17">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1B">
      <w:pPr>
        <w:spacing w:after="240" w:before="240" w:line="240" w:lineRule="auto"/>
        <w:ind w:left="0" w:firstLine="0"/>
        <w:rPr/>
      </w:pPr>
      <w:r w:rsidDel="00000000" w:rsidR="00000000" w:rsidRPr="00000000">
        <w:rPr>
          <w:b w:val="1"/>
          <w:rtl w:val="0"/>
        </w:rPr>
        <w:t xml:space="preserve">Implication</w:t>
      </w:r>
      <w:r w:rsidDel="00000000" w:rsidR="00000000" w:rsidRPr="00000000">
        <w:rPr>
          <w:rtl w:val="0"/>
        </w:rPr>
        <w:t xml:space="preserve">: customers favor integrated suites that reduce double-data-entry between office/plans/field apps.</w:t>
      </w:r>
    </w:p>
    <w:p w:rsidR="00000000" w:rsidDel="00000000" w:rsidP="00000000" w:rsidRDefault="00000000" w:rsidRPr="00000000" w14:paraId="0000001C">
      <w:pPr>
        <w:pStyle w:val="Heading3"/>
        <w:spacing w:after="80" w:before="160" w:line="240" w:lineRule="auto"/>
        <w:rPr>
          <w:rFonts w:ascii="Cambria" w:cs="Cambria" w:eastAsia="Cambria" w:hAnsi="Cambria"/>
          <w:color w:val="0f4761"/>
          <w:sz w:val="28"/>
          <w:szCs w:val="28"/>
        </w:rPr>
      </w:pPr>
      <w:bookmarkStart w:colFirst="0" w:colLast="0" w:name="_heading=h.kgix3hb0papi" w:id="0"/>
      <w:bookmarkEnd w:id="0"/>
      <w:r w:rsidDel="00000000" w:rsidR="00000000" w:rsidRPr="00000000">
        <w:rPr>
          <w:rFonts w:ascii="Cambria" w:cs="Cambria" w:eastAsia="Cambria" w:hAnsi="Cambria"/>
          <w:color w:val="0f4761"/>
          <w:sz w:val="28"/>
          <w:szCs w:val="28"/>
          <w:rtl w:val="0"/>
        </w:rPr>
        <w:t xml:space="preserve">Regional Funding Patterns (DesignTech/PropTech)</w:t>
      </w:r>
    </w:p>
    <w:p w:rsidR="00000000" w:rsidDel="00000000" w:rsidP="00000000" w:rsidRDefault="00000000" w:rsidRPr="00000000" w14:paraId="0000001D">
      <w:pPr>
        <w:pStyle w:val="Heading3"/>
        <w:keepNext w:val="0"/>
        <w:keepLines w:val="0"/>
        <w:spacing w:after="80" w:before="280" w:line="240" w:lineRule="auto"/>
        <w:rPr>
          <w:rFonts w:ascii="Cambria" w:cs="Cambria" w:eastAsia="Cambria" w:hAnsi="Cambria"/>
          <w:color w:val="4a86e8"/>
          <w:sz w:val="26"/>
          <w:szCs w:val="26"/>
        </w:rPr>
      </w:pPr>
      <w:bookmarkStart w:colFirst="0" w:colLast="0" w:name="_heading=h.hb383lwcmjti" w:id="1"/>
      <w:bookmarkEnd w:id="1"/>
      <w:r w:rsidDel="00000000" w:rsidR="00000000" w:rsidRPr="00000000">
        <w:rPr>
          <w:rFonts w:ascii="Cambria" w:cs="Cambria" w:eastAsia="Cambria" w:hAnsi="Cambria"/>
          <w:color w:val="4a86e8"/>
          <w:sz w:val="26"/>
          <w:szCs w:val="26"/>
          <w:rtl w:val="0"/>
        </w:rPr>
        <w:t xml:space="preserve">North America (US &amp; Canada)</w:t>
      </w:r>
    </w:p>
    <w:p w:rsidR="00000000" w:rsidDel="00000000" w:rsidP="00000000" w:rsidRDefault="00000000" w:rsidRPr="00000000" w14:paraId="0000001E">
      <w:pPr>
        <w:numPr>
          <w:ilvl w:val="0"/>
          <w:numId w:val="7"/>
        </w:numPr>
        <w:spacing w:after="240" w:before="240" w:line="240" w:lineRule="auto"/>
        <w:ind w:left="720" w:hanging="360"/>
      </w:pPr>
      <w:r w:rsidDel="00000000" w:rsidR="00000000" w:rsidRPr="00000000">
        <w:rPr>
          <w:rtl w:val="0"/>
        </w:rPr>
        <w:t xml:space="preserve">Large dealflow and growth equity for scaleups in ops, marketplace and energy management; both specialist VCs (CRE Tech funds) and strategic corporate investors (construction software incumbents, REITs) are active. 1H-2025 shows many growth rounds &gt;$20M.</w:t>
      </w:r>
      <w:hyperlink r:id="rId18">
        <w:r w:rsidDel="00000000" w:rsidR="00000000" w:rsidRPr="00000000">
          <w:rPr>
            <w:color w:val="1155cc"/>
            <w:u w:val="single"/>
            <w:rtl w:val="0"/>
          </w:rPr>
          <w:t xml:space="preserve"> Houlihan Lokey</w:t>
        </w:r>
      </w:hyperlink>
      <w:r w:rsidDel="00000000" w:rsidR="00000000" w:rsidRPr="00000000">
        <w:rPr>
          <w:rtl w:val="0"/>
        </w:rPr>
      </w:r>
    </w:p>
    <w:p w:rsidR="00000000" w:rsidDel="00000000" w:rsidP="00000000" w:rsidRDefault="00000000" w:rsidRPr="00000000" w14:paraId="0000001F">
      <w:pPr>
        <w:pStyle w:val="Heading3"/>
        <w:keepNext w:val="0"/>
        <w:keepLines w:val="0"/>
        <w:spacing w:after="80" w:before="280" w:line="240" w:lineRule="auto"/>
        <w:rPr>
          <w:rFonts w:ascii="Cambria" w:cs="Cambria" w:eastAsia="Cambria" w:hAnsi="Cambria"/>
          <w:color w:val="4a86e8"/>
          <w:sz w:val="26"/>
          <w:szCs w:val="26"/>
        </w:rPr>
      </w:pPr>
      <w:bookmarkStart w:colFirst="0" w:colLast="0" w:name="_heading=h.aelwhbb9cmcu" w:id="2"/>
      <w:bookmarkEnd w:id="2"/>
      <w:r w:rsidDel="00000000" w:rsidR="00000000" w:rsidRPr="00000000">
        <w:rPr>
          <w:rFonts w:ascii="Cambria" w:cs="Cambria" w:eastAsia="Cambria" w:hAnsi="Cambria"/>
          <w:color w:val="4a86e8"/>
          <w:sz w:val="26"/>
          <w:szCs w:val="26"/>
          <w:rtl w:val="0"/>
        </w:rPr>
        <w:t xml:space="preserve">Europe</w:t>
      </w:r>
    </w:p>
    <w:p w:rsidR="00000000" w:rsidDel="00000000" w:rsidP="00000000" w:rsidRDefault="00000000" w:rsidRPr="00000000" w14:paraId="00000020">
      <w:pPr>
        <w:numPr>
          <w:ilvl w:val="0"/>
          <w:numId w:val="3"/>
        </w:numPr>
        <w:spacing w:after="240" w:before="240" w:line="240" w:lineRule="auto"/>
        <w:ind w:left="720" w:hanging="360"/>
      </w:pPr>
      <w:r w:rsidDel="00000000" w:rsidR="00000000" w:rsidRPr="00000000">
        <w:rPr>
          <w:rtl w:val="0"/>
        </w:rPr>
        <w:t xml:space="preserve">Active seed/Series A market; strong activity in rental-management, fintech-for-landlords, and niche sustainability plays. Banks and regional corporate VC (e.g., Spanish banks) co-invest in local winners (example: Zazume raised from Sabadell + Nordstar).</w:t>
      </w:r>
      <w:hyperlink r:id="rId19">
        <w:r w:rsidDel="00000000" w:rsidR="00000000" w:rsidRPr="00000000">
          <w:rPr>
            <w:color w:val="1155cc"/>
            <w:u w:val="single"/>
            <w:rtl w:val="0"/>
          </w:rPr>
          <w:t xml:space="preserve"> Cinco Días </w:t>
        </w:r>
      </w:hyperlink>
      <w:r w:rsidDel="00000000" w:rsidR="00000000" w:rsidRPr="00000000">
        <w:rPr>
          <w:rtl w:val="0"/>
        </w:rPr>
      </w:r>
    </w:p>
    <w:p w:rsidR="00000000" w:rsidDel="00000000" w:rsidP="00000000" w:rsidRDefault="00000000" w:rsidRPr="00000000" w14:paraId="00000021">
      <w:pPr>
        <w:pStyle w:val="Heading3"/>
        <w:keepNext w:val="0"/>
        <w:keepLines w:val="0"/>
        <w:spacing w:after="80" w:before="280" w:line="240" w:lineRule="auto"/>
        <w:rPr>
          <w:rFonts w:ascii="Cambria" w:cs="Cambria" w:eastAsia="Cambria" w:hAnsi="Cambria"/>
          <w:color w:val="4a86e8"/>
          <w:sz w:val="26"/>
          <w:szCs w:val="26"/>
        </w:rPr>
      </w:pPr>
      <w:bookmarkStart w:colFirst="0" w:colLast="0" w:name="_heading=h.npg36k0j64l" w:id="3"/>
      <w:bookmarkEnd w:id="3"/>
      <w:r w:rsidDel="00000000" w:rsidR="00000000" w:rsidRPr="00000000">
        <w:rPr>
          <w:rFonts w:ascii="Cambria" w:cs="Cambria" w:eastAsia="Cambria" w:hAnsi="Cambria"/>
          <w:color w:val="4a86e8"/>
          <w:sz w:val="26"/>
          <w:szCs w:val="26"/>
          <w:rtl w:val="0"/>
        </w:rPr>
        <w:t xml:space="preserve">India &amp; APAC</w:t>
      </w:r>
    </w:p>
    <w:p w:rsidR="00000000" w:rsidDel="00000000" w:rsidP="00000000" w:rsidRDefault="00000000" w:rsidRPr="00000000" w14:paraId="00000022">
      <w:pPr>
        <w:numPr>
          <w:ilvl w:val="0"/>
          <w:numId w:val="5"/>
        </w:numPr>
        <w:spacing w:after="240" w:before="240" w:line="240" w:lineRule="auto"/>
        <w:ind w:left="720" w:hanging="360"/>
      </w:pPr>
      <w:r w:rsidDel="00000000" w:rsidR="00000000" w:rsidRPr="00000000">
        <w:rPr>
          <w:rtl w:val="0"/>
        </w:rPr>
        <w:t xml:space="preserve">Rapid growth in designtech and workspace solutions (local scaleups raising larger rounds). Example: continued high activity in India (platforms backed by regional funds and strategic acquirers). Notable corporate-backed deals in 2025.</w:t>
      </w:r>
      <w:hyperlink r:id="rId20">
        <w:r w:rsidDel="00000000" w:rsidR="00000000" w:rsidRPr="00000000">
          <w:rPr>
            <w:color w:val="1155cc"/>
            <w:u w:val="single"/>
            <w:rtl w:val="0"/>
          </w:rPr>
          <w:t xml:space="preserve"> Sifted</w:t>
        </w:r>
      </w:hyperlink>
      <w:r w:rsidDel="00000000" w:rsidR="00000000" w:rsidRPr="00000000">
        <w:rPr>
          <w:rtl w:val="0"/>
        </w:rPr>
      </w:r>
    </w:p>
    <w:p w:rsidR="00000000" w:rsidDel="00000000" w:rsidP="00000000" w:rsidRDefault="00000000" w:rsidRPr="00000000" w14:paraId="00000023">
      <w:pPr>
        <w:pStyle w:val="Heading3"/>
        <w:keepNext w:val="0"/>
        <w:keepLines w:val="0"/>
        <w:spacing w:after="80" w:before="280" w:line="240" w:lineRule="auto"/>
        <w:rPr>
          <w:rFonts w:ascii="Cambria" w:cs="Cambria" w:eastAsia="Cambria" w:hAnsi="Cambria"/>
          <w:color w:val="4a86e8"/>
          <w:sz w:val="26"/>
          <w:szCs w:val="26"/>
        </w:rPr>
      </w:pPr>
      <w:bookmarkStart w:colFirst="0" w:colLast="0" w:name="_heading=h.5eoso9a626fl" w:id="4"/>
      <w:bookmarkEnd w:id="4"/>
      <w:r w:rsidDel="00000000" w:rsidR="00000000" w:rsidRPr="00000000">
        <w:rPr>
          <w:rFonts w:ascii="Cambria" w:cs="Cambria" w:eastAsia="Cambria" w:hAnsi="Cambria"/>
          <w:color w:val="4a86e8"/>
          <w:sz w:val="26"/>
          <w:szCs w:val="26"/>
          <w:rtl w:val="0"/>
        </w:rPr>
        <w:t xml:space="preserve">LatAm, MENA, Africa</w:t>
      </w:r>
    </w:p>
    <w:p w:rsidR="00000000" w:rsidDel="00000000" w:rsidP="00000000" w:rsidRDefault="00000000" w:rsidRPr="00000000" w14:paraId="00000024">
      <w:pPr>
        <w:numPr>
          <w:ilvl w:val="0"/>
          <w:numId w:val="2"/>
        </w:numPr>
        <w:spacing w:after="240" w:before="240" w:line="240" w:lineRule="auto"/>
        <w:ind w:left="720" w:hanging="360"/>
      </w:pPr>
      <w:r w:rsidDel="00000000" w:rsidR="00000000" w:rsidRPr="00000000">
        <w:rPr>
          <w:rtl w:val="0"/>
        </w:rPr>
        <w:t xml:space="preserve">Emerging rounds, more project-level financing and platform pilots; local investors often partner with strategic European/US VCs or institutional players when scaling regionally. </w:t>
      </w:r>
    </w:p>
    <w:p w:rsidR="00000000" w:rsidDel="00000000" w:rsidP="00000000" w:rsidRDefault="00000000" w:rsidRPr="00000000" w14:paraId="00000025">
      <w:pPr>
        <w:spacing w:after="180" w:before="180" w:line="240" w:lineRule="auto"/>
        <w:rPr>
          <w:b w:val="1"/>
        </w:rPr>
      </w:pPr>
      <w:r w:rsidDel="00000000" w:rsidR="00000000" w:rsidRPr="00000000">
        <w:rPr>
          <w:b w:val="1"/>
          <w:rtl w:val="0"/>
        </w:rPr>
        <w:t xml:space="preserve">Notable Recent Rounds and Examples</w:t>
      </w:r>
    </w:p>
    <w:p w:rsidR="00000000" w:rsidDel="00000000" w:rsidP="00000000" w:rsidRDefault="00000000" w:rsidRPr="00000000" w14:paraId="00000026">
      <w:pPr>
        <w:spacing w:after="180" w:before="180" w:line="240" w:lineRule="auto"/>
        <w:rPr/>
      </w:pPr>
      <w:r w:rsidDel="00000000" w:rsidR="00000000" w:rsidRPr="00000000">
        <w:rPr>
          <w:rtl w:val="0"/>
        </w:rPr>
        <w:t xml:space="preserve">Investment in designtech and proptech in the GCC is heating up. Regional VCs, family offices, and industry funds are backing startups that tackle real-world property problems. </w:t>
      </w:r>
    </w:p>
    <w:p w:rsidR="00000000" w:rsidDel="00000000" w:rsidP="00000000" w:rsidRDefault="00000000" w:rsidRPr="00000000" w14:paraId="00000027">
      <w:pPr>
        <w:spacing w:after="180" w:before="180" w:line="240" w:lineRule="auto"/>
        <w:rPr/>
      </w:pPr>
      <w:r w:rsidDel="00000000" w:rsidR="00000000" w:rsidRPr="00000000">
        <w:rPr>
          <w:rtl w:val="0"/>
        </w:rPr>
        <w:t xml:space="preserve">For example, UAE/Saudi funds participated in Holo’s $22M Series A (Aug 2025), which expanded a home-financing platform across the Gulf </w:t>
      </w:r>
      <w:hyperlink r:id="rId21">
        <w:r w:rsidDel="00000000" w:rsidR="00000000" w:rsidRPr="00000000">
          <w:rPr>
            <w:color w:val="1155cc"/>
            <w:u w:val="single"/>
            <w:rtl w:val="0"/>
          </w:rPr>
          <w:t xml:space="preserve">[5]</w:t>
        </w:r>
      </w:hyperlink>
      <w:r w:rsidDel="00000000" w:rsidR="00000000" w:rsidRPr="00000000">
        <w:rPr>
          <w:rtl w:val="0"/>
        </w:rPr>
        <w:t xml:space="preserve">. Smaller but noteworthy deals include UAE proptech Seraya’s $1.8M seed (2024) for serviced-apartment rentals </w:t>
      </w:r>
      <w:hyperlink r:id="rId22">
        <w:r w:rsidDel="00000000" w:rsidR="00000000" w:rsidRPr="00000000">
          <w:rPr>
            <w:color w:val="1155cc"/>
            <w:u w:val="single"/>
            <w:rtl w:val="0"/>
          </w:rPr>
          <w:t xml:space="preserve">[6]</w:t>
        </w:r>
      </w:hyperlink>
      <w:r w:rsidDel="00000000" w:rsidR="00000000" w:rsidRPr="00000000">
        <w:rPr>
          <w:rtl w:val="0"/>
        </w:rPr>
        <w:t xml:space="preserve">. </w:t>
      </w:r>
    </w:p>
    <w:p w:rsidR="00000000" w:rsidDel="00000000" w:rsidP="00000000" w:rsidRDefault="00000000" w:rsidRPr="00000000" w14:paraId="00000028">
      <w:pPr>
        <w:spacing w:after="180" w:before="180" w:line="240" w:lineRule="auto"/>
        <w:rPr/>
      </w:pPr>
      <w:r w:rsidDel="00000000" w:rsidR="00000000" w:rsidRPr="00000000">
        <w:rPr>
          <w:rtl w:val="0"/>
        </w:rPr>
        <w:t xml:space="preserve">Internationally, design-focused companies have also attracted funding: Indian design-build startup Flipspaces secured $35M (May 2025) led by Iron Pillar, explicitly to expand into the UAE and US </w:t>
      </w:r>
      <w:hyperlink r:id="rId23">
        <w:r w:rsidDel="00000000" w:rsidR="00000000" w:rsidRPr="00000000">
          <w:rPr>
            <w:color w:val="1155cc"/>
            <w:u w:val="single"/>
            <w:rtl w:val="0"/>
          </w:rPr>
          <w:t xml:space="preserve">[7]</w:t>
        </w:r>
      </w:hyperlink>
      <w:r w:rsidDel="00000000" w:rsidR="00000000" w:rsidRPr="00000000">
        <w:rPr>
          <w:rtl w:val="0"/>
        </w:rPr>
        <w:t xml:space="preserve">. </w:t>
      </w:r>
    </w:p>
    <w:p w:rsidR="00000000" w:rsidDel="00000000" w:rsidP="00000000" w:rsidRDefault="00000000" w:rsidRPr="00000000" w14:paraId="00000029">
      <w:pPr>
        <w:spacing w:after="180" w:before="180" w:line="240" w:lineRule="auto"/>
        <w:rPr/>
      </w:pPr>
      <w:r w:rsidDel="00000000" w:rsidR="00000000" w:rsidRPr="00000000">
        <w:rPr>
          <w:rtl w:val="0"/>
        </w:rPr>
        <w:t xml:space="preserve">Globally, corporates are joining the trend (e.g. JLL Asia led Foyr’s $3.8M round</w:t>
      </w:r>
      <w:hyperlink r:id="rId24">
        <w:r w:rsidDel="00000000" w:rsidR="00000000" w:rsidRPr="00000000">
          <w:rPr>
            <w:color w:val="1155cc"/>
            <w:u w:val="single"/>
            <w:rtl w:val="0"/>
          </w:rPr>
          <w:t xml:space="preserve">[8]</w:t>
        </w:r>
      </w:hyperlink>
      <w:r w:rsidDel="00000000" w:rsidR="00000000" w:rsidRPr="00000000">
        <w:rPr>
          <w:rtl w:val="0"/>
        </w:rPr>
        <w:t xml:space="preserve">). In the GCC, investors like Mubadala (Abu Dhabi) and Impact46 (Saudi) are particularly active in proptech. Overall, MENA proptech drew ~$684M in Q3 2025 </w:t>
      </w:r>
      <w:hyperlink r:id="rId25">
        <w:r w:rsidDel="00000000" w:rsidR="00000000" w:rsidRPr="00000000">
          <w:rPr>
            <w:color w:val="1155cc"/>
            <w:u w:val="single"/>
            <w:rtl w:val="0"/>
          </w:rPr>
          <w:t xml:space="preserve">[9]</w:t>
        </w:r>
      </w:hyperlink>
      <w:r w:rsidDel="00000000" w:rsidR="00000000" w:rsidRPr="00000000">
        <w:rPr>
          <w:rtl w:val="0"/>
        </w:rPr>
        <w:t xml:space="preserve">. </w:t>
      </w:r>
    </w:p>
    <w:p w:rsidR="00000000" w:rsidDel="00000000" w:rsidP="00000000" w:rsidRDefault="00000000" w:rsidRPr="00000000" w14:paraId="0000002A">
      <w:pPr>
        <w:pStyle w:val="Heading2"/>
        <w:keepNext w:val="0"/>
        <w:keepLines w:val="0"/>
        <w:spacing w:after="80" w:before="360" w:line="240" w:lineRule="auto"/>
        <w:rPr>
          <w:rFonts w:ascii="Cambria" w:cs="Cambria" w:eastAsia="Cambria" w:hAnsi="Cambria"/>
          <w:color w:val="0f4761"/>
          <w:sz w:val="34"/>
          <w:szCs w:val="34"/>
        </w:rPr>
      </w:pPr>
      <w:bookmarkStart w:colFirst="0" w:colLast="0" w:name="_heading=h.1s3n0843qm06" w:id="5"/>
      <w:bookmarkEnd w:id="5"/>
      <w:r w:rsidDel="00000000" w:rsidR="00000000" w:rsidRPr="00000000">
        <w:rPr>
          <w:rFonts w:ascii="Cambria" w:cs="Cambria" w:eastAsia="Cambria" w:hAnsi="Cambria"/>
          <w:color w:val="0f4761"/>
          <w:sz w:val="34"/>
          <w:szCs w:val="34"/>
          <w:rtl w:val="0"/>
        </w:rPr>
        <w:t xml:space="preserve">Investor themes &amp; behaviour (what VCs / corporates are prioritizing)</w:t>
      </w:r>
    </w:p>
    <w:p w:rsidR="00000000" w:rsidDel="00000000" w:rsidP="00000000" w:rsidRDefault="00000000" w:rsidRPr="00000000" w14:paraId="0000002B">
      <w:pPr>
        <w:numPr>
          <w:ilvl w:val="0"/>
          <w:numId w:val="1"/>
        </w:numPr>
        <w:spacing w:after="0" w:afterAutospacing="0" w:before="240" w:line="240" w:lineRule="auto"/>
        <w:ind w:left="720" w:hanging="360"/>
      </w:pPr>
      <w:r w:rsidDel="00000000" w:rsidR="00000000" w:rsidRPr="00000000">
        <w:rPr>
          <w:b w:val="1"/>
          <w:rtl w:val="0"/>
        </w:rPr>
        <w:t xml:space="preserve">Revenue &amp; unit economics first</w:t>
      </w:r>
      <w:r w:rsidDel="00000000" w:rsidR="00000000" w:rsidRPr="00000000">
        <w:rPr>
          <w:rtl w:val="0"/>
        </w:rPr>
        <w:t xml:space="preserve"> — investors favor units that show real ARR and path to profitability (more conservative since 2023–24).</w:t>
      </w:r>
      <w:hyperlink r:id="rId26">
        <w:r w:rsidDel="00000000" w:rsidR="00000000" w:rsidRPr="00000000">
          <w:rPr>
            <w:color w:val="1155cc"/>
            <w:u w:val="single"/>
            <w:rtl w:val="0"/>
          </w:rPr>
          <w:t xml:space="preserve"> CRETI </w:t>
        </w:r>
      </w:hyperlink>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line="240" w:lineRule="auto"/>
        <w:ind w:left="720" w:hanging="360"/>
      </w:pPr>
      <w:r w:rsidDel="00000000" w:rsidR="00000000" w:rsidRPr="00000000">
        <w:rPr>
          <w:b w:val="1"/>
          <w:rtl w:val="0"/>
        </w:rPr>
        <w:t xml:space="preserve">Climate / regulatory defensibility</w:t>
      </w:r>
      <w:r w:rsidDel="00000000" w:rsidR="00000000" w:rsidRPr="00000000">
        <w:rPr>
          <w:rtl w:val="0"/>
        </w:rPr>
        <w:t xml:space="preserve"> — startups that help compliance with emissions reporting or reduce energy spend get strategic interest from climate funds and corporates.</w:t>
      </w:r>
      <w:hyperlink r:id="rId27">
        <w:r w:rsidDel="00000000" w:rsidR="00000000" w:rsidRPr="00000000">
          <w:rPr>
            <w:color w:val="1155cc"/>
            <w:u w:val="single"/>
            <w:rtl w:val="0"/>
          </w:rPr>
          <w:t xml:space="preserve"> Sustainability Magazine </w:t>
        </w:r>
      </w:hyperlink>
      <w:r w:rsidDel="00000000" w:rsidR="00000000" w:rsidRPr="00000000">
        <w:rPr>
          <w:rtl w:val="0"/>
        </w:rPr>
      </w:r>
    </w:p>
    <w:p w:rsidR="00000000" w:rsidDel="00000000" w:rsidP="00000000" w:rsidRDefault="00000000" w:rsidRPr="00000000" w14:paraId="0000002D">
      <w:pPr>
        <w:numPr>
          <w:ilvl w:val="0"/>
          <w:numId w:val="1"/>
        </w:numPr>
        <w:spacing w:after="240" w:before="0" w:beforeAutospacing="0" w:line="240" w:lineRule="auto"/>
        <w:ind w:left="720" w:hanging="360"/>
      </w:pPr>
      <w:r w:rsidDel="00000000" w:rsidR="00000000" w:rsidRPr="00000000">
        <w:rPr>
          <w:b w:val="1"/>
          <w:rtl w:val="0"/>
        </w:rPr>
        <w:t xml:space="preserve">Vertical integration / data moats</w:t>
      </w:r>
      <w:r w:rsidDel="00000000" w:rsidR="00000000" w:rsidRPr="00000000">
        <w:rPr>
          <w:rtl w:val="0"/>
        </w:rPr>
        <w:t xml:space="preserve"> — capture + analytics (3D scans + automated takeoffs / BOQ) are seen as sticky revenue sources.</w:t>
      </w:r>
      <w:hyperlink r:id="rId28">
        <w:r w:rsidDel="00000000" w:rsidR="00000000" w:rsidRPr="00000000">
          <w:rPr>
            <w:color w:val="1155cc"/>
            <w:u w:val="single"/>
            <w:rtl w:val="0"/>
          </w:rPr>
          <w:t xml:space="preserve"> Y Combinator</w:t>
        </w:r>
      </w:hyperlink>
      <w:r w:rsidDel="00000000" w:rsidR="00000000" w:rsidRPr="00000000">
        <w:rPr>
          <w:rtl w:val="0"/>
        </w:rPr>
      </w:r>
    </w:p>
    <w:p w:rsidR="00000000" w:rsidDel="00000000" w:rsidP="00000000" w:rsidRDefault="00000000" w:rsidRPr="00000000" w14:paraId="0000002E">
      <w:pPr>
        <w:pStyle w:val="Heading2"/>
        <w:keepNext w:val="0"/>
        <w:keepLines w:val="0"/>
        <w:spacing w:after="80" w:before="360" w:line="240" w:lineRule="auto"/>
        <w:rPr>
          <w:rFonts w:ascii="Cambria" w:cs="Cambria" w:eastAsia="Cambria" w:hAnsi="Cambria"/>
          <w:color w:val="0f4761"/>
          <w:sz w:val="34"/>
          <w:szCs w:val="34"/>
        </w:rPr>
      </w:pPr>
      <w:bookmarkStart w:colFirst="0" w:colLast="0" w:name="_heading=h.z2br4ur1g358" w:id="6"/>
      <w:bookmarkEnd w:id="6"/>
      <w:r w:rsidDel="00000000" w:rsidR="00000000" w:rsidRPr="00000000">
        <w:rPr>
          <w:rFonts w:ascii="Cambria" w:cs="Cambria" w:eastAsia="Cambria" w:hAnsi="Cambria"/>
          <w:color w:val="0f4761"/>
          <w:sz w:val="34"/>
          <w:szCs w:val="34"/>
          <w:rtl w:val="0"/>
        </w:rPr>
        <w:t xml:space="preserve">Practical recommendations (for operators, founders, and investors)</w:t>
      </w:r>
    </w:p>
    <w:p w:rsidR="00000000" w:rsidDel="00000000" w:rsidP="00000000" w:rsidRDefault="00000000" w:rsidRPr="00000000" w14:paraId="0000002F">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okmt2fr2y6l1" w:id="7"/>
      <w:bookmarkEnd w:id="7"/>
      <w:r w:rsidDel="00000000" w:rsidR="00000000" w:rsidRPr="00000000">
        <w:rPr>
          <w:rFonts w:ascii="Cambria" w:cs="Cambria" w:eastAsia="Cambria" w:hAnsi="Cambria"/>
          <w:color w:val="000000"/>
          <w:sz w:val="26"/>
          <w:szCs w:val="26"/>
          <w:rtl w:val="0"/>
        </w:rPr>
        <w:t xml:space="preserve">For founders (product + GTM)</w:t>
      </w:r>
    </w:p>
    <w:p w:rsidR="00000000" w:rsidDel="00000000" w:rsidP="00000000" w:rsidRDefault="00000000" w:rsidRPr="00000000" w14:paraId="00000030">
      <w:pPr>
        <w:numPr>
          <w:ilvl w:val="0"/>
          <w:numId w:val="8"/>
        </w:numPr>
        <w:spacing w:after="0" w:afterAutospacing="0" w:before="240" w:line="240" w:lineRule="auto"/>
        <w:ind w:left="720" w:hanging="360"/>
      </w:pPr>
      <w:r w:rsidDel="00000000" w:rsidR="00000000" w:rsidRPr="00000000">
        <w:rPr>
          <w:rtl w:val="0"/>
        </w:rPr>
        <w:t xml:space="preserve">Integrate real SKU/PO flows into AI design tools (so design → procurement is seamless). Evidence shows this is where buyers pay.</w:t>
      </w:r>
      <w:hyperlink r:id="rId2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31">
      <w:pPr>
        <w:numPr>
          <w:ilvl w:val="0"/>
          <w:numId w:val="8"/>
        </w:numPr>
        <w:spacing w:after="0" w:afterAutospacing="0" w:before="0" w:beforeAutospacing="0" w:line="240" w:lineRule="auto"/>
        <w:ind w:left="720" w:hanging="360"/>
      </w:pPr>
      <w:r w:rsidDel="00000000" w:rsidR="00000000" w:rsidRPr="00000000">
        <w:rPr>
          <w:rtl w:val="0"/>
        </w:rPr>
        <w:t xml:space="preserve">Build capture-to-data pipelines (scan → BIM/BOQ) to address construction estimating and retrofit workflows — that’s where AR/VR + automated takeoff value compounds.</w:t>
      </w:r>
      <w:hyperlink r:id="rId3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32">
      <w:pPr>
        <w:numPr>
          <w:ilvl w:val="0"/>
          <w:numId w:val="8"/>
        </w:numPr>
        <w:spacing w:after="240" w:before="0" w:beforeAutospacing="0" w:line="240" w:lineRule="auto"/>
        <w:ind w:left="720" w:hanging="360"/>
      </w:pPr>
      <w:r w:rsidDel="00000000" w:rsidR="00000000" w:rsidRPr="00000000">
        <w:rPr>
          <w:rtl w:val="0"/>
        </w:rPr>
        <w:t xml:space="preserve">Consider sustainability features (energy/carbon metrics) early — buyers increasingly ask for these during procurement and financing.</w: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dvzpvhq4qu0o" w:id="8"/>
      <w:bookmarkEnd w:id="8"/>
      <w:r w:rsidDel="00000000" w:rsidR="00000000" w:rsidRPr="00000000">
        <w:rPr>
          <w:rFonts w:ascii="Cambria" w:cs="Cambria" w:eastAsia="Cambria" w:hAnsi="Cambria"/>
          <w:color w:val="000000"/>
          <w:sz w:val="26"/>
          <w:szCs w:val="26"/>
          <w:rtl w:val="0"/>
        </w:rPr>
        <w:t xml:space="preserve">For investors</w:t>
      </w:r>
    </w:p>
    <w:p w:rsidR="00000000" w:rsidDel="00000000" w:rsidP="00000000" w:rsidRDefault="00000000" w:rsidRPr="00000000" w14:paraId="00000034">
      <w:pPr>
        <w:numPr>
          <w:ilvl w:val="0"/>
          <w:numId w:val="4"/>
        </w:numPr>
        <w:spacing w:after="0" w:afterAutospacing="0" w:before="240" w:line="240" w:lineRule="auto"/>
        <w:ind w:left="720" w:hanging="360"/>
      </w:pPr>
      <w:r w:rsidDel="00000000" w:rsidR="00000000" w:rsidRPr="00000000">
        <w:rPr>
          <w:rtl w:val="0"/>
        </w:rPr>
        <w:t xml:space="preserve">Prioritize companies with defensible data moats (repeatable capture workflows, integrations into procurement/finance) and clear regulatory/compliance pathways (ESG/carbons).</w:t>
      </w:r>
      <w:hyperlink r:id="rId3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5">
      <w:pPr>
        <w:numPr>
          <w:ilvl w:val="0"/>
          <w:numId w:val="4"/>
        </w:numPr>
        <w:spacing w:after="240" w:before="0" w:beforeAutospacing="0" w:line="240" w:lineRule="auto"/>
        <w:ind w:left="720" w:hanging="360"/>
      </w:pPr>
      <w:r w:rsidDel="00000000" w:rsidR="00000000" w:rsidRPr="00000000">
        <w:rPr>
          <w:rtl w:val="0"/>
        </w:rPr>
        <w:t xml:space="preserve">Look for regional champions that can consolidate localized services (e.g., rental ops, landlord fintech) before they attempt global scale — local rules/culture matter.</w:t>
      </w:r>
      <w:hyperlink r:id="rId32">
        <w:r w:rsidDel="00000000" w:rsidR="00000000" w:rsidRPr="00000000">
          <w:rPr>
            <w:rtl w:val="0"/>
          </w:rPr>
          <w:t xml:space="preserve"> </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odyTextCustom" w:customStyle="1">
    <w:name w:val="BodyTextCustom"/>
    <w:rPr>
      <w:rFonts w:ascii="Calibri" w:hAnsi="Calibri"/>
      <w:sz w:val="2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sifted.eu/pro/briefings/proptech-2025" TargetMode="External"/><Relationship Id="rId22" Type="http://schemas.openxmlformats.org/officeDocument/2006/relationships/hyperlink" Target="https://www.arabnews.com/node/2614367/amp#:~:text=Seraya%20secures%20%241.8m%20seed%20UAE,people%20seeking%20calm%2C%20comfort%2C%20and" TargetMode="External"/><Relationship Id="rId21" Type="http://schemas.openxmlformats.org/officeDocument/2006/relationships/hyperlink" Target="https://www.arabnews.com/node/2613557/business-economy#:~:text=In%20one%20of%20the%20Gulf,buying%20platform" TargetMode="External"/><Relationship Id="rId24" Type="http://schemas.openxmlformats.org/officeDocument/2006/relationships/hyperlink" Target="https://www.jll.com/en-hk/newsroom/jll-leads-us3-8million-series-a-funding-for-proptech-start-up-foyr#:~:text=HONG%20KONG%2C%20January%2017%2C%202018%C2%A0%E2%80%93,institutional%20investors" TargetMode="External"/><Relationship Id="rId23" Type="http://schemas.openxmlformats.org/officeDocument/2006/relationships/hyperlink" Target="https://www.vccircle.com/ironpillar-leads-35-mn-round-in-flipspaces#:~:text=Tech,and%20new%20investor%20Synergy%20Capi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stainabilitymag.com/top10/top-10-carbon-management-platforms-in-2025?" TargetMode="External"/><Relationship Id="rId26" Type="http://schemas.openxmlformats.org/officeDocument/2006/relationships/hyperlink" Target="https://creti.org/2024-proptech-venture-capital-report" TargetMode="External"/><Relationship Id="rId25" Type="http://schemas.openxmlformats.org/officeDocument/2006/relationships/hyperlink" Target="https://www.arabnews.com/node/2618563/business-economy#:~:text=Sectorally%2C%20fintech%20remained%20dominant%20in,commerce%20with%20%24265%20million" TargetMode="External"/><Relationship Id="rId28" Type="http://schemas.openxmlformats.org/officeDocument/2006/relationships/hyperlink" Target="https://www.ycombinator.com/companies/industry/virtual-and-augmented-reality" TargetMode="External"/><Relationship Id="rId27" Type="http://schemas.openxmlformats.org/officeDocument/2006/relationships/hyperlink" Target="https://sustainabilitymag.com/top10/top-10-carbon-management-platforms-in-202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apidrenders.com/top-ai-tools-for-interior-designers/?utm_source=chatgpt.com" TargetMode="External"/><Relationship Id="rId7" Type="http://schemas.openxmlformats.org/officeDocument/2006/relationships/hyperlink" Target="https://www.thebusinessresearchcompany.com/report/artificial-intelligence-ai-in-interior-design-global-market-report" TargetMode="External"/><Relationship Id="rId8" Type="http://schemas.openxmlformats.org/officeDocument/2006/relationships/hyperlink" Target="https://www.ycombinator.com/companies/industry/virtual-and-augmented-reality?" TargetMode="External"/><Relationship Id="rId31" Type="http://schemas.openxmlformats.org/officeDocument/2006/relationships/hyperlink" Target="https://www2.hl.com/pdf/2025/1h-2025-proptech-market-update-september-2025.pdf?utm_source=chatgpt.com" TargetMode="External"/><Relationship Id="rId30" Type="http://schemas.openxmlformats.org/officeDocument/2006/relationships/hyperlink" Target="https://www.airteam.ai/en/blog/these-7-startups-are-revolutionizing-the-construction-industry-with-vr-and-ar?utm_source=chatgpt.com" TargetMode="External"/><Relationship Id="rId11" Type="http://schemas.openxmlformats.org/officeDocument/2006/relationships/hyperlink" Target="https://syspree.com/blog/innovative-it-trends-in-interior-design/#:~:text=AI%20simplifies%20workflows%20by%20analyzing,layouts%20or%20generating%203D%20visuals" TargetMode="External"/><Relationship Id="rId10" Type="http://schemas.openxmlformats.org/officeDocument/2006/relationships/hyperlink" Target="https://cdn.hl.com/pdf/2025/1h-2025-proptech-market-update-september-2025-hl.pdf" TargetMode="External"/><Relationship Id="rId32" Type="http://schemas.openxmlformats.org/officeDocument/2006/relationships/hyperlink" Target="https://cincodias.elpais.com/companias/2025-04-28/la-proptech-zazume-cierra-una-ronda-con-sabadell-y-nordstar-para-su-ia-en-la-gestion-de-alquileres.html?utm_source=chatgpt.com" TargetMode="External"/><Relationship Id="rId13" Type="http://schemas.openxmlformats.org/officeDocument/2006/relationships/hyperlink" Target="https://syspree.com/blog/innovative-it-trends-in-interior-design/#:~:text=Augmented%20reality%20overlays%20digital%20information,creating%20a%20smoother%20design%20experience" TargetMode="External"/><Relationship Id="rId12" Type="http://schemas.openxmlformats.org/officeDocument/2006/relationships/hyperlink" Target="https://rapidrenders.com/top-ai-tools-for-interior-designers/" TargetMode="External"/><Relationship Id="rId15" Type="http://schemas.openxmlformats.org/officeDocument/2006/relationships/hyperlink" Target="https://www.specsources.com/blog/streamlining-procurement-using-interior-design-specification-software/#:~:text=Procurement%20doesn%E2%80%99t%20stop%20once%20items,organizations%20to%20plan%20beyond%20installation" TargetMode="External"/><Relationship Id="rId14" Type="http://schemas.openxmlformats.org/officeDocument/2006/relationships/hyperlink" Target="https://www.specsources.com/blog/streamlining-procurement-using-interior-design-specification-software/#:~:text=Analytics%20in%20Action%3A" TargetMode="External"/><Relationship Id="rId17" Type="http://schemas.openxmlformats.org/officeDocument/2006/relationships/hyperlink" Target="https://www.specsources.com/blog/streamlining-procurement-using-interior-design-specification-software/#:~:text=Procurement%20in%20the%20design%20world,error%2C%20and%20difficult%20to%20track" TargetMode="External"/><Relationship Id="rId16" Type="http://schemas.openxmlformats.org/officeDocument/2006/relationships/hyperlink" Target="https://www.mordorintelligence.com/industry-reports/gcc-interior-design-services-market#:~:text=combine%20advanced%20digital%20workflows%20with,across%20skilled%20trades%2C%20yet%20companies" TargetMode="External"/><Relationship Id="rId19" Type="http://schemas.openxmlformats.org/officeDocument/2006/relationships/hyperlink" Target="https://cincodias.elpais.com/companias/2025-04-28/la-proptech-zazume-cierra-una-ronda-con-sabadell-y-nordstar-para-su-ia-en-la-gestion-de-alquileres.html?" TargetMode="External"/><Relationship Id="rId18" Type="http://schemas.openxmlformats.org/officeDocument/2006/relationships/hyperlink" Target="https://www2.hl.com/pdf/2025/1h-2025-proptech-market-update-september-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TuGMU5EFRGHjFH3jqTWowGww==">CgMxLjAyDmgua2dpeDNoYjBwYXBpMg5oLmhiMzgzbHdjbWp0aTIOaC5hZWx3aGJiOWNtY3UyDWgubnBnMzZrMGo2NGwyDmguNWVvc285YTYyNmZsMg5oLjFzM24wODQzcW0wNjIOaC56MmJyNHVyMWczNTgyDmgub2ttdDJmcjJ5NmwxMg5oLmR2enB2aHE0cXUwbzgAciExMFNyM1pMMzNYWUhkeFVHbzg5dGYyZGdsN2hTTDFONDg=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