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Market &amp; Growth Analysis – Supporting Narrative Report</w:t>
      </w:r>
    </w:p>
    <w:p>
      <w:r>
        <w:t>Access date: 2025-10-23</w:t>
      </w:r>
    </w:p>
    <w:p>
      <w:pPr>
        <w:pStyle w:val="Heading1"/>
      </w:pPr>
      <w:r>
        <w:t>Overview</w:t>
      </w:r>
    </w:p>
    <w:p>
      <w:r>
        <w:t>This report provides business context and key insights to accompany the five CSV deliverables specified by the client. Each section references the corresponding CSV file for quantitative details.</w:t>
      </w:r>
    </w:p>
    <w:p>
      <w:pPr>
        <w:pStyle w:val="Heading2"/>
      </w:pPr>
      <w:r>
        <w:t>1) Market share (market_share_data.csv)</w:t>
      </w:r>
    </w:p>
    <w:p>
      <w:pPr>
        <w:pStyle w:val="ListBullet"/>
      </w:pPr>
      <w:r>
        <w:t>Methodology: Triangulated usage/market share across credible trackers (BuiltWith, Datanyze, StoreLeads, Statista where applicable).</w:t>
      </w:r>
    </w:p>
    <w:p>
      <w:pPr>
        <w:pStyle w:val="ListBullet"/>
      </w:pPr>
      <w:r>
        <w:t>Each row includes metric definitions, universes (e.g., Entire Internet vs Companies in category), source URLs, and source dates.</w:t>
      </w:r>
    </w:p>
    <w:p>
      <w:pPr>
        <w:pStyle w:val="ListBullet"/>
      </w:pPr>
      <w:r>
        <w:t>Reconciliation: Where sources differ, notes document numeric comparisons and the chosen figure for consistency.</w:t>
      </w:r>
    </w:p>
    <w:p>
      <w:pPr>
        <w:pStyle w:val="ListBullet"/>
      </w:pPr>
      <w:r>
        <w:t>Caveat: Trackers measure detected technology usage, not GMV/revenue share.</w:t>
      </w:r>
    </w:p>
    <w:p>
      <w:pPr>
        <w:pStyle w:val="Heading2"/>
      </w:pPr>
      <w:r>
        <w:t>2) Transaction fee comparison (transaction_fee_comparison.csv)</w:t>
      </w:r>
    </w:p>
    <w:p>
      <w:pPr>
        <w:pStyle w:val="ListBullet"/>
      </w:pPr>
      <w:r>
        <w:t>Captured: Plan-level subscription fees, online/in-person processing rates, platform transaction fees, third-party gateway policies.</w:t>
      </w:r>
    </w:p>
    <w:p>
      <w:pPr>
        <w:pStyle w:val="ListBullet"/>
      </w:pPr>
      <w:r>
        <w:t>Regional/card-type surcharges documented (e.g., Squarespace +1.5% international and +1% currency conversion; Wix AmEx 3.7%).</w:t>
      </w:r>
    </w:p>
    <w:p>
      <w:pPr>
        <w:pStyle w:val="ListBullet"/>
      </w:pPr>
      <w:r>
        <w:t>In-person: Shopify (published per plan), Squarespace POS follows Squarespace Payments per plan, WooCommerce programs available (per-transaction rates not centrally published), BigCommerce/Wix/Adobe processor-dependent.</w:t>
      </w:r>
    </w:p>
    <w:p>
      <w:pPr>
        <w:pStyle w:val="ListBullet"/>
      </w:pPr>
      <w:r>
        <w:t>Policy note: Shopify third-party gateway transaction fees vary by plan when Shopify Payments is not used; percentages are not published (policy link in CSV).</w:t>
      </w:r>
    </w:p>
    <w:p>
      <w:pPr>
        <w:pStyle w:val="Heading2"/>
      </w:pPr>
      <w:r>
        <w:t>3) Feature availability matrix (feature_availability_matrix.csv)</w:t>
      </w:r>
    </w:p>
    <w:p>
      <w:pPr>
        <w:pStyle w:val="ListBullet"/>
      </w:pPr>
      <w:r>
        <w:t>Normalized labels: Native, Extension/App, Third-party integration.</w:t>
      </w:r>
    </w:p>
    <w:p>
      <w:pPr>
        <w:pStyle w:val="ListBullet"/>
      </w:pPr>
      <w:r>
        <w:t>Plan specificity: Documented where relevant (e.g., Shopify B2B on Advanced/Plus; Squarespace shipping/carrier-calculated on Plus/Advanced; BigCommerce B2B Edition add-on).</w:t>
      </w:r>
    </w:p>
    <w:p>
      <w:pPr>
        <w:pStyle w:val="ListBullet"/>
      </w:pPr>
      <w:r>
        <w:t>Feature-specific documentation links per row for auditability.</w:t>
      </w:r>
    </w:p>
    <w:p>
      <w:pPr>
        <w:pStyle w:val="Heading2"/>
      </w:pPr>
      <w:r>
        <w:t>4) Customer segment analysis (customer_segment_analysis.csv)</w:t>
      </w:r>
    </w:p>
    <w:p>
      <w:pPr>
        <w:pStyle w:val="ListBullet"/>
      </w:pPr>
      <w:r>
        <w:t>Segments include ideal merchant profiles, GMV size bands (heuristic ranges: Micro &lt; $1M; Lower SMB $1M–$5M; SMB $1M–$10M; Upper SMB $10M–$25M; Mid‑market $25M–$50M).</w:t>
      </w:r>
    </w:p>
    <w:p>
      <w:pPr>
        <w:pStyle w:val="ListBullet"/>
      </w:pPr>
      <w:r>
        <w:t>Use cases, fit drivers, caveats, and named examples with case study links are included.</w:t>
      </w:r>
    </w:p>
    <w:p>
      <w:pPr>
        <w:pStyle w:val="ListBullet"/>
      </w:pPr>
      <w:r>
        <w:t>Fit signals: App/extension reliance, catalog complexity, internationalization needs, omnichannel maturity, and operating model (DIY vs partner-led).</w:t>
      </w:r>
    </w:p>
    <w:p>
      <w:pPr>
        <w:pStyle w:val="Heading2"/>
      </w:pPr>
      <w:r>
        <w:t>5) Growth trend analysis (growth_trend_2yrs.csv)</w:t>
      </w:r>
    </w:p>
    <w:p>
      <w:pPr>
        <w:pStyle w:val="ListBullet"/>
      </w:pPr>
      <w:r>
        <w:t>Indicators: Revenue/ARR/bookings from official press/investor materials and installed-base proxies (StoreLeads).</w:t>
      </w:r>
    </w:p>
    <w:p>
      <w:pPr>
        <w:pStyle w:val="ListBullet"/>
      </w:pPr>
      <w:r>
        <w:t>Multiple recent timepoints per platform included (e.g., Shopify Q4 31% YoY and Q2 GMV +22% YoY; BigCommerce FY2024 revenue +8% YoY and FY2025 guidance; Wix Q4 bookings +18% YoY; Squarespace ARRR comparator; WooCommerce global and US QoQ stats).</w:t>
      </w:r>
    </w:p>
    <w:p>
      <w:pPr>
        <w:pStyle w:val="ListBullet"/>
      </w:pPr>
      <w:r>
        <w:t>Caveats: Fiscal calendars differ; where GMV isn’t disclosed, revenue/bookings/ARR are used as proxies.</w:t>
      </w:r>
    </w:p>
    <w:p>
      <w:pPr>
        <w:pStyle w:val="Heading2"/>
      </w:pPr>
      <w:r>
        <w:t>Link accessibility</w:t>
      </w:r>
    </w:p>
    <w:p>
      <w:pPr>
        <w:pStyle w:val="ListBullet"/>
      </w:pPr>
      <w:r>
        <w:t>Some sources (e.g., Statista, Datanyze, StoreLeads detailed views, BuiltWith) may require subscription or block data-center/VPN IPs.</w:t>
      </w:r>
    </w:p>
    <w:p>
      <w:pPr>
        <w:pStyle w:val="ListBullet"/>
      </w:pPr>
      <w:r>
        <w:t>CSVs include public titles/dates; auditors may need appropriate access.</w:t>
      </w:r>
    </w:p>
    <w:p>
      <w:pPr>
        <w:pStyle w:val="Heading2"/>
      </w:pPr>
      <w:r>
        <w:t>Appendix: File list</w:t>
      </w:r>
    </w:p>
    <w:p>
      <w:pPr>
        <w:pStyle w:val="ListBullet"/>
      </w:pPr>
      <w:r>
        <w:t>market_share_data.csv</w:t>
      </w:r>
    </w:p>
    <w:p>
      <w:pPr>
        <w:pStyle w:val="ListBullet"/>
      </w:pPr>
      <w:r>
        <w:t>transaction_fee_comparison.csv</w:t>
      </w:r>
    </w:p>
    <w:p>
      <w:pPr>
        <w:pStyle w:val="ListBullet"/>
      </w:pPr>
      <w:r>
        <w:t>feature_availability_matrix.csv</w:t>
      </w:r>
    </w:p>
    <w:p>
      <w:pPr>
        <w:pStyle w:val="ListBullet"/>
      </w:pPr>
      <w:r>
        <w:t>customer_segment_analysis.csv</w:t>
      </w:r>
    </w:p>
    <w:p>
      <w:pPr>
        <w:pStyle w:val="ListBullet"/>
      </w:pPr>
      <w:r>
        <w:t>growth_trend_2yrs.csv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