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D555" w14:textId="77777777" w:rsidR="00830F11" w:rsidRPr="00C171D8" w:rsidRDefault="00830F11" w:rsidP="003C6955">
      <w:pPr>
        <w:ind w:left="-284"/>
        <w:jc w:val="both"/>
        <w:rPr>
          <w:b/>
          <w:bCs/>
          <w:sz w:val="28"/>
          <w:szCs w:val="28"/>
        </w:rPr>
      </w:pPr>
      <w:r w:rsidRPr="00830F11">
        <w:rPr>
          <w:b/>
          <w:bCs/>
          <w:sz w:val="28"/>
          <w:szCs w:val="28"/>
        </w:rPr>
        <w:t>Market and Investment Trends in the Built Environment (2025)</w:t>
      </w:r>
    </w:p>
    <w:p w14:paraId="779767BE" w14:textId="77777777" w:rsidR="008B3E71" w:rsidRPr="00830F11" w:rsidRDefault="008B3E71" w:rsidP="003C6955">
      <w:pPr>
        <w:ind w:left="-284"/>
        <w:jc w:val="both"/>
        <w:rPr>
          <w:b/>
          <w:bCs/>
          <w:sz w:val="28"/>
          <w:szCs w:val="28"/>
        </w:rPr>
      </w:pPr>
    </w:p>
    <w:p w14:paraId="17F70103" w14:textId="148C4CFD" w:rsidR="00830F11" w:rsidRPr="00C171D8" w:rsidRDefault="00830F11" w:rsidP="003C6955">
      <w:pPr>
        <w:ind w:left="-284"/>
        <w:jc w:val="both"/>
      </w:pPr>
      <w:r w:rsidRPr="00830F11">
        <w:t xml:space="preserve">The economic recovery of the sector, following previous years, </w:t>
      </w:r>
      <w:proofErr w:type="gramStart"/>
      <w:r w:rsidRPr="00830F11">
        <w:t>is driven</w:t>
      </w:r>
      <w:proofErr w:type="gramEnd"/>
      <w:r w:rsidRPr="00830F11">
        <w:t xml:space="preserve"> by the necessity for efficiency and digital transformation, propelled by the rise of Generative AI. This market is set for growth in 2025, with key trends focusing on integration, predictive technology, and sustainable profitability.</w:t>
      </w:r>
    </w:p>
    <w:p w14:paraId="688077BB" w14:textId="77777777" w:rsidR="003C6955" w:rsidRPr="00C171D8" w:rsidRDefault="003C6955" w:rsidP="003C6955">
      <w:pPr>
        <w:ind w:left="-284"/>
        <w:jc w:val="both"/>
      </w:pPr>
    </w:p>
    <w:p w14:paraId="0A62FD43" w14:textId="0B18548A" w:rsidR="008B3E71" w:rsidRPr="00C171D8" w:rsidRDefault="008B3E71" w:rsidP="003C6955">
      <w:pPr>
        <w:pStyle w:val="PargrafodaLista"/>
        <w:numPr>
          <w:ilvl w:val="0"/>
          <w:numId w:val="13"/>
        </w:numPr>
        <w:ind w:left="-284" w:firstLine="0"/>
        <w:jc w:val="both"/>
        <w:rPr>
          <w:b/>
          <w:bCs/>
          <w:sz w:val="28"/>
          <w:szCs w:val="28"/>
        </w:rPr>
      </w:pPr>
      <w:r w:rsidRPr="00C171D8">
        <w:rPr>
          <w:b/>
          <w:bCs/>
          <w:sz w:val="28"/>
          <w:szCs w:val="28"/>
        </w:rPr>
        <w:t xml:space="preserve">Key Trends </w:t>
      </w:r>
    </w:p>
    <w:p w14:paraId="79EE8F7A" w14:textId="01629AD7" w:rsidR="00830F11" w:rsidRPr="00830F11" w:rsidRDefault="003C6955" w:rsidP="003C6955">
      <w:pPr>
        <w:ind w:left="-284"/>
        <w:jc w:val="both"/>
        <w:rPr>
          <w:b/>
          <w:bCs/>
        </w:rPr>
      </w:pPr>
      <w:r w:rsidRPr="00C171D8">
        <w:rPr>
          <w:b/>
          <w:bCs/>
        </w:rPr>
        <w:t>a.</w:t>
      </w:r>
      <w:r w:rsidR="00830F11" w:rsidRPr="00830F11">
        <w:rPr>
          <w:b/>
          <w:bCs/>
        </w:rPr>
        <w:t xml:space="preserve"> Market Consolidation and Integrated Platforms</w:t>
      </w:r>
    </w:p>
    <w:p w14:paraId="50032EC9" w14:textId="6A5DF925" w:rsidR="00830F11" w:rsidRPr="00830F11" w:rsidRDefault="00830F11" w:rsidP="003C6955">
      <w:pPr>
        <w:numPr>
          <w:ilvl w:val="0"/>
          <w:numId w:val="3"/>
        </w:numPr>
        <w:tabs>
          <w:tab w:val="clear" w:pos="720"/>
          <w:tab w:val="num" w:pos="284"/>
        </w:tabs>
        <w:ind w:left="-284" w:firstLine="0"/>
        <w:jc w:val="both"/>
      </w:pPr>
      <w:r w:rsidRPr="00830F11">
        <w:rPr>
          <w:b/>
          <w:bCs/>
        </w:rPr>
        <w:t>Shift to Integrated Platforms (SaaS):</w:t>
      </w:r>
      <w:r w:rsidRPr="00830F11">
        <w:t xml:space="preserve"> The market is moving away from a fragmented ecosystem of independent tools towards integrated Software as a </w:t>
      </w:r>
      <w:r w:rsidR="00C171D8" w:rsidRPr="00830F11">
        <w:t>Service (SaaS) platform</w:t>
      </w:r>
      <w:r w:rsidRPr="00830F11">
        <w:t xml:space="preserve"> (e.g., Procore or Autodesk Construction Cloud). These solutions manage the entire project lifecycle.</w:t>
      </w:r>
    </w:p>
    <w:p w14:paraId="2526AB6A" w14:textId="77777777" w:rsidR="00830F11" w:rsidRPr="00830F11" w:rsidRDefault="00830F11" w:rsidP="003C6955">
      <w:pPr>
        <w:numPr>
          <w:ilvl w:val="0"/>
          <w:numId w:val="3"/>
        </w:numPr>
        <w:tabs>
          <w:tab w:val="num" w:pos="284"/>
        </w:tabs>
        <w:ind w:left="-284" w:firstLine="0"/>
        <w:jc w:val="both"/>
      </w:pPr>
      <w:r w:rsidRPr="00830F11">
        <w:rPr>
          <w:b/>
          <w:bCs/>
        </w:rPr>
        <w:t>"Single Source of Truth":</w:t>
      </w:r>
      <w:r w:rsidRPr="00830F11">
        <w:t xml:space="preserve"> Companies are seeking "single source of truth" solutions to enhance data visibility, optimize workflows, and improve collaboration across design, construction, and property management teams.</w:t>
      </w:r>
    </w:p>
    <w:p w14:paraId="578AC58B" w14:textId="77777777" w:rsidR="00830F11" w:rsidRPr="00C171D8" w:rsidRDefault="00830F11" w:rsidP="003C6955">
      <w:pPr>
        <w:numPr>
          <w:ilvl w:val="0"/>
          <w:numId w:val="3"/>
        </w:numPr>
        <w:tabs>
          <w:tab w:val="num" w:pos="284"/>
        </w:tabs>
        <w:ind w:left="-284" w:firstLine="0"/>
        <w:jc w:val="both"/>
      </w:pPr>
      <w:r w:rsidRPr="00830F11">
        <w:rPr>
          <w:b/>
          <w:bCs/>
        </w:rPr>
        <w:t>M&amp;A Activity Driver:</w:t>
      </w:r>
      <w:r w:rsidRPr="00830F11">
        <w:t xml:space="preserve"> This drive for integration is fueling Mergers and Acquisitions (M&amp;A) activity, as larger players acquire niche tools (e.g., Houzz acquiring Ivy).</w:t>
      </w:r>
    </w:p>
    <w:p w14:paraId="5D58A444" w14:textId="77777777" w:rsidR="003C6955" w:rsidRPr="00830F11" w:rsidRDefault="003C6955" w:rsidP="003C6955">
      <w:pPr>
        <w:tabs>
          <w:tab w:val="num" w:pos="720"/>
        </w:tabs>
        <w:ind w:left="-284"/>
        <w:jc w:val="both"/>
      </w:pPr>
    </w:p>
    <w:p w14:paraId="01C93CA4" w14:textId="6EACC0B4" w:rsidR="00830F11" w:rsidRPr="00830F11" w:rsidRDefault="003C6955" w:rsidP="003C6955">
      <w:pPr>
        <w:ind w:left="-284"/>
        <w:jc w:val="both"/>
        <w:rPr>
          <w:b/>
          <w:bCs/>
        </w:rPr>
      </w:pPr>
      <w:r w:rsidRPr="00C171D8">
        <w:rPr>
          <w:b/>
          <w:bCs/>
        </w:rPr>
        <w:t>b</w:t>
      </w:r>
      <w:r w:rsidR="00830F11" w:rsidRPr="00830F11">
        <w:rPr>
          <w:b/>
          <w:bCs/>
        </w:rPr>
        <w:t>. AI and Predictive Analytics for the Real Estate Sector</w:t>
      </w:r>
    </w:p>
    <w:p w14:paraId="20281C92" w14:textId="77777777" w:rsidR="00830F11" w:rsidRPr="00830F11" w:rsidRDefault="00830F11" w:rsidP="003C6955">
      <w:pPr>
        <w:ind w:left="-284"/>
        <w:jc w:val="both"/>
      </w:pPr>
      <w:r w:rsidRPr="00830F11">
        <w:t xml:space="preserve">AI is transforming the real estate industry from a reactive to </w:t>
      </w:r>
      <w:proofErr w:type="gramStart"/>
      <w:r w:rsidRPr="00830F11">
        <w:t>a proactive</w:t>
      </w:r>
      <w:proofErr w:type="gramEnd"/>
      <w:r w:rsidRPr="00830F11">
        <w:t xml:space="preserve"> model, optimizing decisions and mitigating risk.</w:t>
      </w:r>
    </w:p>
    <w:p w14:paraId="3DDCE156" w14:textId="77777777" w:rsidR="00830F11" w:rsidRPr="00830F11" w:rsidRDefault="00830F11" w:rsidP="003C6955">
      <w:pPr>
        <w:numPr>
          <w:ilvl w:val="0"/>
          <w:numId w:val="4"/>
        </w:numPr>
        <w:tabs>
          <w:tab w:val="clear" w:pos="720"/>
          <w:tab w:val="num" w:pos="284"/>
        </w:tabs>
        <w:ind w:left="-284" w:firstLine="0"/>
        <w:jc w:val="both"/>
      </w:pPr>
      <w:r w:rsidRPr="00830F11">
        <w:rPr>
          <w:b/>
          <w:bCs/>
        </w:rPr>
        <w:t xml:space="preserve">For </w:t>
      </w:r>
      <w:proofErr w:type="spellStart"/>
      <w:r w:rsidRPr="00830F11">
        <w:rPr>
          <w:b/>
          <w:bCs/>
        </w:rPr>
        <w:t>PropTech</w:t>
      </w:r>
      <w:proofErr w:type="spellEnd"/>
      <w:r w:rsidRPr="00830F11">
        <w:rPr>
          <w:b/>
          <w:bCs/>
        </w:rPr>
        <w:t>:</w:t>
      </w:r>
      <w:r w:rsidRPr="00830F11">
        <w:t xml:space="preserve"> AI enables predictive pricing, personalized property search, and data-driven recommendations, reducing transaction friction and improving the user experience.</w:t>
      </w:r>
    </w:p>
    <w:p w14:paraId="5DBD77FB" w14:textId="77777777" w:rsidR="00830F11" w:rsidRPr="00C171D8" w:rsidRDefault="00830F11" w:rsidP="003C6955">
      <w:pPr>
        <w:numPr>
          <w:ilvl w:val="0"/>
          <w:numId w:val="4"/>
        </w:numPr>
        <w:tabs>
          <w:tab w:val="clear" w:pos="720"/>
          <w:tab w:val="num" w:pos="284"/>
        </w:tabs>
        <w:ind w:left="-284" w:firstLine="0"/>
        <w:jc w:val="both"/>
      </w:pPr>
      <w:r w:rsidRPr="00830F11">
        <w:rPr>
          <w:b/>
          <w:bCs/>
        </w:rPr>
        <w:t>For Construction and Facilities Management:</w:t>
      </w:r>
      <w:r w:rsidRPr="00830F11">
        <w:t xml:space="preserve"> AI allows for the prediction of supply chain failures, anticipation of maintenance needs, and optimization of operational costs, thereby increasing efficiency and sustainability.</w:t>
      </w:r>
    </w:p>
    <w:p w14:paraId="79E1DB8A" w14:textId="77777777" w:rsidR="003C6955" w:rsidRPr="00830F11" w:rsidRDefault="003C6955" w:rsidP="003C6955">
      <w:pPr>
        <w:ind w:left="-284"/>
        <w:jc w:val="both"/>
      </w:pPr>
    </w:p>
    <w:p w14:paraId="48B0CCEC" w14:textId="1494E9E7" w:rsidR="00830F11" w:rsidRPr="00830F11" w:rsidRDefault="003C6955" w:rsidP="003C6955">
      <w:pPr>
        <w:tabs>
          <w:tab w:val="num" w:pos="284"/>
        </w:tabs>
        <w:ind w:left="-284"/>
        <w:jc w:val="both"/>
        <w:rPr>
          <w:b/>
          <w:bCs/>
        </w:rPr>
      </w:pPr>
      <w:r w:rsidRPr="00C171D8">
        <w:rPr>
          <w:b/>
          <w:bCs/>
        </w:rPr>
        <w:t>c</w:t>
      </w:r>
      <w:r w:rsidR="00830F11" w:rsidRPr="00830F11">
        <w:rPr>
          <w:b/>
          <w:bCs/>
        </w:rPr>
        <w:t>. Focus on Profitability and Investment Scalability</w:t>
      </w:r>
    </w:p>
    <w:p w14:paraId="41B2536C" w14:textId="4412782F" w:rsidR="00830F11" w:rsidRPr="00830F11" w:rsidRDefault="00830F11" w:rsidP="003C6955">
      <w:pPr>
        <w:numPr>
          <w:ilvl w:val="0"/>
          <w:numId w:val="5"/>
        </w:numPr>
        <w:tabs>
          <w:tab w:val="clear" w:pos="720"/>
          <w:tab w:val="num" w:pos="284"/>
        </w:tabs>
        <w:ind w:left="-284" w:firstLine="0"/>
        <w:jc w:val="both"/>
      </w:pPr>
      <w:r w:rsidRPr="00830F11">
        <w:rPr>
          <w:b/>
          <w:bCs/>
        </w:rPr>
        <w:t>Clear Path to Profitability</w:t>
      </w:r>
      <w:r w:rsidRPr="00830F11">
        <w:t>: Following a market slowdown, investors are prioritizing startups that demonstrate a clear path to profitability</w:t>
      </w:r>
      <w:r w:rsidR="008B3E71" w:rsidRPr="00C171D8">
        <w:t xml:space="preserve"> - </w:t>
      </w:r>
      <w:r w:rsidRPr="00830F11">
        <w:t>often assessed by the “Rule of 40”</w:t>
      </w:r>
      <w:r w:rsidR="008B3E71" w:rsidRPr="00C171D8">
        <w:t xml:space="preserve"> - </w:t>
      </w:r>
      <w:r w:rsidRPr="00830F11">
        <w:t>and operate with asset-light business models.</w:t>
      </w:r>
    </w:p>
    <w:p w14:paraId="71374055" w14:textId="77777777" w:rsidR="00830F11" w:rsidRPr="00830F11" w:rsidRDefault="00830F11" w:rsidP="003C6955">
      <w:pPr>
        <w:numPr>
          <w:ilvl w:val="0"/>
          <w:numId w:val="5"/>
        </w:numPr>
        <w:tabs>
          <w:tab w:val="clear" w:pos="720"/>
          <w:tab w:val="num" w:pos="284"/>
        </w:tabs>
        <w:ind w:left="-284" w:firstLine="0"/>
        <w:jc w:val="both"/>
      </w:pPr>
      <w:r w:rsidRPr="00830F11">
        <w:rPr>
          <w:b/>
          <w:bCs/>
        </w:rPr>
        <w:lastRenderedPageBreak/>
        <w:t>MENA Region Investment Focus:</w:t>
      </w:r>
      <w:r w:rsidRPr="00830F11">
        <w:t xml:space="preserve"> This trend is particularly evident in the MENA (Middle East and North Africa) region, where capital </w:t>
      </w:r>
      <w:proofErr w:type="gramStart"/>
      <w:r w:rsidRPr="00830F11">
        <w:t>is directed</w:t>
      </w:r>
      <w:proofErr w:type="gramEnd"/>
      <w:r w:rsidRPr="00830F11">
        <w:t xml:space="preserve"> towards companies that enhance existing infrastructure, such as hybrid FinTech-</w:t>
      </w:r>
      <w:proofErr w:type="spellStart"/>
      <w:r w:rsidRPr="00830F11">
        <w:t>PropTech</w:t>
      </w:r>
      <w:proofErr w:type="spellEnd"/>
      <w:r w:rsidRPr="00830F11">
        <w:t xml:space="preserve"> solutions, rather than businesses requiring high physical capital investment.</w:t>
      </w:r>
    </w:p>
    <w:p w14:paraId="6FABDE82" w14:textId="77777777" w:rsidR="00830F11" w:rsidRPr="00830F11" w:rsidRDefault="00830F11" w:rsidP="003C6955">
      <w:pPr>
        <w:numPr>
          <w:ilvl w:val="0"/>
          <w:numId w:val="5"/>
        </w:numPr>
        <w:tabs>
          <w:tab w:val="num" w:pos="284"/>
        </w:tabs>
        <w:ind w:left="-284" w:firstLine="0"/>
        <w:jc w:val="both"/>
      </w:pPr>
      <w:r w:rsidRPr="00830F11">
        <w:rPr>
          <w:b/>
          <w:bCs/>
        </w:rPr>
        <w:t>Selective Funding:</w:t>
      </w:r>
      <w:r w:rsidRPr="00830F11">
        <w:t xml:space="preserve"> This new investment criterion drives selective funding for scalable, efficient, and sustainable SaaS models, fostering operational maturity and long-term commercial viability across the </w:t>
      </w:r>
      <w:proofErr w:type="spellStart"/>
      <w:r w:rsidRPr="00830F11">
        <w:t>PropTech</w:t>
      </w:r>
      <w:proofErr w:type="spellEnd"/>
      <w:r w:rsidRPr="00830F11">
        <w:t xml:space="preserve"> and real estate ecosystem.</w:t>
      </w:r>
    </w:p>
    <w:p w14:paraId="2F841524" w14:textId="5004AE70" w:rsidR="00830F11" w:rsidRPr="00830F11" w:rsidRDefault="00830F11" w:rsidP="003C6955">
      <w:pPr>
        <w:tabs>
          <w:tab w:val="num" w:pos="284"/>
        </w:tabs>
        <w:ind w:left="-284"/>
        <w:jc w:val="both"/>
      </w:pPr>
    </w:p>
    <w:p w14:paraId="49DDB8A1" w14:textId="20AE6776" w:rsidR="003C6955" w:rsidRPr="00C171D8" w:rsidRDefault="00830F11" w:rsidP="003C6955">
      <w:pPr>
        <w:pStyle w:val="PargrafodaLista"/>
        <w:numPr>
          <w:ilvl w:val="0"/>
          <w:numId w:val="13"/>
        </w:numPr>
        <w:tabs>
          <w:tab w:val="num" w:pos="360"/>
        </w:tabs>
        <w:ind w:hanging="1364"/>
        <w:jc w:val="both"/>
        <w:rPr>
          <w:b/>
          <w:bCs/>
          <w:sz w:val="28"/>
          <w:szCs w:val="28"/>
        </w:rPr>
      </w:pPr>
      <w:r w:rsidRPr="00C171D8">
        <w:rPr>
          <w:b/>
          <w:bCs/>
          <w:sz w:val="28"/>
          <w:szCs w:val="28"/>
        </w:rPr>
        <w:t>Technology Deep Dive</w:t>
      </w:r>
    </w:p>
    <w:p w14:paraId="563CFA57" w14:textId="77777777" w:rsidR="003C6955" w:rsidRPr="00C171D8" w:rsidRDefault="003C6955" w:rsidP="003C6955">
      <w:pPr>
        <w:pStyle w:val="PargrafodaLista"/>
        <w:ind w:left="1080"/>
        <w:jc w:val="both"/>
        <w:rPr>
          <w:b/>
          <w:bCs/>
          <w:sz w:val="28"/>
          <w:szCs w:val="28"/>
        </w:rPr>
      </w:pPr>
    </w:p>
    <w:p w14:paraId="233A0C0C" w14:textId="787D1A93" w:rsidR="00830F11" w:rsidRPr="00C171D8" w:rsidRDefault="00830F11" w:rsidP="003C6955">
      <w:pPr>
        <w:pStyle w:val="PargrafodaLista"/>
        <w:numPr>
          <w:ilvl w:val="0"/>
          <w:numId w:val="14"/>
        </w:numPr>
        <w:tabs>
          <w:tab w:val="num" w:pos="284"/>
        </w:tabs>
        <w:jc w:val="both"/>
        <w:rPr>
          <w:b/>
          <w:bCs/>
        </w:rPr>
      </w:pPr>
      <w:r w:rsidRPr="00C171D8">
        <w:rPr>
          <w:b/>
          <w:bCs/>
        </w:rPr>
        <w:t>AI in Interior Design</w:t>
      </w:r>
      <w:r w:rsidR="008B3E71" w:rsidRPr="00C171D8">
        <w:rPr>
          <w:b/>
          <w:bCs/>
        </w:rPr>
        <w:t>:</w:t>
      </w:r>
    </w:p>
    <w:p w14:paraId="04ECDB8A" w14:textId="09C65E19" w:rsidR="00830F11" w:rsidRPr="00830F11" w:rsidRDefault="00830F11" w:rsidP="003C6955">
      <w:pPr>
        <w:numPr>
          <w:ilvl w:val="0"/>
          <w:numId w:val="6"/>
        </w:numPr>
        <w:tabs>
          <w:tab w:val="num" w:pos="284"/>
        </w:tabs>
        <w:ind w:left="-284" w:firstLine="0"/>
        <w:jc w:val="both"/>
      </w:pPr>
      <w:r w:rsidRPr="00830F11">
        <w:rPr>
          <w:b/>
          <w:bCs/>
        </w:rPr>
        <w:t>Accelerated Concept Generation:</w:t>
      </w:r>
      <w:r w:rsidRPr="00830F11">
        <w:t xml:space="preserve"> Generative AI drastically speeds up the initial design process, allowing professionals to dedicate less time to manual iterations and more time to high-level strategy and client refinement. This leads to faster project cycles and concept approvals.</w:t>
      </w:r>
    </w:p>
    <w:p w14:paraId="0DAEF2EF" w14:textId="77777777" w:rsidR="00830F11" w:rsidRPr="00830F11" w:rsidRDefault="00830F11" w:rsidP="003C6955">
      <w:pPr>
        <w:numPr>
          <w:ilvl w:val="0"/>
          <w:numId w:val="6"/>
        </w:numPr>
        <w:tabs>
          <w:tab w:val="num" w:pos="284"/>
        </w:tabs>
        <w:ind w:left="-284" w:firstLine="0"/>
        <w:jc w:val="both"/>
      </w:pPr>
      <w:r w:rsidRPr="00830F11">
        <w:rPr>
          <w:b/>
          <w:bCs/>
        </w:rPr>
        <w:t>Intelligent Space Planning and Optimization:</w:t>
      </w:r>
      <w:r w:rsidRPr="00830F11">
        <w:t xml:space="preserve"> AI ensures better space utilization, maximizing both functionality and aesthetic appeal, and reducing human error in complex planning tasks.</w:t>
      </w:r>
    </w:p>
    <w:p w14:paraId="0BAA7E57" w14:textId="77777777" w:rsidR="00830F11" w:rsidRPr="00C171D8" w:rsidRDefault="00830F11" w:rsidP="003C6955">
      <w:pPr>
        <w:numPr>
          <w:ilvl w:val="0"/>
          <w:numId w:val="6"/>
        </w:numPr>
        <w:tabs>
          <w:tab w:val="num" w:pos="284"/>
        </w:tabs>
        <w:ind w:left="-284" w:firstLine="0"/>
        <w:jc w:val="both"/>
      </w:pPr>
      <w:r w:rsidRPr="00830F11">
        <w:rPr>
          <w:b/>
          <w:bCs/>
        </w:rPr>
        <w:t>AI-Driven Material and Trend Selection:</w:t>
      </w:r>
      <w:r w:rsidRPr="00830F11">
        <w:t xml:space="preserve"> AI analyzes vast databases to suggest personalized palettes, textures, and products based on budget, style, and (increasingly) sustainability criteria. This optimizes procurement and specification processes, ensuring designs are trendy, cost-effective, and aligned with client preferences.</w:t>
      </w:r>
    </w:p>
    <w:p w14:paraId="78281693" w14:textId="77777777" w:rsidR="003C6955" w:rsidRPr="00830F11" w:rsidRDefault="003C6955" w:rsidP="003C6955">
      <w:pPr>
        <w:tabs>
          <w:tab w:val="num" w:pos="720"/>
        </w:tabs>
        <w:ind w:left="-284"/>
        <w:jc w:val="both"/>
      </w:pPr>
    </w:p>
    <w:p w14:paraId="26BD75F8" w14:textId="0012A4A8" w:rsidR="00830F11" w:rsidRPr="00C171D8" w:rsidRDefault="00830F11" w:rsidP="003C6955">
      <w:pPr>
        <w:pStyle w:val="PargrafodaLista"/>
        <w:numPr>
          <w:ilvl w:val="0"/>
          <w:numId w:val="14"/>
        </w:numPr>
        <w:tabs>
          <w:tab w:val="num" w:pos="284"/>
        </w:tabs>
        <w:jc w:val="both"/>
        <w:rPr>
          <w:b/>
          <w:bCs/>
        </w:rPr>
      </w:pPr>
      <w:r w:rsidRPr="00C171D8">
        <w:rPr>
          <w:b/>
          <w:bCs/>
        </w:rPr>
        <w:t>AR/VR for Space Planning and Client Engagement</w:t>
      </w:r>
      <w:r w:rsidR="008B3E71" w:rsidRPr="00C171D8">
        <w:rPr>
          <w:b/>
          <w:bCs/>
        </w:rPr>
        <w:t>:</w:t>
      </w:r>
    </w:p>
    <w:p w14:paraId="4D6384EF" w14:textId="77777777" w:rsidR="00830F11" w:rsidRPr="00830F11" w:rsidRDefault="00830F11" w:rsidP="003C6955">
      <w:pPr>
        <w:tabs>
          <w:tab w:val="num" w:pos="284"/>
        </w:tabs>
        <w:ind w:left="-284"/>
        <w:jc w:val="both"/>
      </w:pPr>
      <w:r w:rsidRPr="00830F11">
        <w:t xml:space="preserve">Augmented Reality (AR) and Virtual Reality (VR) are transitioning from niche tools to essential components of the architecture and interior design workflow. The global AR market </w:t>
      </w:r>
      <w:proofErr w:type="gramStart"/>
      <w:r w:rsidRPr="00830F11">
        <w:t>is projected</w:t>
      </w:r>
      <w:proofErr w:type="gramEnd"/>
      <w:r w:rsidRPr="00830F11">
        <w:t xml:space="preserve"> for massive growth (43.0% CAGR until 2032).</w:t>
      </w:r>
    </w:p>
    <w:p w14:paraId="7DEF967E" w14:textId="57E32802" w:rsidR="00830F11" w:rsidRPr="00830F11" w:rsidRDefault="00830F11" w:rsidP="003C6955">
      <w:pPr>
        <w:numPr>
          <w:ilvl w:val="0"/>
          <w:numId w:val="7"/>
        </w:numPr>
        <w:tabs>
          <w:tab w:val="num" w:pos="284"/>
        </w:tabs>
        <w:ind w:left="-284" w:firstLine="0"/>
        <w:jc w:val="both"/>
      </w:pPr>
      <w:r w:rsidRPr="00830F11">
        <w:rPr>
          <w:b/>
          <w:bCs/>
        </w:rPr>
        <w:t>Immersive Visualization and Walkthroughs:</w:t>
      </w:r>
      <w:r w:rsidRPr="00830F11">
        <w:t xml:space="preserve"> VR allows clients </w:t>
      </w:r>
      <w:proofErr w:type="gramStart"/>
      <w:r w:rsidRPr="00830F11">
        <w:t>to virtually</w:t>
      </w:r>
      <w:proofErr w:type="gramEnd"/>
      <w:r w:rsidRPr="00830F11">
        <w:t xml:space="preserve"> "walk through" an unbuilt space in a fully immersive 3D environment, exploring every detail from </w:t>
      </w:r>
      <w:r w:rsidR="00C171D8" w:rsidRPr="00830F11">
        <w:t>finish</w:t>
      </w:r>
      <w:r w:rsidRPr="00830F11">
        <w:t xml:space="preserve"> to lighting. This boosts client confidence and reduces the need for costly physical prototypes or late-stage change orders, enabling informed decisions earlier in the project.</w:t>
      </w:r>
    </w:p>
    <w:p w14:paraId="6B6D5F86" w14:textId="77777777" w:rsidR="00830F11" w:rsidRPr="00C171D8" w:rsidRDefault="00830F11" w:rsidP="003C6955">
      <w:pPr>
        <w:numPr>
          <w:ilvl w:val="0"/>
          <w:numId w:val="7"/>
        </w:numPr>
        <w:tabs>
          <w:tab w:val="num" w:pos="284"/>
        </w:tabs>
        <w:ind w:left="-284" w:firstLine="0"/>
        <w:jc w:val="both"/>
      </w:pPr>
      <w:r w:rsidRPr="00830F11">
        <w:rPr>
          <w:b/>
          <w:bCs/>
        </w:rPr>
        <w:t>On-Site AR for Construction/BIM Integration:</w:t>
      </w:r>
      <w:r w:rsidRPr="00830F11">
        <w:t xml:space="preserve"> AR glasses (as used in 2024 Olympic construction projects) overlay BIM plans and holographic models directly </w:t>
      </w:r>
      <w:r w:rsidRPr="00830F11">
        <w:lastRenderedPageBreak/>
        <w:t>onto the construction site, guiding workers and enabling real-time Quality Assurance/Quality Control (QA/QC). This significantly reduces calculation errors and blueprint misinterpretations, leading to smoother processes, faster delivery, and improved collaboration among remote teams.</w:t>
      </w:r>
    </w:p>
    <w:p w14:paraId="626E9FE0" w14:textId="77777777" w:rsidR="003C6955" w:rsidRPr="00830F11" w:rsidRDefault="003C6955" w:rsidP="003C6955">
      <w:pPr>
        <w:tabs>
          <w:tab w:val="num" w:pos="720"/>
        </w:tabs>
        <w:ind w:left="-284"/>
        <w:jc w:val="both"/>
      </w:pPr>
    </w:p>
    <w:p w14:paraId="5DF68C57" w14:textId="03B9C992" w:rsidR="00830F11" w:rsidRPr="00C171D8" w:rsidRDefault="00830F11" w:rsidP="003C6955">
      <w:pPr>
        <w:pStyle w:val="PargrafodaLista"/>
        <w:numPr>
          <w:ilvl w:val="0"/>
          <w:numId w:val="14"/>
        </w:numPr>
        <w:jc w:val="both"/>
        <w:rPr>
          <w:b/>
          <w:bCs/>
        </w:rPr>
      </w:pPr>
      <w:r w:rsidRPr="00C171D8">
        <w:rPr>
          <w:b/>
          <w:bCs/>
        </w:rPr>
        <w:t>Sustainability-Oriented Platforms (ESG Focus)</w:t>
      </w:r>
    </w:p>
    <w:p w14:paraId="5672DEC3" w14:textId="77777777" w:rsidR="00830F11" w:rsidRPr="00830F11" w:rsidRDefault="00830F11" w:rsidP="003C6955">
      <w:pPr>
        <w:numPr>
          <w:ilvl w:val="0"/>
          <w:numId w:val="8"/>
        </w:numPr>
        <w:tabs>
          <w:tab w:val="clear" w:pos="720"/>
          <w:tab w:val="num" w:pos="284"/>
        </w:tabs>
        <w:ind w:left="-284" w:firstLine="0"/>
        <w:jc w:val="both"/>
      </w:pPr>
      <w:r w:rsidRPr="00830F11">
        <w:rPr>
          <w:b/>
          <w:bCs/>
        </w:rPr>
        <w:t>ESG Compliance and Reporting Tools:</w:t>
      </w:r>
      <w:r w:rsidRPr="00830F11">
        <w:t xml:space="preserve"> Heightened regulatory scrutiny and stakeholder demand make ESG reporting mandatory for accessing capital and maintaining asset value. These platforms provide the necessary data-driven governance for compliance.</w:t>
      </w:r>
    </w:p>
    <w:p w14:paraId="0FD8D408" w14:textId="77777777" w:rsidR="00830F11" w:rsidRPr="00830F11" w:rsidRDefault="00830F11" w:rsidP="003C6955">
      <w:pPr>
        <w:numPr>
          <w:ilvl w:val="0"/>
          <w:numId w:val="8"/>
        </w:numPr>
        <w:tabs>
          <w:tab w:val="clear" w:pos="720"/>
          <w:tab w:val="num" w:pos="284"/>
        </w:tabs>
        <w:ind w:left="-284" w:firstLine="0"/>
        <w:jc w:val="both"/>
      </w:pPr>
      <w:r w:rsidRPr="00830F11">
        <w:rPr>
          <w:b/>
          <w:bCs/>
        </w:rPr>
        <w:t>AI for Carbon and Material Optimization:</w:t>
      </w:r>
      <w:r w:rsidRPr="00830F11">
        <w:t xml:space="preserve"> Platforms leverage AI to analyze project plans and historical data to accurately calculate material needs, suggest energy-efficient layouts, and minimize construction waste.</w:t>
      </w:r>
    </w:p>
    <w:p w14:paraId="0C4AEDAF" w14:textId="77777777" w:rsidR="00830F11" w:rsidRPr="00830F11" w:rsidRDefault="00830F11" w:rsidP="003C6955">
      <w:pPr>
        <w:numPr>
          <w:ilvl w:val="0"/>
          <w:numId w:val="8"/>
        </w:numPr>
        <w:tabs>
          <w:tab w:val="clear" w:pos="720"/>
          <w:tab w:val="num" w:pos="284"/>
        </w:tabs>
        <w:ind w:left="-284" w:firstLine="0"/>
        <w:jc w:val="both"/>
      </w:pPr>
      <w:r w:rsidRPr="00830F11">
        <w:rPr>
          <w:b/>
          <w:bCs/>
        </w:rPr>
        <w:t>Smart Building Technology Integration:</w:t>
      </w:r>
      <w:r w:rsidRPr="00830F11">
        <w:t xml:space="preserve"> The convergence of </w:t>
      </w:r>
      <w:proofErr w:type="spellStart"/>
      <w:r w:rsidRPr="00830F11">
        <w:t>PropTech</w:t>
      </w:r>
      <w:proofErr w:type="spellEnd"/>
      <w:r w:rsidRPr="00830F11">
        <w:t xml:space="preserve"> with IoT (Internet of Things) creates 'smart buildings' that automatically adjust energy consumption (HVAC, lighting) based on occupancy, reducing operational costs and carbon footprint. This optimizes building performance, lowers utility expenses, and increases property value.</w:t>
      </w:r>
    </w:p>
    <w:p w14:paraId="07B855B9" w14:textId="77777777" w:rsidR="003C6955" w:rsidRPr="00C171D8" w:rsidRDefault="003C6955" w:rsidP="003C6955">
      <w:pPr>
        <w:jc w:val="both"/>
      </w:pPr>
    </w:p>
    <w:p w14:paraId="08E92103" w14:textId="5DEACCEA" w:rsidR="00830F11" w:rsidRPr="00C171D8" w:rsidRDefault="00830F11" w:rsidP="003C6955">
      <w:pPr>
        <w:pStyle w:val="PargrafodaLista"/>
        <w:numPr>
          <w:ilvl w:val="0"/>
          <w:numId w:val="13"/>
        </w:numPr>
        <w:ind w:left="426" w:hanging="710"/>
        <w:jc w:val="both"/>
        <w:rPr>
          <w:b/>
          <w:bCs/>
          <w:sz w:val="28"/>
          <w:szCs w:val="28"/>
        </w:rPr>
      </w:pPr>
      <w:r w:rsidRPr="00C171D8">
        <w:rPr>
          <w:b/>
          <w:bCs/>
          <w:sz w:val="28"/>
          <w:szCs w:val="28"/>
        </w:rPr>
        <w:t>Regional Funding Standards</w:t>
      </w:r>
    </w:p>
    <w:p w14:paraId="72A4286F" w14:textId="77777777" w:rsidR="00830F11" w:rsidRPr="00830F11" w:rsidRDefault="00830F11" w:rsidP="003C6955">
      <w:pPr>
        <w:ind w:left="-284"/>
        <w:jc w:val="both"/>
      </w:pPr>
      <w:r w:rsidRPr="00830F11">
        <w:t xml:space="preserve">Venture Capital (VC) in the </w:t>
      </w:r>
      <w:proofErr w:type="spellStart"/>
      <w:r w:rsidRPr="00830F11">
        <w:t>PropTech</w:t>
      </w:r>
      <w:proofErr w:type="spellEnd"/>
      <w:r w:rsidRPr="00830F11">
        <w:t xml:space="preserve"> and </w:t>
      </w:r>
      <w:proofErr w:type="spellStart"/>
      <w:r w:rsidRPr="00830F11">
        <w:t>DesignTech</w:t>
      </w:r>
      <w:proofErr w:type="spellEnd"/>
      <w:r w:rsidRPr="00830F11">
        <w:t xml:space="preserve"> space is recovering globally, with the GCC/MENA region exhibiting unique high-growth characteristics.</w:t>
      </w:r>
    </w:p>
    <w:p w14:paraId="1EB01AF2" w14:textId="6D1EADC2" w:rsidR="00830F11" w:rsidRPr="00C171D8" w:rsidRDefault="00830F11" w:rsidP="003C6955">
      <w:pPr>
        <w:pStyle w:val="PargrafodaLista"/>
        <w:numPr>
          <w:ilvl w:val="0"/>
          <w:numId w:val="15"/>
        </w:numPr>
        <w:jc w:val="both"/>
        <w:rPr>
          <w:b/>
          <w:bCs/>
        </w:rPr>
      </w:pPr>
      <w:r w:rsidRPr="00C171D8">
        <w:rPr>
          <w:b/>
          <w:bCs/>
        </w:rPr>
        <w:t>Global Funding Trends:</w:t>
      </w:r>
    </w:p>
    <w:p w14:paraId="650669B0" w14:textId="77777777" w:rsidR="00830F11" w:rsidRPr="00830F11" w:rsidRDefault="00830F11" w:rsidP="003C6955">
      <w:pPr>
        <w:numPr>
          <w:ilvl w:val="0"/>
          <w:numId w:val="9"/>
        </w:numPr>
        <w:tabs>
          <w:tab w:val="clear" w:pos="720"/>
          <w:tab w:val="num" w:pos="284"/>
        </w:tabs>
        <w:ind w:left="-284" w:firstLine="0"/>
        <w:jc w:val="both"/>
      </w:pPr>
      <w:r w:rsidRPr="00830F11">
        <w:rPr>
          <w:b/>
          <w:bCs/>
        </w:rPr>
        <w:t>Series B Dominance:</w:t>
      </w:r>
      <w:r w:rsidRPr="00830F11">
        <w:t xml:space="preserve"> Funding is shifting away from nascent ideas (Seed rounds). Investors are backing companies that have proven operational models and real customers. Series B and growth-equity rounds are the new focus, signaling the maturation of the </w:t>
      </w:r>
      <w:proofErr w:type="spellStart"/>
      <w:r w:rsidRPr="00830F11">
        <w:t>PropTech</w:t>
      </w:r>
      <w:proofErr w:type="spellEnd"/>
      <w:r w:rsidRPr="00830F11">
        <w:t xml:space="preserve"> sector. Funded companies are those ready for rapid and global scaling, expanding their operations and product lines.</w:t>
      </w:r>
    </w:p>
    <w:p w14:paraId="4211727C" w14:textId="77777777" w:rsidR="00830F11" w:rsidRPr="00830F11" w:rsidRDefault="00830F11" w:rsidP="003C6955">
      <w:pPr>
        <w:numPr>
          <w:ilvl w:val="0"/>
          <w:numId w:val="9"/>
        </w:numPr>
        <w:tabs>
          <w:tab w:val="clear" w:pos="720"/>
          <w:tab w:val="num" w:pos="284"/>
        </w:tabs>
        <w:ind w:left="-284" w:firstLine="0"/>
        <w:jc w:val="both"/>
      </w:pPr>
      <w:r w:rsidRPr="00830F11">
        <w:rPr>
          <w:b/>
          <w:bCs/>
        </w:rPr>
        <w:t>Sustainability is the New Gold:</w:t>
      </w:r>
      <w:r w:rsidRPr="00830F11">
        <w:t xml:space="preserve"> Investing in sustainability is now a business requirement, not just a trend. There is a race for </w:t>
      </w:r>
      <w:proofErr w:type="spellStart"/>
      <w:r w:rsidRPr="00830F11">
        <w:t>PropTechs</w:t>
      </w:r>
      <w:proofErr w:type="spellEnd"/>
      <w:r w:rsidRPr="00830F11">
        <w:t xml:space="preserve"> focused on clean energy, energy efficiency, and carbon reduction. Sustainability has become an investment security factor.</w:t>
      </w:r>
    </w:p>
    <w:p w14:paraId="3261C7F4" w14:textId="66E8A750" w:rsidR="00830F11" w:rsidRPr="00C171D8" w:rsidRDefault="00830F11" w:rsidP="003C6955">
      <w:pPr>
        <w:numPr>
          <w:ilvl w:val="0"/>
          <w:numId w:val="9"/>
        </w:numPr>
        <w:tabs>
          <w:tab w:val="clear" w:pos="720"/>
          <w:tab w:val="num" w:pos="284"/>
        </w:tabs>
        <w:ind w:left="-284" w:firstLine="0"/>
        <w:jc w:val="both"/>
      </w:pPr>
      <w:r w:rsidRPr="00830F11">
        <w:rPr>
          <w:b/>
          <w:bCs/>
        </w:rPr>
        <w:t>Geographic Diversification:</w:t>
      </w:r>
      <w:r w:rsidRPr="00830F11">
        <w:t xml:space="preserve"> While the US still leads, VC capital is becoming global. We observe the emergence of significant deals in Europe, Latin America, and </w:t>
      </w:r>
      <w:r w:rsidRPr="00830F11">
        <w:lastRenderedPageBreak/>
        <w:t xml:space="preserve">Asia. This diversification proves that technological solutions can be adapted to </w:t>
      </w:r>
      <w:r w:rsidR="003D52F6" w:rsidRPr="00830F11">
        <w:t>diverse cultures</w:t>
      </w:r>
      <w:r w:rsidRPr="00830F11">
        <w:t xml:space="preserve"> and markets, making </w:t>
      </w:r>
      <w:proofErr w:type="spellStart"/>
      <w:r w:rsidRPr="00830F11">
        <w:t>PropTech</w:t>
      </w:r>
      <w:proofErr w:type="spellEnd"/>
      <w:r w:rsidRPr="00830F11">
        <w:t xml:space="preserve"> a truly global industry.</w:t>
      </w:r>
    </w:p>
    <w:p w14:paraId="39717971" w14:textId="77777777" w:rsidR="003C6955" w:rsidRPr="00830F11" w:rsidRDefault="003C6955" w:rsidP="003C6955">
      <w:pPr>
        <w:ind w:left="-284"/>
        <w:jc w:val="both"/>
      </w:pPr>
    </w:p>
    <w:p w14:paraId="6C40AB5D" w14:textId="6F369F93" w:rsidR="00830F11" w:rsidRPr="00C171D8" w:rsidRDefault="00830F11" w:rsidP="003C6955">
      <w:pPr>
        <w:pStyle w:val="PargrafodaLista"/>
        <w:numPr>
          <w:ilvl w:val="0"/>
          <w:numId w:val="15"/>
        </w:numPr>
        <w:tabs>
          <w:tab w:val="num" w:pos="284"/>
        </w:tabs>
        <w:jc w:val="both"/>
        <w:rPr>
          <w:b/>
          <w:bCs/>
        </w:rPr>
      </w:pPr>
      <w:r w:rsidRPr="00C171D8">
        <w:rPr>
          <w:b/>
          <w:bCs/>
        </w:rPr>
        <w:t>GCC/MENA Regional Funding Trends:</w:t>
      </w:r>
    </w:p>
    <w:p w14:paraId="07FAF2D1" w14:textId="77777777" w:rsidR="00830F11" w:rsidRPr="00830F11" w:rsidRDefault="00830F11" w:rsidP="003C6955">
      <w:pPr>
        <w:numPr>
          <w:ilvl w:val="0"/>
          <w:numId w:val="10"/>
        </w:numPr>
        <w:tabs>
          <w:tab w:val="clear" w:pos="720"/>
          <w:tab w:val="num" w:pos="426"/>
        </w:tabs>
        <w:ind w:left="-284" w:firstLine="0"/>
        <w:jc w:val="both"/>
      </w:pPr>
      <w:r w:rsidRPr="00830F11">
        <w:rPr>
          <w:b/>
          <w:bCs/>
        </w:rPr>
        <w:t>The Reign of FinTech in Real Estate:</w:t>
      </w:r>
      <w:r w:rsidRPr="00830F11">
        <w:t xml:space="preserve"> The largest investment focus is on platforms that facilitate the financial side of real estate transactions. This includes digital mortgages (FinTech) and "Rent Now, Pay Later" (RNPL) models, such as </w:t>
      </w:r>
      <w:proofErr w:type="spellStart"/>
      <w:r w:rsidRPr="00830F11">
        <w:t>Ejari</w:t>
      </w:r>
      <w:proofErr w:type="spellEnd"/>
      <w:r w:rsidRPr="00830F11">
        <w:t xml:space="preserve"> and </w:t>
      </w:r>
      <w:proofErr w:type="spellStart"/>
      <w:r w:rsidRPr="00830F11">
        <w:t>Holo</w:t>
      </w:r>
      <w:proofErr w:type="spellEnd"/>
      <w:r w:rsidRPr="00830F11">
        <w:t>. In the rapidly expanding Gulf markets, these applications cut through bureaucracy, reduce transaction friction, and make housing more accessible and flexible for a young, dynamic population.</w:t>
      </w:r>
    </w:p>
    <w:p w14:paraId="41420249" w14:textId="5BFFA880" w:rsidR="00830F11" w:rsidRPr="00830F11" w:rsidRDefault="00830F11" w:rsidP="003C6955">
      <w:pPr>
        <w:numPr>
          <w:ilvl w:val="0"/>
          <w:numId w:val="10"/>
        </w:numPr>
        <w:tabs>
          <w:tab w:val="num" w:pos="426"/>
        </w:tabs>
        <w:ind w:left="-284" w:firstLine="0"/>
        <w:jc w:val="both"/>
      </w:pPr>
      <w:r w:rsidRPr="00830F11">
        <w:rPr>
          <w:b/>
          <w:bCs/>
        </w:rPr>
        <w:t>Rapid and Asset-Light Growth</w:t>
      </w:r>
      <w:r w:rsidRPr="00830F11">
        <w:t xml:space="preserve">: Investors </w:t>
      </w:r>
      <w:r w:rsidR="003D52F6" w:rsidRPr="00830F11">
        <w:t>favor</w:t>
      </w:r>
      <w:r w:rsidRPr="00830F11">
        <w:t xml:space="preserve"> companies that use technology to optimize existing infrastructure (marketplaces, management software) over those that require building physical assets. This asset-light model is more capital-efficient and allows regional startups to scale at high speed (from one country to the next) without the burden of </w:t>
      </w:r>
      <w:r w:rsidR="003D52F6" w:rsidRPr="00830F11">
        <w:t>large, fixed</w:t>
      </w:r>
      <w:r w:rsidRPr="00830F11">
        <w:t xml:space="preserve"> costs.</w:t>
      </w:r>
    </w:p>
    <w:p w14:paraId="1C5E7381" w14:textId="0C19AF7A" w:rsidR="00830F11" w:rsidRPr="00830F11" w:rsidRDefault="00830F11" w:rsidP="003C6955">
      <w:pPr>
        <w:numPr>
          <w:ilvl w:val="0"/>
          <w:numId w:val="10"/>
        </w:numPr>
        <w:tabs>
          <w:tab w:val="num" w:pos="426"/>
        </w:tabs>
        <w:ind w:left="-284" w:firstLine="0"/>
        <w:jc w:val="both"/>
      </w:pPr>
      <w:r w:rsidRPr="00830F11">
        <w:rPr>
          <w:b/>
          <w:bCs/>
        </w:rPr>
        <w:t>Corporate Venture Capital (CVC):</w:t>
      </w:r>
      <w:r w:rsidRPr="00830F11">
        <w:t xml:space="preserve"> Large construction and real estate corporations in the region are not just buying technology; they are actively investing in startups. Startups gain capital and </w:t>
      </w:r>
      <w:r w:rsidR="003D52F6" w:rsidRPr="00830F11">
        <w:t>guarantee a</w:t>
      </w:r>
      <w:r w:rsidRPr="00830F11">
        <w:t xml:space="preserve"> massive client, while large corporations ensure that technological innovation </w:t>
      </w:r>
      <w:proofErr w:type="gramStart"/>
      <w:r w:rsidRPr="00830F11">
        <w:t>is rapidly integrated</w:t>
      </w:r>
      <w:proofErr w:type="gramEnd"/>
      <w:r w:rsidRPr="00830F11">
        <w:t xml:space="preserve"> into their multibillion-dollar projects.</w:t>
      </w:r>
    </w:p>
    <w:p w14:paraId="11EDEF80" w14:textId="77777777" w:rsidR="008B3E71" w:rsidRPr="00C171D8" w:rsidRDefault="008B3E71" w:rsidP="003C6955">
      <w:pPr>
        <w:jc w:val="both"/>
      </w:pPr>
    </w:p>
    <w:p w14:paraId="4A4AD936" w14:textId="77777777" w:rsidR="003C6955" w:rsidRPr="00C171D8" w:rsidRDefault="003C6955" w:rsidP="003C6955">
      <w:pPr>
        <w:jc w:val="both"/>
        <w:rPr>
          <w:b/>
          <w:bCs/>
          <w:sz w:val="28"/>
          <w:szCs w:val="28"/>
        </w:rPr>
      </w:pPr>
    </w:p>
    <w:p w14:paraId="3F0C1105" w14:textId="77777777" w:rsidR="008B3E71" w:rsidRPr="00C171D8" w:rsidRDefault="008B3E71" w:rsidP="003C6955">
      <w:pPr>
        <w:ind w:left="-284"/>
        <w:jc w:val="both"/>
        <w:rPr>
          <w:b/>
          <w:bCs/>
          <w:sz w:val="28"/>
          <w:szCs w:val="28"/>
        </w:rPr>
      </w:pPr>
    </w:p>
    <w:p w14:paraId="77175FFB" w14:textId="7009B25A" w:rsidR="00830F11" w:rsidRPr="00C171D8" w:rsidRDefault="00830F11" w:rsidP="003C6955">
      <w:pPr>
        <w:ind w:left="-284"/>
        <w:jc w:val="both"/>
        <w:rPr>
          <w:b/>
          <w:bCs/>
          <w:sz w:val="28"/>
          <w:szCs w:val="28"/>
        </w:rPr>
      </w:pPr>
      <w:r w:rsidRPr="00C171D8">
        <w:rPr>
          <w:b/>
          <w:bCs/>
          <w:sz w:val="28"/>
          <w:szCs w:val="28"/>
        </w:rPr>
        <w:t>References</w:t>
      </w:r>
    </w:p>
    <w:p w14:paraId="20DF5A86" w14:textId="608D6FC4" w:rsidR="00830F11" w:rsidRPr="00C171D8" w:rsidRDefault="00830F11" w:rsidP="003C6955">
      <w:pPr>
        <w:ind w:left="-284"/>
        <w:jc w:val="both"/>
      </w:pPr>
      <w:r w:rsidRPr="00C171D8">
        <w:t xml:space="preserve">[Series B Funding / </w:t>
      </w:r>
      <w:proofErr w:type="spellStart"/>
      <w:r w:rsidRPr="00C171D8">
        <w:t>Huspy</w:t>
      </w:r>
      <w:proofErr w:type="spellEnd"/>
      <w:r w:rsidRPr="00C171D8">
        <w:t>] https://www.wamda.com/2025/07/proptech-startup-huspy-closes-59-million-series-b-eyes-saudi-expansion</w:t>
      </w:r>
    </w:p>
    <w:p w14:paraId="2EA64044" w14:textId="2D05AAD7" w:rsidR="00830F11" w:rsidRPr="00C171D8" w:rsidRDefault="00830F11" w:rsidP="003C6955">
      <w:pPr>
        <w:ind w:left="-284"/>
        <w:jc w:val="both"/>
      </w:pPr>
      <w:r w:rsidRPr="00C171D8">
        <w:t>[M&amp;A: Houzz acquiring Ivy] https://en.globes.co.il/en/article-houzz-buys-israeli-interior-design-startup-ivymark-for-40m-1001222680</w:t>
      </w:r>
    </w:p>
    <w:p w14:paraId="782F916B" w14:textId="4D77BE84" w:rsidR="00830F11" w:rsidRPr="00C171D8" w:rsidRDefault="00830F11" w:rsidP="003C6955">
      <w:pPr>
        <w:ind w:left="-284"/>
        <w:jc w:val="both"/>
      </w:pPr>
      <w:r w:rsidRPr="00C171D8">
        <w:t>[MENA FinTech-</w:t>
      </w:r>
      <w:proofErr w:type="spellStart"/>
      <w:r w:rsidRPr="00C171D8">
        <w:t>PropTech</w:t>
      </w:r>
      <w:proofErr w:type="spellEnd"/>
      <w:r w:rsidRPr="00C171D8">
        <w:t xml:space="preserve">: </w:t>
      </w:r>
      <w:proofErr w:type="spellStart"/>
      <w:r w:rsidRPr="00C171D8">
        <w:t>Holo</w:t>
      </w:r>
      <w:proofErr w:type="spellEnd"/>
      <w:r w:rsidRPr="00C171D8">
        <w:t>] https://proptechconnect.com/holo-raises-22m-series-a-to-scale-growth-in-uae-and-saudi-arabia/</w:t>
      </w:r>
    </w:p>
    <w:p w14:paraId="6FD057C8" w14:textId="05D4A194" w:rsidR="00830F11" w:rsidRPr="00C171D8" w:rsidRDefault="00830F11" w:rsidP="003C6955">
      <w:pPr>
        <w:ind w:left="-284"/>
        <w:jc w:val="both"/>
      </w:pPr>
      <w:r w:rsidRPr="00C171D8">
        <w:t xml:space="preserve">[MENA RNPL: </w:t>
      </w:r>
      <w:proofErr w:type="spellStart"/>
      <w:r w:rsidRPr="00C171D8">
        <w:t>Ejari</w:t>
      </w:r>
      <w:proofErr w:type="spellEnd"/>
      <w:r w:rsidRPr="00C171D8">
        <w:t>] https://www.wamda.com/2023/10/saudi-proptech-ejari-closes-1-million-pre-seed-round</w:t>
      </w:r>
    </w:p>
    <w:p w14:paraId="741584DA" w14:textId="26C47836" w:rsidR="00830F11" w:rsidRDefault="00830F11" w:rsidP="003C6955">
      <w:pPr>
        <w:ind w:left="-284"/>
        <w:jc w:val="both"/>
      </w:pPr>
      <w:r w:rsidRPr="00C171D8">
        <w:t>[AR/VR CAGR Validation] https://www.fortunebusinessinsights.com/augmented-reality-ar-market-102553</w:t>
      </w:r>
    </w:p>
    <w:sectPr w:rsidR="00830F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981"/>
    <w:multiLevelType w:val="multilevel"/>
    <w:tmpl w:val="5E26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2EB3"/>
    <w:multiLevelType w:val="multilevel"/>
    <w:tmpl w:val="901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10B8"/>
    <w:multiLevelType w:val="multilevel"/>
    <w:tmpl w:val="3294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68FD"/>
    <w:multiLevelType w:val="hybridMultilevel"/>
    <w:tmpl w:val="F09AE7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F0C1173"/>
    <w:multiLevelType w:val="multilevel"/>
    <w:tmpl w:val="585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C69C5"/>
    <w:multiLevelType w:val="hybridMultilevel"/>
    <w:tmpl w:val="562C26D4"/>
    <w:lvl w:ilvl="0" w:tplc="0FF0AEB0">
      <w:start w:val="1"/>
      <w:numFmt w:val="upperRoman"/>
      <w:lvlText w:val="%1."/>
      <w:lvlJc w:val="left"/>
      <w:pPr>
        <w:ind w:left="1080" w:hanging="72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7996F0C"/>
    <w:multiLevelType w:val="hybridMultilevel"/>
    <w:tmpl w:val="F0CC46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535B96"/>
    <w:multiLevelType w:val="multilevel"/>
    <w:tmpl w:val="98E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70BB6"/>
    <w:multiLevelType w:val="multilevel"/>
    <w:tmpl w:val="F28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777ED"/>
    <w:multiLevelType w:val="hybridMultilevel"/>
    <w:tmpl w:val="24483370"/>
    <w:lvl w:ilvl="0" w:tplc="9FC83A2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98B4766"/>
    <w:multiLevelType w:val="hybridMultilevel"/>
    <w:tmpl w:val="2C9007E6"/>
    <w:lvl w:ilvl="0" w:tplc="964C9058">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1" w15:restartNumberingAfterBreak="0">
    <w:nsid w:val="6CD449A5"/>
    <w:multiLevelType w:val="multilevel"/>
    <w:tmpl w:val="E64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90080"/>
    <w:multiLevelType w:val="multilevel"/>
    <w:tmpl w:val="D00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67D20"/>
    <w:multiLevelType w:val="multilevel"/>
    <w:tmpl w:val="FE7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15E5E"/>
    <w:multiLevelType w:val="hybridMultilevel"/>
    <w:tmpl w:val="6BB46108"/>
    <w:lvl w:ilvl="0" w:tplc="BE3A2BBE">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num w:numId="1" w16cid:durableId="1094937708">
    <w:abstractNumId w:val="6"/>
  </w:num>
  <w:num w:numId="2" w16cid:durableId="1450709930">
    <w:abstractNumId w:val="4"/>
  </w:num>
  <w:num w:numId="3" w16cid:durableId="1017582625">
    <w:abstractNumId w:val="0"/>
  </w:num>
  <w:num w:numId="4" w16cid:durableId="1183477746">
    <w:abstractNumId w:val="13"/>
  </w:num>
  <w:num w:numId="5" w16cid:durableId="1821580938">
    <w:abstractNumId w:val="12"/>
  </w:num>
  <w:num w:numId="6" w16cid:durableId="1592540644">
    <w:abstractNumId w:val="7"/>
  </w:num>
  <w:num w:numId="7" w16cid:durableId="1659503055">
    <w:abstractNumId w:val="1"/>
  </w:num>
  <w:num w:numId="8" w16cid:durableId="1998414853">
    <w:abstractNumId w:val="2"/>
  </w:num>
  <w:num w:numId="9" w16cid:durableId="242494425">
    <w:abstractNumId w:val="8"/>
  </w:num>
  <w:num w:numId="10" w16cid:durableId="1740134806">
    <w:abstractNumId w:val="11"/>
  </w:num>
  <w:num w:numId="11" w16cid:durableId="247690820">
    <w:abstractNumId w:val="5"/>
  </w:num>
  <w:num w:numId="12" w16cid:durableId="381907716">
    <w:abstractNumId w:val="3"/>
  </w:num>
  <w:num w:numId="13" w16cid:durableId="111637949">
    <w:abstractNumId w:val="9"/>
  </w:num>
  <w:num w:numId="14" w16cid:durableId="415783880">
    <w:abstractNumId w:val="10"/>
  </w:num>
  <w:num w:numId="15" w16cid:durableId="9601906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11"/>
    <w:rsid w:val="003C6955"/>
    <w:rsid w:val="003D52F6"/>
    <w:rsid w:val="00830F11"/>
    <w:rsid w:val="008B3E71"/>
    <w:rsid w:val="00966E82"/>
    <w:rsid w:val="00C171D8"/>
    <w:rsid w:val="00D520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68FD"/>
  <w15:chartTrackingRefBased/>
  <w15:docId w15:val="{6F140440-BD13-4878-A5B5-54D8C49B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
    <w:uiPriority w:val="9"/>
    <w:qFormat/>
    <w:rsid w:val="00830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0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0F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0F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0F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0F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0F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0F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0F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0F1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0F1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0F1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0F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0F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0F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0F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0F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0F11"/>
    <w:rPr>
      <w:rFonts w:eastAsiaTheme="majorEastAsia" w:cstheme="majorBidi"/>
      <w:color w:val="272727" w:themeColor="text1" w:themeTint="D8"/>
    </w:rPr>
  </w:style>
  <w:style w:type="paragraph" w:styleId="Ttulo">
    <w:name w:val="Title"/>
    <w:basedOn w:val="Normal"/>
    <w:next w:val="Normal"/>
    <w:link w:val="TtuloChar"/>
    <w:uiPriority w:val="10"/>
    <w:qFormat/>
    <w:rsid w:val="00830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0F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0F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0F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0F11"/>
    <w:pPr>
      <w:spacing w:before="160"/>
      <w:jc w:val="center"/>
    </w:pPr>
    <w:rPr>
      <w:i/>
      <w:iCs/>
      <w:color w:val="404040" w:themeColor="text1" w:themeTint="BF"/>
    </w:rPr>
  </w:style>
  <w:style w:type="character" w:customStyle="1" w:styleId="CitaoChar">
    <w:name w:val="Citação Char"/>
    <w:basedOn w:val="Fontepargpadro"/>
    <w:link w:val="Citao"/>
    <w:uiPriority w:val="29"/>
    <w:rsid w:val="00830F11"/>
    <w:rPr>
      <w:i/>
      <w:iCs/>
      <w:color w:val="404040" w:themeColor="text1" w:themeTint="BF"/>
    </w:rPr>
  </w:style>
  <w:style w:type="paragraph" w:styleId="PargrafodaLista">
    <w:name w:val="List Paragraph"/>
    <w:basedOn w:val="Normal"/>
    <w:uiPriority w:val="34"/>
    <w:qFormat/>
    <w:rsid w:val="00830F11"/>
    <w:pPr>
      <w:ind w:left="720"/>
      <w:contextualSpacing/>
    </w:pPr>
  </w:style>
  <w:style w:type="character" w:styleId="nfaseIntensa">
    <w:name w:val="Intense Emphasis"/>
    <w:basedOn w:val="Fontepargpadro"/>
    <w:uiPriority w:val="21"/>
    <w:qFormat/>
    <w:rsid w:val="00830F11"/>
    <w:rPr>
      <w:i/>
      <w:iCs/>
      <w:color w:val="0F4761" w:themeColor="accent1" w:themeShade="BF"/>
    </w:rPr>
  </w:style>
  <w:style w:type="paragraph" w:styleId="CitaoIntensa">
    <w:name w:val="Intense Quote"/>
    <w:basedOn w:val="Normal"/>
    <w:next w:val="Normal"/>
    <w:link w:val="CitaoIntensaChar"/>
    <w:uiPriority w:val="30"/>
    <w:qFormat/>
    <w:rsid w:val="00830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0F11"/>
    <w:rPr>
      <w:i/>
      <w:iCs/>
      <w:color w:val="0F4761" w:themeColor="accent1" w:themeShade="BF"/>
    </w:rPr>
  </w:style>
  <w:style w:type="character" w:styleId="RefernciaIntensa">
    <w:name w:val="Intense Reference"/>
    <w:basedOn w:val="Fontepargpadro"/>
    <w:uiPriority w:val="32"/>
    <w:qFormat/>
    <w:rsid w:val="00830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1284</Words>
  <Characters>6939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Augusto Mondini Verzoto</dc:creator>
  <cp:keywords/>
  <dc:description/>
  <cp:lastModifiedBy>Andre Augusto Mondini Verzoto</cp:lastModifiedBy>
  <cp:revision>4</cp:revision>
  <dcterms:created xsi:type="dcterms:W3CDTF">2025-10-13T23:26:00Z</dcterms:created>
  <dcterms:modified xsi:type="dcterms:W3CDTF">2025-10-14T00:02:00Z</dcterms:modified>
</cp:coreProperties>
</file>