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Mini Review: The Human Microbiome – Molecular Mechanisms of Host Interaction and Clinical Implications</w:t>
      </w:r>
    </w:p>
    <w:p>
      <w:pPr>
        <w:pStyle w:val="Normal"/>
        <w:bidi w:val="0"/>
        <w:jc w:val="start"/>
        <w:rPr/>
      </w:pPr>
      <w:r>
        <w:rPr/>
      </w:r>
    </w:p>
    <w:p>
      <w:pPr>
        <w:pStyle w:val="Normal"/>
        <w:bidi w:val="0"/>
        <w:jc w:val="start"/>
        <w:rPr/>
      </w:pPr>
      <w:r>
        <w:rPr/>
        <w:t>Introduction</w:t>
      </w:r>
    </w:p>
    <w:p>
      <w:pPr>
        <w:pStyle w:val="Normal"/>
        <w:bidi w:val="0"/>
        <w:jc w:val="start"/>
        <w:rPr/>
      </w:pPr>
      <w:r>
        <w:rPr/>
        <w:t>The human microbiome—the collective genomes of bacteria, archaea, viruses and eukaryotic microbes that inhabit our bodies—is increasingly recognized as a vital organ. With a genetic repertoire more than 100-fold larger than the human genome, the microbiome participates in nutrient metabolism, immune modulation and even neuronal signaling. Disruptions in this finely balanced ecosystem have been linked to metabolic disease, chronic inflammation and neuropsychiatric disorders. This mini review synthesizes key findings on how the microbiome interacts with its host at molecular, metabolic and immunological levels and highlights emerging therapeutic strategies.</w:t>
      </w:r>
    </w:p>
    <w:p>
      <w:pPr>
        <w:pStyle w:val="Normal"/>
        <w:bidi w:val="0"/>
        <w:jc w:val="start"/>
        <w:rPr/>
      </w:pPr>
      <w:r>
        <w:rPr/>
      </w:r>
    </w:p>
    <w:p>
      <w:pPr>
        <w:pStyle w:val="Normal"/>
        <w:bidi w:val="0"/>
        <w:jc w:val="start"/>
        <w:rPr/>
      </w:pPr>
      <w:r>
        <w:rPr/>
        <w:t>Compositional Architecture and Analytical Methods</w:t>
      </w:r>
    </w:p>
    <w:p>
      <w:pPr>
        <w:pStyle w:val="Normal"/>
        <w:bidi w:val="0"/>
        <w:jc w:val="start"/>
        <w:rPr/>
      </w:pPr>
      <w:r>
        <w:rPr/>
        <w:t>Modern microbiome research relies on culture-independent techniques, particularly high-throughput sequencing of the 16S ribosomal RNA gene for taxonomic profiling and shotgun metagenomics for functional insight. These approaches reveal that the healthy human gut is dominated by two bacterial phyla—Firmicutes and Bacteroidetes—which together account for over 90 % of total organisms</w:t>
      </w:r>
      <w:r>
        <w:rPr/>
        <w:t>【</w:t>
      </w:r>
      <w:r>
        <w:rPr/>
        <w:t>789240429266783†screenshot</w:t>
      </w:r>
      <w:r>
        <w:rPr/>
        <w:t>】</w:t>
      </w:r>
      <w:r>
        <w:rPr/>
        <w:t>. The ratio of Firmicutes to Bacteroidetes (F/B ratio) is an important biomarker of metabolic status: it is significantly elevated in obesity and declines with age, falling from ~0.4 in infants to ~10.9 in adults and to ~0.6 in the elderly</w:t>
      </w:r>
      <w:r>
        <w:rPr/>
        <w:t>【</w:t>
      </w:r>
      <w:r>
        <w:rPr/>
        <w:t>789240429266783†screenshot</w:t>
      </w:r>
      <w:r>
        <w:rPr/>
        <w:t>】</w:t>
      </w:r>
      <w:r>
        <w:rPr/>
        <w:t>. Such shifts underline the dynamic nature of the microbiome across the life course.</w:t>
      </w:r>
    </w:p>
    <w:p>
      <w:pPr>
        <w:pStyle w:val="Normal"/>
        <w:bidi w:val="0"/>
        <w:jc w:val="start"/>
        <w:rPr/>
      </w:pPr>
      <w:r>
        <w:rPr/>
      </w:r>
    </w:p>
    <w:p>
      <w:pPr>
        <w:pStyle w:val="Normal"/>
        <w:bidi w:val="0"/>
        <w:jc w:val="start"/>
        <w:rPr/>
      </w:pPr>
      <w:r>
        <w:rPr/>
        <w:t>Metabolic Integration with the Host</w:t>
      </w:r>
    </w:p>
    <w:p>
      <w:pPr>
        <w:pStyle w:val="Normal"/>
        <w:bidi w:val="0"/>
        <w:jc w:val="start"/>
        <w:rPr/>
      </w:pPr>
      <w:r>
        <w:rPr/>
        <w:t>Anaerobic gut bacteria ferment complex polysaccharides to short</w:t>
        <w:noBreakHyphen/>
        <w:t>chain fatty acids (SCFAs) such as acetate, propionate and butyrate at a typical molar ratio of 60:20:20</w:t>
      </w:r>
      <w:r>
        <w:rPr/>
        <w:t>【</w:t>
      </w:r>
      <w:r>
        <w:rPr/>
        <w:t>413114009751172†screenshot</w:t>
      </w:r>
      <w:r>
        <w:rPr/>
        <w:t>】</w:t>
      </w:r>
      <w:r>
        <w:rPr/>
        <w:t>. Butyrate, generated predominantly by Firmicutes like *Faecalibacterium prausnitzii* and *Eubacterium rectale*, supplies up to 70 % of colonocyte energy and functions as a histone</w:t>
        <w:noBreakHyphen/>
        <w:t>deacetylase inhibitor, influencing gene expression and inflammation</w:t>
      </w:r>
      <w:r>
        <w:rPr/>
        <w:t>【</w:t>
      </w:r>
      <w:r>
        <w:rPr/>
        <w:t>413114009751172†screenshot</w:t>
      </w:r>
      <w:r>
        <w:rPr/>
        <w:t>】</w:t>
      </w:r>
      <w:r>
        <w:rPr/>
        <w:t>. Depletion of butyrate producers, notably *F. prausnitzii*, is a consistent biomarker of inflammatory bowel disease. Another key symbiont is *Akkermansia muciniphila*, a Verrucomicrobia species that degrades mucin in the gut mucus layer. Present at 1–4 % of the microbiota, its abundance inversely correlates with obesity, metabolic syndrome and type 2 diabetes. Recent studies show that *A. muciniphila* and its outer</w:t>
        <w:noBreakHyphen/>
        <w:t>membrane protein Amuc_1100 strengthen gut barrier integrity, reduce insulin resistance and dampen systemic inflammation</w:t>
      </w:r>
      <w:r>
        <w:rPr/>
        <w:t>【</w:t>
      </w:r>
      <w:r>
        <w:rPr/>
        <w:t>66450480015646†screenshot</w:t>
      </w:r>
      <w:r>
        <w:rPr/>
        <w:t>】</w:t>
      </w:r>
      <w:r>
        <w:rPr/>
        <w:t>.</w:t>
      </w:r>
    </w:p>
    <w:p>
      <w:pPr>
        <w:pStyle w:val="Normal"/>
        <w:bidi w:val="0"/>
        <w:jc w:val="start"/>
        <w:rPr/>
      </w:pPr>
      <w:r>
        <w:rPr/>
      </w:r>
    </w:p>
    <w:p>
      <w:pPr>
        <w:pStyle w:val="Normal"/>
        <w:bidi w:val="0"/>
        <w:jc w:val="start"/>
        <w:rPr/>
      </w:pPr>
      <w:r>
        <w:rPr/>
        <w:t>Modulation of the Immune System</w:t>
      </w:r>
    </w:p>
    <w:p>
      <w:pPr>
        <w:pStyle w:val="Normal"/>
        <w:bidi w:val="0"/>
        <w:jc w:val="start"/>
        <w:rPr/>
      </w:pPr>
      <w:r>
        <w:rPr/>
        <w:t>The microbiota shapes immune development via microbe</w:t>
        <w:noBreakHyphen/>
        <w:t>associated molecular patterns (MAMPs) such as lipopolysaccharide and peptidoglycan, which are sensed by host pattern</w:t>
        <w:noBreakHyphen/>
        <w:t>recognition receptors. A key outcome is the programming of T helper cell subsets. Segmented filamentous bacteria adhering to the ileum potently induce pro</w:t>
        <w:noBreakHyphen/>
        <w:t>inflammatory Th17 cells that produce interleukin</w:t>
        <w:noBreakHyphen/>
        <w:t>17 and are essential for defense against extracellular bacteria and fungi</w:t>
      </w:r>
      <w:r>
        <w:rPr/>
        <w:t>【</w:t>
      </w:r>
      <w:r>
        <w:rPr/>
        <w:t>367362076204459†screenshot</w:t>
      </w:r>
      <w:r>
        <w:rPr/>
        <w:t>】</w:t>
      </w:r>
      <w:r>
        <w:rPr/>
        <w:t>. Conversely, clusters IV and XIV of Clostridia and *Bacteroides fragilis* drive differentiation of regulatory T cells (Tregs) via Foxp3, promoting tolerance and suppressing inflammation partly through production of the anti</w:t>
        <w:noBreakHyphen/>
        <w:t>inflammatory cytokine IL</w:t>
        <w:noBreakHyphen/>
        <w:t>10 and SCFAs such as butyrate</w:t>
      </w:r>
      <w:r>
        <w:rPr/>
        <w:t>【</w:t>
      </w:r>
      <w:r>
        <w:rPr/>
        <w:t>367362076204459†screenshot</w:t>
      </w:r>
      <w:r>
        <w:rPr/>
        <w:t>】</w:t>
      </w:r>
      <w:r>
        <w:rPr/>
        <w:t>. Balance between Th17 and Treg populations is crucial for intestinal homeostasis and is sensitive to microbiota composition.</w:t>
      </w:r>
    </w:p>
    <w:p>
      <w:pPr>
        <w:pStyle w:val="Normal"/>
        <w:bidi w:val="0"/>
        <w:jc w:val="start"/>
        <w:rPr/>
      </w:pPr>
      <w:r>
        <w:rPr/>
      </w:r>
    </w:p>
    <w:p>
      <w:pPr>
        <w:pStyle w:val="Normal"/>
        <w:bidi w:val="0"/>
        <w:jc w:val="start"/>
        <w:rPr/>
      </w:pPr>
      <w:r>
        <w:rPr/>
        <w:t>Microbiota–Gut–Brain Axis</w:t>
      </w:r>
    </w:p>
    <w:p>
      <w:pPr>
        <w:pStyle w:val="Normal"/>
        <w:bidi w:val="0"/>
        <w:jc w:val="start"/>
        <w:rPr/>
      </w:pPr>
      <w:r>
        <w:rPr/>
        <w:t>Microbial signals also reach the central nervous system (CNS). The microbiota modulates tryptophan metabolism through the kynurenine pathway by influencing indoleamine</w:t>
        <w:noBreakHyphen/>
        <w:t>2,3</w:t>
        <w:noBreakHyphen/>
        <w:t>dioxygenase activity, shifting production towards neuroprotective kynurenic acid or neurotoxic quinolinic acid. Dysregulation of this pathway has been linked to depression and neurodegeneration. In addition, commensal bacteria synthesize neurotransmitters: *Lactobacillus* and *Bifidobacterium* produce gamma</w:t>
        <w:noBreakHyphen/>
        <w:t>aminobutyric acid (GABA); *Escherichia* and *Bacillus* synthesize norepinephrine and dopamine; *Lactococcus* and *Streptococcus* generate serotonin; and *Bacillus* and *Clostridium* produce acetylcholine</w:t>
      </w:r>
      <w:r>
        <w:rPr/>
        <w:t>【</w:t>
      </w:r>
      <w:r>
        <w:rPr/>
        <w:t>242366716846835†screenshot</w:t>
      </w:r>
      <w:r>
        <w:rPr/>
        <w:t>】</w:t>
      </w:r>
      <w:r>
        <w:rPr/>
        <w:t>. These metabolites act locally but can influence brain function by stimulating enteroendocrine cells and vagal afferent fibers.</w:t>
      </w:r>
    </w:p>
    <w:p>
      <w:pPr>
        <w:pStyle w:val="Normal"/>
        <w:bidi w:val="0"/>
        <w:jc w:val="start"/>
        <w:rPr/>
      </w:pPr>
      <w:r>
        <w:rPr/>
      </w:r>
    </w:p>
    <w:p>
      <w:pPr>
        <w:pStyle w:val="Normal"/>
        <w:bidi w:val="0"/>
        <w:jc w:val="start"/>
        <w:rPr/>
      </w:pPr>
      <w:r>
        <w:rPr/>
        <w:t>Clinical Applications</w:t>
      </w:r>
    </w:p>
    <w:p>
      <w:pPr>
        <w:pStyle w:val="Normal"/>
        <w:bidi w:val="0"/>
        <w:jc w:val="start"/>
        <w:rPr/>
      </w:pPr>
      <w:r>
        <w:rPr/>
        <w:t>The therapeutic potential of microbiome manipulation is exemplified by fecal microbiota transplantation (FMT). In patients with recurrent *Clostridioides difficile* infection refractory to antibiotics, FMT restores colonization resistance and diversity, achieving cure rates of 80–90 % in meta</w:t>
        <w:noBreakHyphen/>
        <w:t>analyses</w:t>
      </w:r>
      <w:r>
        <w:rPr/>
        <w:t>【</w:t>
      </w:r>
      <w:r>
        <w:rPr/>
        <w:t>466199583821498†screenshot</w:t>
      </w:r>
      <w:r>
        <w:rPr/>
        <w:t>】</w:t>
      </w:r>
      <w:r>
        <w:rPr/>
        <w:t>. Consequently, guidelines endorse FMT as a second</w:t>
        <w:noBreakHyphen/>
        <w:t>line therapy for recurrent infection. However, concerns about standardization and pathogen transmission are spurring development of next</w:t>
        <w:noBreakHyphen/>
        <w:t>generation live biotherapeutic products (LBPs). Rationally designed consortia—defined mixtures of cultured strains with known functions—are being tested for inflammatory bowel disease, eradication of multidrug</w:t>
        <w:noBreakHyphen/>
        <w:t>resistant organisms and enhancement of responses to cancer immunotherapy</w:t>
      </w:r>
      <w:r>
        <w:rPr/>
        <w:t>【</w:t>
      </w:r>
      <w:r>
        <w:rPr/>
        <w:t>466199583821498†screenshot</w:t>
      </w:r>
      <w:r>
        <w:rPr/>
        <w:t>】</w:t>
      </w:r>
      <w:r>
        <w:rPr/>
        <w:t>.</w:t>
      </w:r>
    </w:p>
    <w:p>
      <w:pPr>
        <w:pStyle w:val="Normal"/>
        <w:bidi w:val="0"/>
        <w:jc w:val="start"/>
        <w:rPr/>
      </w:pPr>
      <w:r>
        <w:rPr/>
      </w:r>
    </w:p>
    <w:p>
      <w:pPr>
        <w:pStyle w:val="Normal"/>
        <w:bidi w:val="0"/>
        <w:jc w:val="start"/>
        <w:rPr/>
      </w:pPr>
      <w:r>
        <w:rPr/>
        <w:t>Conclusion</w:t>
      </w:r>
    </w:p>
    <w:p>
      <w:pPr>
        <w:pStyle w:val="Normal"/>
        <w:bidi w:val="0"/>
        <w:jc w:val="start"/>
        <w:rPr/>
      </w:pPr>
      <w:r>
        <w:rPr/>
        <w:t>Advances in metagenomics, metabolomics, immunology and systems biology reveal that the human microbiome is not a passive passenger but an active organ influencing host metabolism, immunity and even behavior. Understanding the molecular dialogues between microbes and host cells is unlocking new biomarkers for disease and paving the way for personalized therapeutic strategies aimed at restoring symbiotic homeostasis. Future research should focus on mechanistic studies, long</w:t>
        <w:noBreakHyphen/>
        <w:t>term safety of microbiome</w:t>
        <w:noBreakHyphen/>
        <w:t>based interventions and integration of microbiome data into precision medicine.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Pages>
  <Words>773</Words>
  <Characters>5197</Characters>
  <CharactersWithSpaces>5906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2025-09-29T02:41:30Z</dcterms:created>
  <dc:creator/>
  <dc:description/>
  <dc:language>en-US</dc:language>
  <cp:lastModifiedBy/>
  <dcterms:modified xsi:type="dcterms:W3CDTF">2025-09-29T02:42:07Z</dcterms:modified>
  <cp:revision>1</cp:revision>
  <dc:subject/>
  <dc:title/>
</cp:coreProperties>
</file>