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extracted-data-from-uk-invoices"/>
    <w:p>
      <w:pPr>
        <w:pStyle w:val="Heading1"/>
      </w:pPr>
      <w:r>
        <w:t xml:space="preserve">Extracted Data from UK Invoices</w:t>
      </w:r>
    </w:p>
    <w:p>
      <w:pPr>
        <w:pStyle w:val="FirstParagraph"/>
      </w:pPr>
      <w:r>
        <w:t xml:space="preserve">This report summarizes the key details extracted from a collection of UK invoices (sample set). For each invoice we list the invoice‑level information (document identifiers, issuer and customer details, totals, etc.) followed by item‑level information. Monetary values are quoted in</w:t>
      </w:r>
      <w:r>
        <w:t xml:space="preserve"> </w:t>
      </w:r>
      <w:r>
        <w:rPr>
          <w:b/>
          <w:bCs/>
        </w:rPr>
        <w:t xml:space="preserve">British pounds (GBP)</w:t>
      </w:r>
      <w:r>
        <w:t xml:space="preserve"> </w:t>
      </w:r>
      <w:r>
        <w:t xml:space="preserve">and dates are presented in</w:t>
      </w:r>
      <w:r>
        <w:t xml:space="preserve"> </w:t>
      </w:r>
      <w:r>
        <w:rPr>
          <w:b/>
          <w:bCs/>
        </w:rPr>
        <w:t xml:space="preserve">YYYY‑MM‑DD</w:t>
      </w:r>
      <w:r>
        <w:t xml:space="preserve"> </w:t>
      </w:r>
      <w:r>
        <w:t xml:space="preserve">format. Discount amounts were allocated proportionally across items when the invoice applied a single discount to the entire subtotal.</w:t>
      </w:r>
    </w:p>
    <w:bookmarkStart w:id="22" w:name="Xc943fd6f6022517b76f0ce4f1fc2ed0ef04de10"/>
    <w:p>
      <w:pPr>
        <w:pStyle w:val="Heading2"/>
      </w:pPr>
      <w:r>
        <w:t xml:space="preserve">Invoice PDL‑2025‑0892 – Premier Digital Services Ltd → Sterling Marketing Group</w:t>
      </w:r>
    </w:p>
    <w:p>
      <w:pPr>
        <w:pStyle w:val="FirstParagraph"/>
      </w:pPr>
      <w:r>
        <w:rPr>
          <w:b/>
          <w:bCs/>
        </w:rPr>
        <w:t xml:space="preserve">Invoice‑level information</w:t>
      </w:r>
    </w:p>
    <w:p>
      <w:pPr>
        <w:pStyle w:val="Compact"/>
        <w:numPr>
          <w:ilvl w:val="0"/>
          <w:numId w:val="1001"/>
        </w:numPr>
      </w:pPr>
      <w:r>
        <w:rPr>
          <w:b/>
          <w:bCs/>
        </w:rPr>
        <w:t xml:space="preserve">Issuer name &amp; country:</w:t>
      </w:r>
      <w:r>
        <w:t xml:space="preserve"> </w:t>
      </w:r>
      <w:r>
        <w:t xml:space="preserve">Premier Digital Services Ltd, United Kingdom. VAT number</w:t>
      </w:r>
      <w:r>
        <w:t xml:space="preserve"> </w:t>
      </w:r>
      <w:r>
        <w:rPr>
          <w:b/>
          <w:bCs/>
        </w:rPr>
        <w:t xml:space="preserve">GB456789012</w:t>
      </w:r>
      <w:r>
        <w:t xml:space="preserve">.</w:t>
      </w:r>
    </w:p>
    <w:p>
      <w:pPr>
        <w:pStyle w:val="Compact"/>
        <w:numPr>
          <w:ilvl w:val="0"/>
          <w:numId w:val="1001"/>
        </w:numPr>
      </w:pPr>
      <w:r>
        <w:rPr>
          <w:b/>
          <w:bCs/>
        </w:rPr>
        <w:t xml:space="preserve">Invoice number:</w:t>
      </w:r>
      <w:r>
        <w:t xml:space="preserve"> </w:t>
      </w:r>
      <w:r>
        <w:rPr>
          <w:b/>
          <w:bCs/>
        </w:rPr>
        <w:t xml:space="preserve">PDL‑2025‑0892</w:t>
      </w:r>
      <w:r>
        <w:t xml:space="preserve">.</w:t>
      </w:r>
    </w:p>
    <w:p>
      <w:pPr>
        <w:pStyle w:val="Compact"/>
        <w:numPr>
          <w:ilvl w:val="0"/>
          <w:numId w:val="1001"/>
        </w:numPr>
      </w:pPr>
      <w:r>
        <w:rPr>
          <w:b/>
          <w:bCs/>
        </w:rPr>
        <w:t xml:space="preserve">Issue date:</w:t>
      </w:r>
      <w:r>
        <w:t xml:space="preserve"> </w:t>
      </w:r>
      <w:r>
        <w:rPr>
          <w:b/>
          <w:bCs/>
        </w:rPr>
        <w:t xml:space="preserve">2025‑02‑18</w:t>
      </w:r>
      <w:r>
        <w:t xml:space="preserve">.</w:t>
      </w:r>
    </w:p>
    <w:p>
      <w:pPr>
        <w:pStyle w:val="Compact"/>
        <w:numPr>
          <w:ilvl w:val="0"/>
          <w:numId w:val="1001"/>
        </w:numPr>
      </w:pPr>
      <w:r>
        <w:rPr>
          <w:b/>
          <w:bCs/>
        </w:rPr>
        <w:t xml:space="preserve">Due date:</w:t>
      </w:r>
      <w:r>
        <w:t xml:space="preserve"> </w:t>
      </w:r>
      <w:r>
        <w:rPr>
          <w:b/>
          <w:bCs/>
        </w:rPr>
        <w:t xml:space="preserve">2025‑03‑20</w:t>
      </w:r>
      <w:r>
        <w:t xml:space="preserve">.</w:t>
      </w:r>
    </w:p>
    <w:p>
      <w:pPr>
        <w:pStyle w:val="Compact"/>
        <w:numPr>
          <w:ilvl w:val="0"/>
          <w:numId w:val="1001"/>
        </w:numPr>
      </w:pPr>
      <w:r>
        <w:rPr>
          <w:b/>
          <w:bCs/>
        </w:rPr>
        <w:t xml:space="preserve">Customer name:</w:t>
      </w:r>
      <w:r>
        <w:t xml:space="preserve"> </w:t>
      </w:r>
      <w:r>
        <w:t xml:space="preserve">Sterling Marketing Group.</w:t>
      </w:r>
    </w:p>
    <w:p>
      <w:pPr>
        <w:pStyle w:val="Compact"/>
        <w:numPr>
          <w:ilvl w:val="0"/>
          <w:numId w:val="1001"/>
        </w:numPr>
      </w:pPr>
      <w:r>
        <w:rPr>
          <w:b/>
          <w:bCs/>
        </w:rPr>
        <w:t xml:space="preserve">Currency:</w:t>
      </w:r>
      <w:r>
        <w:t xml:space="preserve"> </w:t>
      </w:r>
      <w:r>
        <w:t xml:space="preserve">GBP (amounts prefixed with £)</w:t>
      </w:r>
    </w:p>
    <w:p>
      <w:pPr>
        <w:pStyle w:val="Compact"/>
        <w:numPr>
          <w:ilvl w:val="0"/>
          <w:numId w:val="1001"/>
        </w:numPr>
      </w:pPr>
      <w:r>
        <w:rPr>
          <w:b/>
          <w:bCs/>
        </w:rPr>
        <w:t xml:space="preserve">Issuer IBAN:</w:t>
      </w:r>
      <w:r>
        <w:t xml:space="preserve"> </w:t>
      </w:r>
      <w:r>
        <w:t xml:space="preserve">GB82 HBUK 4005 2021 2345 67.</w:t>
      </w:r>
    </w:p>
    <w:p>
      <w:pPr>
        <w:pStyle w:val="Compact"/>
        <w:numPr>
          <w:ilvl w:val="0"/>
          <w:numId w:val="1001"/>
        </w:numPr>
      </w:pPr>
      <w:r>
        <w:rPr>
          <w:b/>
          <w:bCs/>
        </w:rPr>
        <w:t xml:space="preserve">Total amount (incl. VAT):</w:t>
      </w:r>
      <w:r>
        <w:t xml:space="preserve"> </w:t>
      </w:r>
      <w:r>
        <w:t xml:space="preserve">£7,136.40.</w:t>
      </w:r>
    </w:p>
    <w:p>
      <w:pPr>
        <w:pStyle w:val="Compact"/>
        <w:numPr>
          <w:ilvl w:val="0"/>
          <w:numId w:val="1001"/>
        </w:numPr>
      </w:pPr>
      <w:r>
        <w:rPr>
          <w:b/>
          <w:bCs/>
        </w:rPr>
        <w:t xml:space="preserve">Total VAT:</w:t>
      </w:r>
      <w:r>
        <w:t xml:space="preserve"> </w:t>
      </w:r>
      <w:r>
        <w:t xml:space="preserve">£1,189.40.</w:t>
      </w:r>
    </w:p>
    <w:p>
      <w:pPr>
        <w:pStyle w:val="Compact"/>
        <w:numPr>
          <w:ilvl w:val="0"/>
          <w:numId w:val="1001"/>
        </w:numPr>
      </w:pPr>
      <w:r>
        <w:rPr>
          <w:b/>
          <w:bCs/>
        </w:rPr>
        <w:t xml:space="preserve">Reverse charge:</w:t>
      </w:r>
      <w:r>
        <w:t xml:space="preserve"> </w:t>
      </w:r>
      <w:r>
        <w:t xml:space="preserve">No (the invoice explicitly includes VAT).</w:t>
      </w:r>
    </w:p>
    <w:p>
      <w:pPr>
        <w:pStyle w:val="FirstParagraph"/>
      </w:pPr>
      <w:r>
        <w:t xml:space="preserve">The invoice shows a subtotal of £6,475.00 and a single</w:t>
      </w:r>
      <w:r>
        <w:t xml:space="preserve"> </w:t>
      </w:r>
      <w:r>
        <w:rPr>
          <w:b/>
          <w:bCs/>
        </w:rPr>
        <w:t xml:space="preserve">8 % discount</w:t>
      </w:r>
      <w:r>
        <w:t xml:space="preserve"> </w:t>
      </w:r>
      <w:r>
        <w:t xml:space="preserve">of £528.00 applied to the subtotal. The discount has therefore been distributed proportionally across all items.</w:t>
      </w:r>
    </w:p>
    <w:bookmarkStart w:id="21" w:name="items"/>
    <w:p>
      <w:pPr>
        <w:pStyle w:val="Heading3"/>
      </w:pPr>
      <w:r>
        <w:t xml:space="preserve">Items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w:t>
            </w:r>
          </w:p>
        </w:tc>
        <w:tc>
          <w:tcPr/>
          <w:p>
            <w:pPr>
              <w:pStyle w:val="Compact"/>
            </w:pPr>
            <w:r>
              <w:t xml:space="preserve">Item name</w:t>
            </w:r>
          </w:p>
        </w:tc>
        <w:tc>
          <w:tcPr/>
          <w:p>
            <w:pPr>
              <w:pStyle w:val="Compact"/>
              <w:jc w:val="right"/>
            </w:pPr>
            <w:r>
              <w:t xml:space="preserve">Qty</w:t>
            </w:r>
          </w:p>
        </w:tc>
        <w:tc>
          <w:tcPr/>
          <w:p>
            <w:pPr>
              <w:pStyle w:val="Compact"/>
            </w:pPr>
            <w:r>
              <w:t xml:space="preserve">Unit</w:t>
            </w:r>
          </w:p>
        </w:tc>
        <w:tc>
          <w:tcPr/>
          <w:p>
            <w:pPr>
              <w:pStyle w:val="Compact"/>
              <w:jc w:val="right"/>
            </w:pPr>
            <w:r>
              <w:t xml:space="preserve">Unit price (GBP)</w:t>
            </w:r>
          </w:p>
        </w:tc>
        <w:tc>
          <w:tcPr/>
          <w:p>
            <w:pPr>
              <w:pStyle w:val="Compact"/>
              <w:jc w:val="right"/>
            </w:pPr>
            <w:r>
              <w:t xml:space="preserve">Discount rate</w:t>
            </w:r>
          </w:p>
        </w:tc>
        <w:tc>
          <w:tcPr/>
          <w:p>
            <w:pPr>
              <w:pStyle w:val="Compact"/>
              <w:jc w:val="right"/>
            </w:pPr>
            <w:r>
              <w:t xml:space="preserve">Discount amount (GBP)</w:t>
            </w:r>
          </w:p>
        </w:tc>
        <w:tc>
          <w:tcPr/>
          <w:p>
            <w:pPr>
              <w:pStyle w:val="Compact"/>
              <w:jc w:val="right"/>
            </w:pPr>
            <w:r>
              <w:t xml:space="preserve">Net price (GBP)</w:t>
            </w:r>
          </w:p>
        </w:tc>
        <w:tc>
          <w:tcPr/>
          <w:p>
            <w:pPr>
              <w:pStyle w:val="Compact"/>
              <w:jc w:val="right"/>
            </w:pPr>
            <w:r>
              <w:t xml:space="preserve">Tax rate</w:t>
            </w:r>
          </w:p>
        </w:tc>
        <w:tc>
          <w:tcPr/>
          <w:p>
            <w:pPr>
              <w:pStyle w:val="Compact"/>
              <w:jc w:val="right"/>
            </w:pPr>
            <w:r>
              <w:t xml:space="preserve">Tax amount (GBP)</w:t>
            </w:r>
          </w:p>
        </w:tc>
      </w:tr>
      <w:tr>
        <w:tc>
          <w:tcPr/>
          <w:p>
            <w:pPr>
              <w:pStyle w:val="Compact"/>
            </w:pPr>
            <w:r>
              <w:t xml:space="preserve">1</w:t>
            </w:r>
          </w:p>
        </w:tc>
        <w:tc>
          <w:tcPr/>
          <w:p>
            <w:pPr>
              <w:pStyle w:val="Compact"/>
            </w:pPr>
            <w:r>
              <w:t xml:space="preserve">Web Development Services</w:t>
            </w:r>
          </w:p>
        </w:tc>
        <w:tc>
          <w:tcPr/>
          <w:p>
            <w:pPr>
              <w:pStyle w:val="Compact"/>
              <w:jc w:val="right"/>
            </w:pPr>
            <w:r>
              <w:t xml:space="preserve">1</w:t>
            </w:r>
          </w:p>
        </w:tc>
        <w:tc>
          <w:tcPr/>
          <w:p>
            <w:pPr>
              <w:pStyle w:val="Compact"/>
            </w:pPr>
            <w:r>
              <w:t xml:space="preserve">project</w:t>
            </w:r>
          </w:p>
        </w:tc>
        <w:tc>
          <w:tcPr/>
          <w:p>
            <w:pPr>
              <w:pStyle w:val="Compact"/>
              <w:jc w:val="right"/>
            </w:pPr>
            <w:r>
              <w:t xml:space="preserve">£3,500.00</w:t>
            </w:r>
          </w:p>
        </w:tc>
        <w:tc>
          <w:tcPr/>
          <w:p>
            <w:pPr>
              <w:pStyle w:val="Compact"/>
              <w:jc w:val="right"/>
            </w:pPr>
            <w:r>
              <w:t xml:space="preserve">8 %</w:t>
            </w:r>
          </w:p>
        </w:tc>
        <w:tc>
          <w:tcPr/>
          <w:p>
            <w:pPr>
              <w:pStyle w:val="Compact"/>
              <w:jc w:val="right"/>
            </w:pPr>
            <w:r>
              <w:t xml:space="preserve">£285.41</w:t>
            </w:r>
          </w:p>
        </w:tc>
        <w:tc>
          <w:tcPr/>
          <w:p>
            <w:pPr>
              <w:pStyle w:val="Compact"/>
              <w:jc w:val="right"/>
            </w:pPr>
            <w:r>
              <w:t xml:space="preserve">£3,214.59</w:t>
            </w:r>
          </w:p>
        </w:tc>
        <w:tc>
          <w:tcPr/>
          <w:p>
            <w:pPr>
              <w:pStyle w:val="Compact"/>
              <w:jc w:val="right"/>
            </w:pPr>
            <w:r>
              <w:t xml:space="preserve">20 %</w:t>
            </w:r>
          </w:p>
        </w:tc>
        <w:tc>
          <w:tcPr/>
          <w:p>
            <w:pPr>
              <w:pStyle w:val="Compact"/>
              <w:jc w:val="right"/>
            </w:pPr>
            <w:r>
              <w:t xml:space="preserve">£642.92</w:t>
            </w:r>
          </w:p>
        </w:tc>
      </w:tr>
      <w:tr>
        <w:tc>
          <w:tcPr/>
          <w:p>
            <w:pPr>
              <w:pStyle w:val="Compact"/>
            </w:pPr>
            <w:r>
              <w:t xml:space="preserve">2</w:t>
            </w:r>
          </w:p>
        </w:tc>
        <w:tc>
          <w:tcPr/>
          <w:p>
            <w:pPr>
              <w:pStyle w:val="Compact"/>
            </w:pPr>
            <w:r>
              <w:t xml:space="preserve">SEO Optimization Package</w:t>
            </w:r>
          </w:p>
        </w:tc>
        <w:tc>
          <w:tcPr/>
          <w:p>
            <w:pPr>
              <w:pStyle w:val="Compact"/>
              <w:jc w:val="right"/>
            </w:pPr>
            <w:r>
              <w:t xml:space="preserve">3</w:t>
            </w:r>
          </w:p>
        </w:tc>
        <w:tc>
          <w:tcPr/>
          <w:p>
            <w:pPr>
              <w:pStyle w:val="Compact"/>
            </w:pPr>
            <w:r>
              <w:t xml:space="preserve">months</w:t>
            </w:r>
          </w:p>
        </w:tc>
        <w:tc>
          <w:tcPr/>
          <w:p>
            <w:pPr>
              <w:pStyle w:val="Compact"/>
              <w:jc w:val="right"/>
            </w:pPr>
            <w:r>
              <w:t xml:space="preserve">£450.00</w:t>
            </w:r>
          </w:p>
        </w:tc>
        <w:tc>
          <w:tcPr/>
          <w:p>
            <w:pPr>
              <w:pStyle w:val="Compact"/>
              <w:jc w:val="right"/>
            </w:pPr>
            <w:r>
              <w:t xml:space="preserve">8 %</w:t>
            </w:r>
          </w:p>
        </w:tc>
        <w:tc>
          <w:tcPr/>
          <w:p>
            <w:pPr>
              <w:pStyle w:val="Compact"/>
              <w:jc w:val="right"/>
            </w:pPr>
            <w:r>
              <w:t xml:space="preserve">£110.08</w:t>
            </w:r>
          </w:p>
        </w:tc>
        <w:tc>
          <w:tcPr/>
          <w:p>
            <w:pPr>
              <w:pStyle w:val="Compact"/>
              <w:jc w:val="right"/>
            </w:pPr>
            <w:r>
              <w:t xml:space="preserve">£1,239.92</w:t>
            </w:r>
          </w:p>
        </w:tc>
        <w:tc>
          <w:tcPr/>
          <w:p>
            <w:pPr>
              <w:pStyle w:val="Compact"/>
              <w:jc w:val="right"/>
            </w:pPr>
            <w:r>
              <w:t xml:space="preserve">20 %</w:t>
            </w:r>
          </w:p>
        </w:tc>
        <w:tc>
          <w:tcPr/>
          <w:p>
            <w:pPr>
              <w:pStyle w:val="Compact"/>
              <w:jc w:val="right"/>
            </w:pPr>
            <w:r>
              <w:t xml:space="preserve">£247.98</w:t>
            </w:r>
          </w:p>
        </w:tc>
      </w:tr>
      <w:tr>
        <w:tc>
          <w:tcPr/>
          <w:p>
            <w:pPr>
              <w:pStyle w:val="Compact"/>
            </w:pPr>
            <w:r>
              <w:t xml:space="preserve">3</w:t>
            </w:r>
          </w:p>
        </w:tc>
        <w:tc>
          <w:tcPr/>
          <w:p>
            <w:pPr>
              <w:pStyle w:val="Compact"/>
            </w:pPr>
            <w:r>
              <w:t xml:space="preserve">Content Writing Services</w:t>
            </w:r>
          </w:p>
        </w:tc>
        <w:tc>
          <w:tcPr/>
          <w:p>
            <w:pPr>
              <w:pStyle w:val="Compact"/>
              <w:jc w:val="right"/>
            </w:pPr>
            <w:r>
              <w:t xml:space="preserve">25</w:t>
            </w:r>
          </w:p>
        </w:tc>
        <w:tc>
          <w:tcPr/>
          <w:p>
            <w:pPr>
              <w:pStyle w:val="Compact"/>
            </w:pPr>
            <w:r>
              <w:t xml:space="preserve">hours</w:t>
            </w:r>
          </w:p>
        </w:tc>
        <w:tc>
          <w:tcPr/>
          <w:p>
            <w:pPr>
              <w:pStyle w:val="Compact"/>
              <w:jc w:val="right"/>
            </w:pPr>
            <w:r>
              <w:t xml:space="preserve">£65.00</w:t>
            </w:r>
          </w:p>
        </w:tc>
        <w:tc>
          <w:tcPr/>
          <w:p>
            <w:pPr>
              <w:pStyle w:val="Compact"/>
              <w:jc w:val="right"/>
            </w:pPr>
            <w:r>
              <w:t xml:space="preserve">8 %</w:t>
            </w:r>
          </w:p>
        </w:tc>
        <w:tc>
          <w:tcPr/>
          <w:p>
            <w:pPr>
              <w:pStyle w:val="Compact"/>
              <w:jc w:val="right"/>
            </w:pPr>
            <w:r>
              <w:t xml:space="preserve">£132.51</w:t>
            </w:r>
          </w:p>
        </w:tc>
        <w:tc>
          <w:tcPr/>
          <w:p>
            <w:pPr>
              <w:pStyle w:val="Compact"/>
              <w:jc w:val="right"/>
            </w:pPr>
            <w:r>
              <w:t xml:space="preserve">£1,492.49</w:t>
            </w:r>
          </w:p>
        </w:tc>
        <w:tc>
          <w:tcPr/>
          <w:p>
            <w:pPr>
              <w:pStyle w:val="Compact"/>
              <w:jc w:val="right"/>
            </w:pPr>
            <w:r>
              <w:t xml:space="preserve">20 %</w:t>
            </w:r>
          </w:p>
        </w:tc>
        <w:tc>
          <w:tcPr/>
          <w:p>
            <w:pPr>
              <w:pStyle w:val="Compact"/>
              <w:jc w:val="right"/>
            </w:pPr>
            <w:r>
              <w:t xml:space="preserve">£298.50</w:t>
            </w:r>
          </w:p>
        </w:tc>
      </w:tr>
    </w:tbl>
    <w:p>
      <w:pPr>
        <w:pStyle w:val="BodyText"/>
      </w:pPr>
      <w:r>
        <w:rPr>
          <w:b/>
          <w:bCs/>
        </w:rPr>
        <w:t xml:space="preserve">Item descriptions:</w:t>
      </w:r>
    </w:p>
    <w:p>
      <w:pPr>
        <w:pStyle w:val="Compact"/>
        <w:numPr>
          <w:ilvl w:val="0"/>
          <w:numId w:val="1002"/>
        </w:numPr>
      </w:pPr>
      <w:r>
        <w:rPr>
          <w:i/>
          <w:iCs/>
        </w:rPr>
        <w:t xml:space="preserve">Web Development Services</w:t>
      </w:r>
      <w:r>
        <w:t xml:space="preserve"> </w:t>
      </w:r>
      <w:r>
        <w:t xml:space="preserve">– Custom website design and development with responsive mobile design.</w:t>
      </w:r>
    </w:p>
    <w:p>
      <w:pPr>
        <w:pStyle w:val="Compact"/>
        <w:numPr>
          <w:ilvl w:val="0"/>
          <w:numId w:val="1002"/>
        </w:numPr>
      </w:pPr>
      <w:r>
        <w:rPr>
          <w:i/>
          <w:iCs/>
        </w:rPr>
        <w:t xml:space="preserve">SEO Optimization Package</w:t>
      </w:r>
      <w:r>
        <w:t xml:space="preserve"> </w:t>
      </w:r>
      <w:r>
        <w:t xml:space="preserve">– 3‑month comprehensive SEO strategy and implementation.</w:t>
      </w:r>
    </w:p>
    <w:p>
      <w:pPr>
        <w:pStyle w:val="Compact"/>
        <w:numPr>
          <w:ilvl w:val="0"/>
          <w:numId w:val="1002"/>
        </w:numPr>
      </w:pPr>
      <w:r>
        <w:rPr>
          <w:i/>
          <w:iCs/>
        </w:rPr>
        <w:t xml:space="preserve">Content Writing Services</w:t>
      </w:r>
      <w:r>
        <w:t xml:space="preserve"> </w:t>
      </w:r>
      <w:r>
        <w:t xml:space="preserve">– Professional copy‑writing for website and marketing materials.</w:t>
      </w:r>
    </w:p>
    <w:bookmarkEnd w:id="21"/>
    <w:bookmarkEnd w:id="22"/>
    <w:bookmarkStart w:id="24" w:name="Xa0b578c3f81b3ceca7578775b71f2f75507665f"/>
    <w:p>
      <w:pPr>
        <w:pStyle w:val="Heading2"/>
      </w:pPr>
      <w:r>
        <w:t xml:space="preserve">Invoice ISC‑2025‑1547 – Industrial Supply Co Ltd → Manchester Manufacturing Ltd</w:t>
      </w:r>
    </w:p>
    <w:p>
      <w:pPr>
        <w:pStyle w:val="FirstParagraph"/>
      </w:pPr>
      <w:r>
        <w:rPr>
          <w:b/>
          <w:bCs/>
        </w:rPr>
        <w:t xml:space="preserve">Invoice‑level information</w:t>
      </w:r>
    </w:p>
    <w:p>
      <w:pPr>
        <w:pStyle w:val="Compact"/>
        <w:numPr>
          <w:ilvl w:val="0"/>
          <w:numId w:val="1003"/>
        </w:numPr>
      </w:pPr>
      <w:r>
        <w:rPr>
          <w:b/>
          <w:bCs/>
        </w:rPr>
        <w:t xml:space="preserve">Issuer name &amp; country:</w:t>
      </w:r>
      <w:r>
        <w:t xml:space="preserve"> </w:t>
      </w:r>
      <w:r>
        <w:t xml:space="preserve">Industrial Supply Co Ltd, United Kingdom. VAT number</w:t>
      </w:r>
      <w:r>
        <w:t xml:space="preserve"> </w:t>
      </w:r>
      <w:r>
        <w:rPr>
          <w:b/>
          <w:bCs/>
        </w:rPr>
        <w:t xml:space="preserve">GB234567890</w:t>
      </w:r>
      <w:r>
        <w:t xml:space="preserve">.</w:t>
      </w:r>
    </w:p>
    <w:p>
      <w:pPr>
        <w:pStyle w:val="Compact"/>
        <w:numPr>
          <w:ilvl w:val="0"/>
          <w:numId w:val="1003"/>
        </w:numPr>
      </w:pPr>
      <w:r>
        <w:rPr>
          <w:b/>
          <w:bCs/>
        </w:rPr>
        <w:t xml:space="preserve">Invoice number:</w:t>
      </w:r>
      <w:r>
        <w:t xml:space="preserve"> </w:t>
      </w:r>
      <w:r>
        <w:rPr>
          <w:b/>
          <w:bCs/>
        </w:rPr>
        <w:t xml:space="preserve">ISC‑2025‑1547</w:t>
      </w:r>
      <w:r>
        <w:t xml:space="preserve">.</w:t>
      </w:r>
    </w:p>
    <w:p>
      <w:pPr>
        <w:pStyle w:val="Compact"/>
        <w:numPr>
          <w:ilvl w:val="0"/>
          <w:numId w:val="1003"/>
        </w:numPr>
      </w:pPr>
      <w:r>
        <w:rPr>
          <w:b/>
          <w:bCs/>
        </w:rPr>
        <w:t xml:space="preserve">Issue date:</w:t>
      </w:r>
      <w:r>
        <w:t xml:space="preserve"> </w:t>
      </w:r>
      <w:r>
        <w:rPr>
          <w:b/>
          <w:bCs/>
        </w:rPr>
        <w:t xml:space="preserve">2025‑03‑25</w:t>
      </w:r>
      <w:r>
        <w:t xml:space="preserve">.</w:t>
      </w:r>
    </w:p>
    <w:p>
      <w:pPr>
        <w:pStyle w:val="Compact"/>
        <w:numPr>
          <w:ilvl w:val="0"/>
          <w:numId w:val="1003"/>
        </w:numPr>
      </w:pPr>
      <w:r>
        <w:rPr>
          <w:b/>
          <w:bCs/>
        </w:rPr>
        <w:t xml:space="preserve">Due date:</w:t>
      </w:r>
      <w:r>
        <w:t xml:space="preserve"> </w:t>
      </w:r>
      <w:r>
        <w:rPr>
          <w:b/>
          <w:bCs/>
        </w:rPr>
        <w:t xml:space="preserve">2025‑04‑24</w:t>
      </w:r>
      <w:r>
        <w:t xml:space="preserve">.</w:t>
      </w:r>
    </w:p>
    <w:p>
      <w:pPr>
        <w:pStyle w:val="Compact"/>
        <w:numPr>
          <w:ilvl w:val="0"/>
          <w:numId w:val="1003"/>
        </w:numPr>
      </w:pPr>
      <w:r>
        <w:rPr>
          <w:b/>
          <w:bCs/>
        </w:rPr>
        <w:t xml:space="preserve">Customer name:</w:t>
      </w:r>
      <w:r>
        <w:t xml:space="preserve"> </w:t>
      </w:r>
      <w:r>
        <w:t xml:space="preserve">Manchester Manufacturing Ltd.</w:t>
      </w:r>
    </w:p>
    <w:p>
      <w:pPr>
        <w:pStyle w:val="Compact"/>
        <w:numPr>
          <w:ilvl w:val="0"/>
          <w:numId w:val="1003"/>
        </w:numPr>
      </w:pPr>
      <w:r>
        <w:rPr>
          <w:b/>
          <w:bCs/>
        </w:rPr>
        <w:t xml:space="preserve">Currency:</w:t>
      </w:r>
      <w:r>
        <w:t xml:space="preserve"> </w:t>
      </w:r>
      <w:r>
        <w:t xml:space="preserve">GBP.</w:t>
      </w:r>
    </w:p>
    <w:p>
      <w:pPr>
        <w:pStyle w:val="Compact"/>
        <w:numPr>
          <w:ilvl w:val="0"/>
          <w:numId w:val="1003"/>
        </w:numPr>
      </w:pPr>
      <w:r>
        <w:rPr>
          <w:b/>
          <w:bCs/>
        </w:rPr>
        <w:t xml:space="preserve">Issuer IBAN:</w:t>
      </w:r>
      <w:r>
        <w:t xml:space="preserve"> </w:t>
      </w:r>
      <w:r>
        <w:t xml:space="preserve">GB90 LOYD 3066 2209 8765 43.</w:t>
      </w:r>
    </w:p>
    <w:p>
      <w:pPr>
        <w:pStyle w:val="Compact"/>
        <w:numPr>
          <w:ilvl w:val="0"/>
          <w:numId w:val="1003"/>
        </w:numPr>
      </w:pPr>
      <w:r>
        <w:rPr>
          <w:b/>
          <w:bCs/>
        </w:rPr>
        <w:t xml:space="preserve">Total amount (incl. VAT):</w:t>
      </w:r>
      <w:r>
        <w:t xml:space="preserve"> </w:t>
      </w:r>
      <w:r>
        <w:t xml:space="preserve">£4,674.00.</w:t>
      </w:r>
    </w:p>
    <w:p>
      <w:pPr>
        <w:pStyle w:val="Compact"/>
        <w:numPr>
          <w:ilvl w:val="0"/>
          <w:numId w:val="1003"/>
        </w:numPr>
      </w:pPr>
      <w:r>
        <w:rPr>
          <w:b/>
          <w:bCs/>
        </w:rPr>
        <w:t xml:space="preserve">Total VAT:</w:t>
      </w:r>
      <w:r>
        <w:t xml:space="preserve"> </w:t>
      </w:r>
      <w:r>
        <w:t xml:space="preserve">£779.00.</w:t>
      </w:r>
    </w:p>
    <w:p>
      <w:pPr>
        <w:pStyle w:val="Compact"/>
        <w:numPr>
          <w:ilvl w:val="0"/>
          <w:numId w:val="1003"/>
        </w:numPr>
      </w:pPr>
      <w:r>
        <w:rPr>
          <w:b/>
          <w:bCs/>
        </w:rPr>
        <w:t xml:space="preserve">Reverse charge:</w:t>
      </w:r>
      <w:r>
        <w:t xml:space="preserve"> </w:t>
      </w:r>
      <w:r>
        <w:t xml:space="preserve">No.</w:t>
      </w:r>
    </w:p>
    <w:p>
      <w:pPr>
        <w:pStyle w:val="FirstParagraph"/>
      </w:pPr>
      <w:r>
        <w:t xml:space="preserve">No invoice‑level discount is mentioned; therefore the discount rate for each item is</w:t>
      </w:r>
      <w:r>
        <w:t xml:space="preserve"> </w:t>
      </w:r>
      <w:r>
        <w:rPr>
          <w:b/>
          <w:bCs/>
        </w:rPr>
        <w:t xml:space="preserve">0 %</w:t>
      </w:r>
      <w:r>
        <w:t xml:space="preserve"> </w:t>
      </w:r>
      <w:r>
        <w:t xml:space="preserve">and the net price equals the line amount.</w:t>
      </w:r>
    </w:p>
    <w:bookmarkStart w:id="23" w:name="items-1"/>
    <w:p>
      <w:pPr>
        <w:pStyle w:val="Heading3"/>
      </w:pPr>
      <w:r>
        <w:t xml:space="preserve">Items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w:t>
            </w:r>
          </w:p>
        </w:tc>
        <w:tc>
          <w:tcPr/>
          <w:p>
            <w:pPr>
              <w:pStyle w:val="Compact"/>
            </w:pPr>
            <w:r>
              <w:t xml:space="preserve">Item name</w:t>
            </w:r>
          </w:p>
        </w:tc>
        <w:tc>
          <w:tcPr/>
          <w:p>
            <w:pPr>
              <w:pStyle w:val="Compact"/>
              <w:jc w:val="right"/>
            </w:pPr>
            <w:r>
              <w:t xml:space="preserve">Qty</w:t>
            </w:r>
          </w:p>
        </w:tc>
        <w:tc>
          <w:tcPr/>
          <w:p>
            <w:pPr>
              <w:pStyle w:val="Compact"/>
            </w:pPr>
            <w:r>
              <w:t xml:space="preserve">Unit</w:t>
            </w:r>
          </w:p>
        </w:tc>
        <w:tc>
          <w:tcPr/>
          <w:p>
            <w:pPr>
              <w:pStyle w:val="Compact"/>
              <w:jc w:val="right"/>
            </w:pPr>
            <w:r>
              <w:t xml:space="preserve">Unit price (GBP)</w:t>
            </w:r>
          </w:p>
        </w:tc>
        <w:tc>
          <w:tcPr/>
          <w:p>
            <w:pPr>
              <w:pStyle w:val="Compact"/>
              <w:jc w:val="right"/>
            </w:pPr>
            <w:r>
              <w:t xml:space="preserve">Discount rate</w:t>
            </w:r>
          </w:p>
        </w:tc>
        <w:tc>
          <w:tcPr/>
          <w:p>
            <w:pPr>
              <w:pStyle w:val="Compact"/>
              <w:jc w:val="right"/>
            </w:pPr>
            <w:r>
              <w:t xml:space="preserve">Discount amount (GBP)</w:t>
            </w:r>
          </w:p>
        </w:tc>
        <w:tc>
          <w:tcPr/>
          <w:p>
            <w:pPr>
              <w:pStyle w:val="Compact"/>
              <w:jc w:val="right"/>
            </w:pPr>
            <w:r>
              <w:t xml:space="preserve">Net price (GBP)</w:t>
            </w:r>
          </w:p>
        </w:tc>
        <w:tc>
          <w:tcPr/>
          <w:p>
            <w:pPr>
              <w:pStyle w:val="Compact"/>
              <w:jc w:val="right"/>
            </w:pPr>
            <w:r>
              <w:t xml:space="preserve">Tax rate</w:t>
            </w:r>
          </w:p>
        </w:tc>
        <w:tc>
          <w:tcPr/>
          <w:p>
            <w:pPr>
              <w:pStyle w:val="Compact"/>
              <w:jc w:val="right"/>
            </w:pPr>
            <w:r>
              <w:t xml:space="preserve">Tax amount (GBP)</w:t>
            </w:r>
          </w:p>
        </w:tc>
      </w:tr>
      <w:tr>
        <w:tc>
          <w:tcPr/>
          <w:p>
            <w:pPr>
              <w:pStyle w:val="Compact"/>
            </w:pPr>
            <w:r>
              <w:t xml:space="preserve">1</w:t>
            </w:r>
          </w:p>
        </w:tc>
        <w:tc>
          <w:tcPr/>
          <w:p>
            <w:pPr>
              <w:pStyle w:val="Compact"/>
            </w:pPr>
            <w:r>
              <w:t xml:space="preserve">Stainless Steel Bearings</w:t>
            </w:r>
          </w:p>
        </w:tc>
        <w:tc>
          <w:tcPr/>
          <w:p>
            <w:pPr>
              <w:pStyle w:val="Compact"/>
              <w:jc w:val="right"/>
            </w:pPr>
            <w:r>
              <w:t xml:space="preserve">150</w:t>
            </w:r>
          </w:p>
        </w:tc>
        <w:tc>
          <w:tcPr/>
          <w:p>
            <w:pPr>
              <w:pStyle w:val="Compact"/>
            </w:pPr>
            <w:r>
              <w:t xml:space="preserve">pcs</w:t>
            </w:r>
          </w:p>
        </w:tc>
        <w:tc>
          <w:tcPr/>
          <w:p>
            <w:pPr>
              <w:pStyle w:val="Compact"/>
              <w:jc w:val="right"/>
            </w:pPr>
            <w:r>
              <w:t xml:space="preserve">£12.50</w:t>
            </w:r>
          </w:p>
        </w:tc>
        <w:tc>
          <w:tcPr/>
          <w:p>
            <w:pPr>
              <w:pStyle w:val="Compact"/>
              <w:jc w:val="right"/>
            </w:pPr>
            <w:r>
              <w:t xml:space="preserve">0 %</w:t>
            </w:r>
          </w:p>
        </w:tc>
        <w:tc>
          <w:tcPr/>
          <w:p>
            <w:pPr>
              <w:pStyle w:val="Compact"/>
              <w:jc w:val="right"/>
            </w:pPr>
            <w:r>
              <w:t xml:space="preserve">£0.00</w:t>
            </w:r>
          </w:p>
        </w:tc>
        <w:tc>
          <w:tcPr/>
          <w:p>
            <w:pPr>
              <w:pStyle w:val="Compact"/>
              <w:jc w:val="right"/>
            </w:pPr>
            <w:r>
              <w:t xml:space="preserve">£1,875.00</w:t>
            </w:r>
          </w:p>
        </w:tc>
        <w:tc>
          <w:tcPr/>
          <w:p>
            <w:pPr>
              <w:pStyle w:val="Compact"/>
              <w:jc w:val="right"/>
            </w:pPr>
            <w:r>
              <w:t xml:space="preserve">20 %</w:t>
            </w:r>
          </w:p>
        </w:tc>
        <w:tc>
          <w:tcPr/>
          <w:p>
            <w:pPr>
              <w:pStyle w:val="Compact"/>
              <w:jc w:val="right"/>
            </w:pPr>
            <w:r>
              <w:t xml:space="preserve">£375.00</w:t>
            </w:r>
          </w:p>
        </w:tc>
      </w:tr>
      <w:tr>
        <w:tc>
          <w:tcPr/>
          <w:p>
            <w:pPr>
              <w:pStyle w:val="Compact"/>
            </w:pPr>
            <w:r>
              <w:t xml:space="preserve">2</w:t>
            </w:r>
          </w:p>
        </w:tc>
        <w:tc>
          <w:tcPr/>
          <w:p>
            <w:pPr>
              <w:pStyle w:val="Compact"/>
            </w:pPr>
            <w:r>
              <w:t xml:space="preserve">Industrial Hydraulic Oil</w:t>
            </w:r>
          </w:p>
        </w:tc>
        <w:tc>
          <w:tcPr/>
          <w:p>
            <w:pPr>
              <w:pStyle w:val="Compact"/>
              <w:jc w:val="right"/>
            </w:pPr>
            <w:r>
              <w:t xml:space="preserve">8</w:t>
            </w:r>
          </w:p>
        </w:tc>
        <w:tc>
          <w:tcPr/>
          <w:p>
            <w:pPr>
              <w:pStyle w:val="Compact"/>
            </w:pPr>
            <w:r>
              <w:t xml:space="preserve">drums</w:t>
            </w:r>
          </w:p>
        </w:tc>
        <w:tc>
          <w:tcPr/>
          <w:p>
            <w:pPr>
              <w:pStyle w:val="Compact"/>
              <w:jc w:val="right"/>
            </w:pPr>
            <w:r>
              <w:t xml:space="preserve">£85.00</w:t>
            </w:r>
          </w:p>
        </w:tc>
        <w:tc>
          <w:tcPr/>
          <w:p>
            <w:pPr>
              <w:pStyle w:val="Compact"/>
              <w:jc w:val="right"/>
            </w:pPr>
            <w:r>
              <w:t xml:space="preserve">0 %</w:t>
            </w:r>
          </w:p>
        </w:tc>
        <w:tc>
          <w:tcPr/>
          <w:p>
            <w:pPr>
              <w:pStyle w:val="Compact"/>
              <w:jc w:val="right"/>
            </w:pPr>
            <w:r>
              <w:t xml:space="preserve">£0.00</w:t>
            </w:r>
          </w:p>
        </w:tc>
        <w:tc>
          <w:tcPr/>
          <w:p>
            <w:pPr>
              <w:pStyle w:val="Compact"/>
              <w:jc w:val="right"/>
            </w:pPr>
            <w:r>
              <w:t xml:space="preserve">£680.00</w:t>
            </w:r>
          </w:p>
        </w:tc>
        <w:tc>
          <w:tcPr/>
          <w:p>
            <w:pPr>
              <w:pStyle w:val="Compact"/>
              <w:jc w:val="right"/>
            </w:pPr>
            <w:r>
              <w:t xml:space="preserve">20 %</w:t>
            </w:r>
          </w:p>
        </w:tc>
        <w:tc>
          <w:tcPr/>
          <w:p>
            <w:pPr>
              <w:pStyle w:val="Compact"/>
              <w:jc w:val="right"/>
            </w:pPr>
            <w:r>
              <w:t xml:space="preserve">£136.00</w:t>
            </w:r>
          </w:p>
        </w:tc>
      </w:tr>
      <w:tr>
        <w:tc>
          <w:tcPr/>
          <w:p>
            <w:pPr>
              <w:pStyle w:val="Compact"/>
            </w:pPr>
            <w:r>
              <w:t xml:space="preserve">3</w:t>
            </w:r>
          </w:p>
        </w:tc>
        <w:tc>
          <w:tcPr/>
          <w:p>
            <w:pPr>
              <w:pStyle w:val="Compact"/>
            </w:pPr>
            <w:r>
              <w:t xml:space="preserve">Pneumatic Control Valves</w:t>
            </w:r>
          </w:p>
        </w:tc>
        <w:tc>
          <w:tcPr/>
          <w:p>
            <w:pPr>
              <w:pStyle w:val="Compact"/>
              <w:jc w:val="right"/>
            </w:pPr>
            <w:r>
              <w:t xml:space="preserve">12</w:t>
            </w:r>
          </w:p>
        </w:tc>
        <w:tc>
          <w:tcPr/>
          <w:p>
            <w:pPr>
              <w:pStyle w:val="Compact"/>
            </w:pPr>
            <w:r>
              <w:t xml:space="preserve">pcs</w:t>
            </w:r>
          </w:p>
        </w:tc>
        <w:tc>
          <w:tcPr/>
          <w:p>
            <w:pPr>
              <w:pStyle w:val="Compact"/>
              <w:jc w:val="right"/>
            </w:pPr>
            <w:r>
              <w:t xml:space="preserve">£95.00</w:t>
            </w:r>
          </w:p>
        </w:tc>
        <w:tc>
          <w:tcPr/>
          <w:p>
            <w:pPr>
              <w:pStyle w:val="Compact"/>
              <w:jc w:val="right"/>
            </w:pPr>
            <w:r>
              <w:t xml:space="preserve">0 %</w:t>
            </w:r>
          </w:p>
        </w:tc>
        <w:tc>
          <w:tcPr/>
          <w:p>
            <w:pPr>
              <w:pStyle w:val="Compact"/>
              <w:jc w:val="right"/>
            </w:pPr>
            <w:r>
              <w:t xml:space="preserve">£0.00</w:t>
            </w:r>
          </w:p>
        </w:tc>
        <w:tc>
          <w:tcPr/>
          <w:p>
            <w:pPr>
              <w:pStyle w:val="Compact"/>
              <w:jc w:val="right"/>
            </w:pPr>
            <w:r>
              <w:t xml:space="preserve">£1,140.00</w:t>
            </w:r>
          </w:p>
        </w:tc>
        <w:tc>
          <w:tcPr/>
          <w:p>
            <w:pPr>
              <w:pStyle w:val="Compact"/>
              <w:jc w:val="right"/>
            </w:pPr>
            <w:r>
              <w:t xml:space="preserve">20 %</w:t>
            </w:r>
          </w:p>
        </w:tc>
        <w:tc>
          <w:tcPr/>
          <w:p>
            <w:pPr>
              <w:pStyle w:val="Compact"/>
              <w:jc w:val="right"/>
            </w:pPr>
            <w:r>
              <w:t xml:space="preserve">£228.00</w:t>
            </w:r>
          </w:p>
        </w:tc>
      </w:tr>
      <w:tr>
        <w:tc>
          <w:tcPr/>
          <w:p>
            <w:pPr>
              <w:pStyle w:val="Compact"/>
            </w:pPr>
            <w:r>
              <w:t xml:space="preserve">4</w:t>
            </w:r>
          </w:p>
        </w:tc>
        <w:tc>
          <w:tcPr/>
          <w:p>
            <w:pPr>
              <w:pStyle w:val="Compact"/>
            </w:pPr>
            <w:r>
              <w:t xml:space="preserve">Delivery and Installation</w:t>
            </w:r>
          </w:p>
        </w:tc>
        <w:tc>
          <w:tcPr/>
          <w:p>
            <w:pPr>
              <w:pStyle w:val="Compact"/>
              <w:jc w:val="right"/>
            </w:pPr>
            <w:r>
              <w:t xml:space="preserve">1</w:t>
            </w:r>
          </w:p>
        </w:tc>
        <w:tc>
          <w:tcPr/>
          <w:p>
            <w:pPr>
              <w:pStyle w:val="Compact"/>
            </w:pPr>
            <w:r>
              <w:t xml:space="preserve">service</w:t>
            </w:r>
          </w:p>
        </w:tc>
        <w:tc>
          <w:tcPr/>
          <w:p>
            <w:pPr>
              <w:pStyle w:val="Compact"/>
              <w:jc w:val="right"/>
            </w:pPr>
            <w:r>
              <w:t xml:space="preserve">£200.00</w:t>
            </w:r>
          </w:p>
        </w:tc>
        <w:tc>
          <w:tcPr/>
          <w:p>
            <w:pPr>
              <w:pStyle w:val="Compact"/>
              <w:jc w:val="right"/>
            </w:pPr>
            <w:r>
              <w:t xml:space="preserve">0 %</w:t>
            </w:r>
          </w:p>
        </w:tc>
        <w:tc>
          <w:tcPr/>
          <w:p>
            <w:pPr>
              <w:pStyle w:val="Compact"/>
              <w:jc w:val="right"/>
            </w:pPr>
            <w:r>
              <w:t xml:space="preserve">£0.00</w:t>
            </w:r>
          </w:p>
        </w:tc>
        <w:tc>
          <w:tcPr/>
          <w:p>
            <w:pPr>
              <w:pStyle w:val="Compact"/>
              <w:jc w:val="right"/>
            </w:pPr>
            <w:r>
              <w:t xml:space="preserve">£200.00</w:t>
            </w:r>
          </w:p>
        </w:tc>
        <w:tc>
          <w:tcPr/>
          <w:p>
            <w:pPr>
              <w:pStyle w:val="Compact"/>
              <w:jc w:val="right"/>
            </w:pPr>
            <w:r>
              <w:t xml:space="preserve">20 %</w:t>
            </w:r>
          </w:p>
        </w:tc>
        <w:tc>
          <w:tcPr/>
          <w:p>
            <w:pPr>
              <w:pStyle w:val="Compact"/>
              <w:jc w:val="right"/>
            </w:pPr>
            <w:r>
              <w:t xml:space="preserve">£40.00</w:t>
            </w:r>
          </w:p>
        </w:tc>
      </w:tr>
    </w:tbl>
    <w:p>
      <w:pPr>
        <w:pStyle w:val="BodyText"/>
      </w:pPr>
      <w:r>
        <w:rPr>
          <w:b/>
          <w:bCs/>
        </w:rPr>
        <w:t xml:space="preserve">Item descriptions:</w:t>
      </w:r>
    </w:p>
    <w:p>
      <w:pPr>
        <w:pStyle w:val="Compact"/>
        <w:numPr>
          <w:ilvl w:val="0"/>
          <w:numId w:val="1004"/>
        </w:numPr>
      </w:pPr>
      <w:r>
        <w:rPr>
          <w:i/>
          <w:iCs/>
        </w:rPr>
        <w:t xml:space="preserve">Stainless Steel Bearings</w:t>
      </w:r>
      <w:r>
        <w:t xml:space="preserve"> </w:t>
      </w:r>
      <w:r>
        <w:t xml:space="preserve">– SKF model 6200‑2Z, precision grade.</w:t>
      </w:r>
    </w:p>
    <w:p>
      <w:pPr>
        <w:pStyle w:val="Compact"/>
        <w:numPr>
          <w:ilvl w:val="0"/>
          <w:numId w:val="1004"/>
        </w:numPr>
      </w:pPr>
      <w:r>
        <w:rPr>
          <w:i/>
          <w:iCs/>
        </w:rPr>
        <w:t xml:space="preserve">Industrial Hydraulic Oil</w:t>
      </w:r>
      <w:r>
        <w:t xml:space="preserve"> </w:t>
      </w:r>
      <w:r>
        <w:t xml:space="preserve">– ISO VG 46, supplied in 20‑litre drums.</w:t>
      </w:r>
    </w:p>
    <w:p>
      <w:pPr>
        <w:pStyle w:val="Compact"/>
        <w:numPr>
          <w:ilvl w:val="0"/>
          <w:numId w:val="1004"/>
        </w:numPr>
      </w:pPr>
      <w:r>
        <w:rPr>
          <w:i/>
          <w:iCs/>
        </w:rPr>
        <w:t xml:space="preserve">Pneumatic Control Valves</w:t>
      </w:r>
      <w:r>
        <w:t xml:space="preserve"> </w:t>
      </w:r>
      <w:r>
        <w:t xml:space="preserve">– Directional solenoid valves, 24 V DC.</w:t>
      </w:r>
    </w:p>
    <w:p>
      <w:pPr>
        <w:pStyle w:val="Compact"/>
        <w:numPr>
          <w:ilvl w:val="0"/>
          <w:numId w:val="1004"/>
        </w:numPr>
      </w:pPr>
      <w:r>
        <w:rPr>
          <w:i/>
          <w:iCs/>
        </w:rPr>
        <w:t xml:space="preserve">Delivery and Installation</w:t>
      </w:r>
      <w:r>
        <w:t xml:space="preserve"> </w:t>
      </w:r>
      <w:r>
        <w:t xml:space="preserve">– Transportation and setup at the customer site.</w:t>
      </w:r>
    </w:p>
    <w:bookmarkEnd w:id="23"/>
    <w:bookmarkEnd w:id="24"/>
    <w:bookmarkStart w:id="26" w:name="Xaaa26cfd67e429c78fcfd200ee3b82d23e86172"/>
    <w:p>
      <w:pPr>
        <w:pStyle w:val="Heading2"/>
      </w:pPr>
      <w:r>
        <w:t xml:space="preserve">Invoice HCP‑2025‑0334 – Heritage Consulting Partners → Apex Financial Advisors Ltd</w:t>
      </w:r>
    </w:p>
    <w:p>
      <w:pPr>
        <w:pStyle w:val="FirstParagraph"/>
      </w:pPr>
      <w:r>
        <w:rPr>
          <w:b/>
          <w:bCs/>
        </w:rPr>
        <w:t xml:space="preserve">Invoice‑level information</w:t>
      </w:r>
    </w:p>
    <w:p>
      <w:pPr>
        <w:pStyle w:val="Compact"/>
        <w:numPr>
          <w:ilvl w:val="0"/>
          <w:numId w:val="1005"/>
        </w:numPr>
      </w:pPr>
      <w:r>
        <w:rPr>
          <w:b/>
          <w:bCs/>
        </w:rPr>
        <w:t xml:space="preserve">Issuer name &amp; country:</w:t>
      </w:r>
      <w:r>
        <w:t xml:space="preserve"> </w:t>
      </w:r>
      <w:r>
        <w:t xml:space="preserve">Heritage Consulting Partners, United Kingdom. VAT number</w:t>
      </w:r>
      <w:r>
        <w:t xml:space="preserve"> </w:t>
      </w:r>
      <w:r>
        <w:rPr>
          <w:b/>
          <w:bCs/>
        </w:rPr>
        <w:t xml:space="preserve">GB789012345</w:t>
      </w:r>
      <w:r>
        <w:t xml:space="preserve">.</w:t>
      </w:r>
    </w:p>
    <w:p>
      <w:pPr>
        <w:pStyle w:val="Compact"/>
        <w:numPr>
          <w:ilvl w:val="0"/>
          <w:numId w:val="1005"/>
        </w:numPr>
      </w:pPr>
      <w:r>
        <w:rPr>
          <w:b/>
          <w:bCs/>
        </w:rPr>
        <w:t xml:space="preserve">Invoice number:</w:t>
      </w:r>
      <w:r>
        <w:t xml:space="preserve"> </w:t>
      </w:r>
      <w:r>
        <w:rPr>
          <w:b/>
          <w:bCs/>
        </w:rPr>
        <w:t xml:space="preserve">HCP‑2025‑0334</w:t>
      </w:r>
      <w:r>
        <w:t xml:space="preserve">.</w:t>
      </w:r>
    </w:p>
    <w:p>
      <w:pPr>
        <w:pStyle w:val="Compact"/>
        <w:numPr>
          <w:ilvl w:val="0"/>
          <w:numId w:val="1005"/>
        </w:numPr>
      </w:pPr>
      <w:r>
        <w:rPr>
          <w:b/>
          <w:bCs/>
        </w:rPr>
        <w:t xml:space="preserve">Issue date:</w:t>
      </w:r>
      <w:r>
        <w:t xml:space="preserve"> </w:t>
      </w:r>
      <w:r>
        <w:rPr>
          <w:b/>
          <w:bCs/>
        </w:rPr>
        <w:t xml:space="preserve">2025‑03‑12</w:t>
      </w:r>
      <w:r>
        <w:t xml:space="preserve">.</w:t>
      </w:r>
    </w:p>
    <w:p>
      <w:pPr>
        <w:pStyle w:val="Compact"/>
        <w:numPr>
          <w:ilvl w:val="0"/>
          <w:numId w:val="1005"/>
        </w:numPr>
      </w:pPr>
      <w:r>
        <w:rPr>
          <w:b/>
          <w:bCs/>
        </w:rPr>
        <w:t xml:space="preserve">Due date:</w:t>
      </w:r>
      <w:r>
        <w:t xml:space="preserve"> </w:t>
      </w:r>
      <w:r>
        <w:rPr>
          <w:b/>
          <w:bCs/>
        </w:rPr>
        <w:t xml:space="preserve">2025‑04‑11</w:t>
      </w:r>
      <w:r>
        <w:t xml:space="preserve">.</w:t>
      </w:r>
    </w:p>
    <w:p>
      <w:pPr>
        <w:pStyle w:val="Compact"/>
        <w:numPr>
          <w:ilvl w:val="0"/>
          <w:numId w:val="1005"/>
        </w:numPr>
      </w:pPr>
      <w:r>
        <w:rPr>
          <w:b/>
          <w:bCs/>
        </w:rPr>
        <w:t xml:space="preserve">Customer name:</w:t>
      </w:r>
      <w:r>
        <w:t xml:space="preserve"> </w:t>
      </w:r>
      <w:r>
        <w:t xml:space="preserve">Apex Financial Advisors Ltd.</w:t>
      </w:r>
    </w:p>
    <w:p>
      <w:pPr>
        <w:pStyle w:val="Compact"/>
        <w:numPr>
          <w:ilvl w:val="0"/>
          <w:numId w:val="1005"/>
        </w:numPr>
      </w:pPr>
      <w:r>
        <w:rPr>
          <w:b/>
          <w:bCs/>
        </w:rPr>
        <w:t xml:space="preserve">Currency:</w:t>
      </w:r>
      <w:r>
        <w:t xml:space="preserve"> </w:t>
      </w:r>
      <w:r>
        <w:t xml:space="preserve">GBP.</w:t>
      </w:r>
    </w:p>
    <w:p>
      <w:pPr>
        <w:pStyle w:val="Compact"/>
        <w:numPr>
          <w:ilvl w:val="0"/>
          <w:numId w:val="1005"/>
        </w:numPr>
      </w:pPr>
      <w:r>
        <w:rPr>
          <w:b/>
          <w:bCs/>
        </w:rPr>
        <w:t xml:space="preserve">Issuer IBAN:</w:t>
      </w:r>
      <w:r>
        <w:t xml:space="preserve"> </w:t>
      </w:r>
      <w:r>
        <w:t xml:space="preserve">GB33 COUTGB22 1800 0261 2478 89.</w:t>
      </w:r>
    </w:p>
    <w:p>
      <w:pPr>
        <w:pStyle w:val="Compact"/>
        <w:numPr>
          <w:ilvl w:val="0"/>
          <w:numId w:val="1005"/>
        </w:numPr>
      </w:pPr>
      <w:r>
        <w:rPr>
          <w:b/>
          <w:bCs/>
        </w:rPr>
        <w:t xml:space="preserve">Total amount (incl. VAT):</w:t>
      </w:r>
      <w:r>
        <w:t xml:space="preserve"> </w:t>
      </w:r>
      <w:r>
        <w:t xml:space="preserve">£26,460.00.</w:t>
      </w:r>
    </w:p>
    <w:p>
      <w:pPr>
        <w:pStyle w:val="Compact"/>
        <w:numPr>
          <w:ilvl w:val="0"/>
          <w:numId w:val="1005"/>
        </w:numPr>
      </w:pPr>
      <w:r>
        <w:rPr>
          <w:b/>
          <w:bCs/>
        </w:rPr>
        <w:t xml:space="preserve">Total VAT:</w:t>
      </w:r>
      <w:r>
        <w:t xml:space="preserve"> </w:t>
      </w:r>
      <w:r>
        <w:t xml:space="preserve">£4,410.00.</w:t>
      </w:r>
    </w:p>
    <w:p>
      <w:pPr>
        <w:pStyle w:val="Compact"/>
        <w:numPr>
          <w:ilvl w:val="0"/>
          <w:numId w:val="1005"/>
        </w:numPr>
      </w:pPr>
      <w:r>
        <w:rPr>
          <w:b/>
          <w:bCs/>
        </w:rPr>
        <w:t xml:space="preserve">Reverse charge:</w:t>
      </w:r>
      <w:r>
        <w:t xml:space="preserve"> </w:t>
      </w:r>
      <w:r>
        <w:t xml:space="preserve">No.</w:t>
      </w:r>
    </w:p>
    <w:p>
      <w:pPr>
        <w:pStyle w:val="FirstParagraph"/>
      </w:pPr>
      <w:r>
        <w:t xml:space="preserve">The invoice applies a</w:t>
      </w:r>
      <w:r>
        <w:t xml:space="preserve"> </w:t>
      </w:r>
      <w:r>
        <w:rPr>
          <w:b/>
          <w:bCs/>
        </w:rPr>
        <w:t xml:space="preserve">10 % discount</w:t>
      </w:r>
      <w:r>
        <w:t xml:space="preserve"> </w:t>
      </w:r>
      <w:r>
        <w:t xml:space="preserve">of £2,450.00 to the £24,500.00 subtotal. That discount has been distributed across the items proportionally.</w:t>
      </w:r>
    </w:p>
    <w:bookmarkStart w:id="25" w:name="items-2"/>
    <w:p>
      <w:pPr>
        <w:pStyle w:val="Heading3"/>
      </w:pPr>
      <w:r>
        <w:t xml:space="preserve">Items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w:t>
            </w:r>
          </w:p>
        </w:tc>
        <w:tc>
          <w:tcPr/>
          <w:p>
            <w:pPr>
              <w:pStyle w:val="Compact"/>
            </w:pPr>
            <w:r>
              <w:t xml:space="preserve">Item name</w:t>
            </w:r>
          </w:p>
        </w:tc>
        <w:tc>
          <w:tcPr/>
          <w:p>
            <w:pPr>
              <w:pStyle w:val="Compact"/>
              <w:jc w:val="right"/>
            </w:pPr>
            <w:r>
              <w:t xml:space="preserve">Qty</w:t>
            </w:r>
          </w:p>
        </w:tc>
        <w:tc>
          <w:tcPr/>
          <w:p>
            <w:pPr>
              <w:pStyle w:val="Compact"/>
            </w:pPr>
            <w:r>
              <w:t xml:space="preserve">Unit</w:t>
            </w:r>
          </w:p>
        </w:tc>
        <w:tc>
          <w:tcPr/>
          <w:p>
            <w:pPr>
              <w:pStyle w:val="Compact"/>
              <w:jc w:val="right"/>
            </w:pPr>
            <w:r>
              <w:t xml:space="preserve">Unit price (GBP)</w:t>
            </w:r>
          </w:p>
        </w:tc>
        <w:tc>
          <w:tcPr/>
          <w:p>
            <w:pPr>
              <w:pStyle w:val="Compact"/>
              <w:jc w:val="right"/>
            </w:pPr>
            <w:r>
              <w:t xml:space="preserve">Discount rate</w:t>
            </w:r>
          </w:p>
        </w:tc>
        <w:tc>
          <w:tcPr/>
          <w:p>
            <w:pPr>
              <w:pStyle w:val="Compact"/>
              <w:jc w:val="right"/>
            </w:pPr>
            <w:r>
              <w:t xml:space="preserve">Discount amount (GBP)</w:t>
            </w:r>
          </w:p>
        </w:tc>
        <w:tc>
          <w:tcPr/>
          <w:p>
            <w:pPr>
              <w:pStyle w:val="Compact"/>
              <w:jc w:val="right"/>
            </w:pPr>
            <w:r>
              <w:t xml:space="preserve">Net price (GBP)</w:t>
            </w:r>
          </w:p>
        </w:tc>
        <w:tc>
          <w:tcPr/>
          <w:p>
            <w:pPr>
              <w:pStyle w:val="Compact"/>
              <w:jc w:val="right"/>
            </w:pPr>
            <w:r>
              <w:t xml:space="preserve">Tax rate</w:t>
            </w:r>
          </w:p>
        </w:tc>
        <w:tc>
          <w:tcPr/>
          <w:p>
            <w:pPr>
              <w:pStyle w:val="Compact"/>
              <w:jc w:val="right"/>
            </w:pPr>
            <w:r>
              <w:t xml:space="preserve">Tax amount (GBP)</w:t>
            </w:r>
          </w:p>
        </w:tc>
      </w:tr>
      <w:tr>
        <w:tc>
          <w:tcPr/>
          <w:p>
            <w:pPr>
              <w:pStyle w:val="Compact"/>
            </w:pPr>
            <w:r>
              <w:t xml:space="preserve">1</w:t>
            </w:r>
          </w:p>
        </w:tc>
        <w:tc>
          <w:tcPr/>
          <w:p>
            <w:pPr>
              <w:pStyle w:val="Compact"/>
            </w:pPr>
            <w:r>
              <w:t xml:space="preserve">Management Consulting Services</w:t>
            </w:r>
          </w:p>
        </w:tc>
        <w:tc>
          <w:tcPr/>
          <w:p>
            <w:pPr>
              <w:pStyle w:val="Compact"/>
              <w:jc w:val="right"/>
            </w:pPr>
            <w:r>
              <w:t xml:space="preserve">40</w:t>
            </w:r>
          </w:p>
        </w:tc>
        <w:tc>
          <w:tcPr/>
          <w:p>
            <w:pPr>
              <w:pStyle w:val="Compact"/>
            </w:pPr>
            <w:r>
              <w:t xml:space="preserve">hours</w:t>
            </w:r>
          </w:p>
        </w:tc>
        <w:tc>
          <w:tcPr/>
          <w:p>
            <w:pPr>
              <w:pStyle w:val="Compact"/>
              <w:jc w:val="right"/>
            </w:pPr>
            <w:r>
              <w:t xml:space="preserve">£350.00</w:t>
            </w:r>
          </w:p>
        </w:tc>
        <w:tc>
          <w:tcPr/>
          <w:p>
            <w:pPr>
              <w:pStyle w:val="Compact"/>
              <w:jc w:val="right"/>
            </w:pPr>
            <w:r>
              <w:t xml:space="preserve">10 %</w:t>
            </w:r>
          </w:p>
        </w:tc>
        <w:tc>
          <w:tcPr/>
          <w:p>
            <w:pPr>
              <w:pStyle w:val="Compact"/>
              <w:jc w:val="right"/>
            </w:pPr>
            <w:r>
              <w:t xml:space="preserve">£1,400.00</w:t>
            </w:r>
          </w:p>
        </w:tc>
        <w:tc>
          <w:tcPr/>
          <w:p>
            <w:pPr>
              <w:pStyle w:val="Compact"/>
              <w:jc w:val="right"/>
            </w:pPr>
            <w:r>
              <w:t xml:space="preserve">£12,600.00</w:t>
            </w:r>
          </w:p>
        </w:tc>
        <w:tc>
          <w:tcPr/>
          <w:p>
            <w:pPr>
              <w:pStyle w:val="Compact"/>
              <w:jc w:val="right"/>
            </w:pPr>
            <w:r>
              <w:t xml:space="preserve">20 %</w:t>
            </w:r>
          </w:p>
        </w:tc>
        <w:tc>
          <w:tcPr/>
          <w:p>
            <w:pPr>
              <w:pStyle w:val="Compact"/>
              <w:jc w:val="right"/>
            </w:pPr>
            <w:r>
              <w:t xml:space="preserve">£2,520.00</w:t>
            </w:r>
          </w:p>
        </w:tc>
      </w:tr>
      <w:tr>
        <w:tc>
          <w:tcPr/>
          <w:p>
            <w:pPr>
              <w:pStyle w:val="Compact"/>
            </w:pPr>
            <w:r>
              <w:t xml:space="preserve">2</w:t>
            </w:r>
          </w:p>
        </w:tc>
        <w:tc>
          <w:tcPr/>
          <w:p>
            <w:pPr>
              <w:pStyle w:val="Compact"/>
            </w:pPr>
            <w:r>
              <w:t xml:space="preserve">Change Management Workshop</w:t>
            </w:r>
          </w:p>
        </w:tc>
        <w:tc>
          <w:tcPr/>
          <w:p>
            <w:pPr>
              <w:pStyle w:val="Compact"/>
              <w:jc w:val="right"/>
            </w:pPr>
            <w:r>
              <w:t xml:space="preserve">1</w:t>
            </w:r>
          </w:p>
        </w:tc>
        <w:tc>
          <w:tcPr/>
          <w:p>
            <w:pPr>
              <w:pStyle w:val="Compact"/>
            </w:pPr>
            <w:r>
              <w:t xml:space="preserve">event</w:t>
            </w:r>
          </w:p>
        </w:tc>
        <w:tc>
          <w:tcPr/>
          <w:p>
            <w:pPr>
              <w:pStyle w:val="Compact"/>
              <w:jc w:val="right"/>
            </w:pPr>
            <w:r>
              <w:t xml:space="preserve">£4,500.00</w:t>
            </w:r>
          </w:p>
        </w:tc>
        <w:tc>
          <w:tcPr/>
          <w:p>
            <w:pPr>
              <w:pStyle w:val="Compact"/>
              <w:jc w:val="right"/>
            </w:pPr>
            <w:r>
              <w:t xml:space="preserve">10 %</w:t>
            </w:r>
          </w:p>
        </w:tc>
        <w:tc>
          <w:tcPr/>
          <w:p>
            <w:pPr>
              <w:pStyle w:val="Compact"/>
              <w:jc w:val="right"/>
            </w:pPr>
            <w:r>
              <w:t xml:space="preserve">£450.00</w:t>
            </w:r>
          </w:p>
        </w:tc>
        <w:tc>
          <w:tcPr/>
          <w:p>
            <w:pPr>
              <w:pStyle w:val="Compact"/>
              <w:jc w:val="right"/>
            </w:pPr>
            <w:r>
              <w:t xml:space="preserve">£4,050.00</w:t>
            </w:r>
          </w:p>
        </w:tc>
        <w:tc>
          <w:tcPr/>
          <w:p>
            <w:pPr>
              <w:pStyle w:val="Compact"/>
              <w:jc w:val="right"/>
            </w:pPr>
            <w:r>
              <w:t xml:space="preserve">20 %</w:t>
            </w:r>
          </w:p>
        </w:tc>
        <w:tc>
          <w:tcPr/>
          <w:p>
            <w:pPr>
              <w:pStyle w:val="Compact"/>
              <w:jc w:val="right"/>
            </w:pPr>
            <w:r>
              <w:t xml:space="preserve">£810.00</w:t>
            </w:r>
          </w:p>
        </w:tc>
      </w:tr>
      <w:tr>
        <w:tc>
          <w:tcPr/>
          <w:p>
            <w:pPr>
              <w:pStyle w:val="Compact"/>
            </w:pPr>
            <w:r>
              <w:t xml:space="preserve">3</w:t>
            </w:r>
          </w:p>
        </w:tc>
        <w:tc>
          <w:tcPr/>
          <w:p>
            <w:pPr>
              <w:pStyle w:val="Compact"/>
            </w:pPr>
            <w:r>
              <w:t xml:space="preserve">Post‑Implementation Review</w:t>
            </w:r>
          </w:p>
        </w:tc>
        <w:tc>
          <w:tcPr/>
          <w:p>
            <w:pPr>
              <w:pStyle w:val="Compact"/>
              <w:jc w:val="right"/>
            </w:pPr>
            <w:r>
              <w:t xml:space="preserve">3</w:t>
            </w:r>
          </w:p>
        </w:tc>
        <w:tc>
          <w:tcPr/>
          <w:p>
            <w:pPr>
              <w:pStyle w:val="Compact"/>
            </w:pPr>
            <w:r>
              <w:t xml:space="preserve">months</w:t>
            </w:r>
          </w:p>
        </w:tc>
        <w:tc>
          <w:tcPr/>
          <w:p>
            <w:pPr>
              <w:pStyle w:val="Compact"/>
              <w:jc w:val="right"/>
            </w:pPr>
            <w:r>
              <w:t xml:space="preserve">£2,000.00</w:t>
            </w:r>
          </w:p>
        </w:tc>
        <w:tc>
          <w:tcPr/>
          <w:p>
            <w:pPr>
              <w:pStyle w:val="Compact"/>
              <w:jc w:val="right"/>
            </w:pPr>
            <w:r>
              <w:t xml:space="preserve">10 %</w:t>
            </w:r>
          </w:p>
        </w:tc>
        <w:tc>
          <w:tcPr/>
          <w:p>
            <w:pPr>
              <w:pStyle w:val="Compact"/>
              <w:jc w:val="right"/>
            </w:pPr>
            <w:r>
              <w:t xml:space="preserve">£600.00</w:t>
            </w:r>
          </w:p>
        </w:tc>
        <w:tc>
          <w:tcPr/>
          <w:p>
            <w:pPr>
              <w:pStyle w:val="Compact"/>
              <w:jc w:val="right"/>
            </w:pPr>
            <w:r>
              <w:t xml:space="preserve">£5,400.00</w:t>
            </w:r>
          </w:p>
        </w:tc>
        <w:tc>
          <w:tcPr/>
          <w:p>
            <w:pPr>
              <w:pStyle w:val="Compact"/>
              <w:jc w:val="right"/>
            </w:pPr>
            <w:r>
              <w:t xml:space="preserve">20 %</w:t>
            </w:r>
          </w:p>
        </w:tc>
        <w:tc>
          <w:tcPr/>
          <w:p>
            <w:pPr>
              <w:pStyle w:val="Compact"/>
              <w:jc w:val="right"/>
            </w:pPr>
            <w:r>
              <w:t xml:space="preserve">£1,080.00</w:t>
            </w:r>
          </w:p>
        </w:tc>
      </w:tr>
    </w:tbl>
    <w:p>
      <w:pPr>
        <w:pStyle w:val="BodyText"/>
      </w:pPr>
      <w:r>
        <w:rPr>
          <w:b/>
          <w:bCs/>
        </w:rPr>
        <w:t xml:space="preserve">Item descriptions:</w:t>
      </w:r>
    </w:p>
    <w:p>
      <w:pPr>
        <w:pStyle w:val="Compact"/>
        <w:numPr>
          <w:ilvl w:val="0"/>
          <w:numId w:val="1006"/>
        </w:numPr>
      </w:pPr>
      <w:r>
        <w:rPr>
          <w:i/>
          <w:iCs/>
        </w:rPr>
        <w:t xml:space="preserve">Management Consulting Services</w:t>
      </w:r>
      <w:r>
        <w:t xml:space="preserve"> </w:t>
      </w:r>
      <w:r>
        <w:t xml:space="preserve">– Business‑process improvement and strategy development.</w:t>
      </w:r>
    </w:p>
    <w:p>
      <w:pPr>
        <w:pStyle w:val="Compact"/>
        <w:numPr>
          <w:ilvl w:val="0"/>
          <w:numId w:val="1006"/>
        </w:numPr>
      </w:pPr>
      <w:r>
        <w:rPr>
          <w:i/>
          <w:iCs/>
        </w:rPr>
        <w:t xml:space="preserve">Change Management Workshop</w:t>
      </w:r>
      <w:r>
        <w:t xml:space="preserve"> </w:t>
      </w:r>
      <w:r>
        <w:t xml:space="preserve">– Training session for 25 participants over two days.</w:t>
      </w:r>
    </w:p>
    <w:p>
      <w:pPr>
        <w:pStyle w:val="Compact"/>
        <w:numPr>
          <w:ilvl w:val="0"/>
          <w:numId w:val="1006"/>
        </w:numPr>
      </w:pPr>
      <w:r>
        <w:rPr>
          <w:i/>
          <w:iCs/>
        </w:rPr>
        <w:t xml:space="preserve">Post‑Implementation Review</w:t>
      </w:r>
      <w:r>
        <w:t xml:space="preserve"> </w:t>
      </w:r>
      <w:r>
        <w:t xml:space="preserve">– Three‑month engagement providing ongoing support.</w:t>
      </w:r>
    </w:p>
    <w:bookmarkEnd w:id="25"/>
    <w:bookmarkEnd w:id="26"/>
    <w:bookmarkStart w:id="28" w:name="Xf90ae6484d120f3cae8a556d6c23cc1db2a70b7"/>
    <w:p>
      <w:pPr>
        <w:pStyle w:val="Heading2"/>
      </w:pPr>
      <w:r>
        <w:t xml:space="preserve">Invoice GLA‑2025‑2156 – GreenLeaf Agriculture Ltd → Cotswolds Farm Management Ltd</w:t>
      </w:r>
    </w:p>
    <w:p>
      <w:pPr>
        <w:pStyle w:val="FirstParagraph"/>
      </w:pPr>
      <w:r>
        <w:rPr>
          <w:b/>
          <w:bCs/>
        </w:rPr>
        <w:t xml:space="preserve">Invoice‑level information</w:t>
      </w:r>
    </w:p>
    <w:p>
      <w:pPr>
        <w:pStyle w:val="Compact"/>
        <w:numPr>
          <w:ilvl w:val="0"/>
          <w:numId w:val="1007"/>
        </w:numPr>
      </w:pPr>
      <w:r>
        <w:rPr>
          <w:b/>
          <w:bCs/>
        </w:rPr>
        <w:t xml:space="preserve">Issuer name &amp; country:</w:t>
      </w:r>
      <w:r>
        <w:t xml:space="preserve"> </w:t>
      </w:r>
      <w:r>
        <w:t xml:space="preserve">GreenLeaf Agriculture Ltd, United Kingdom. VAT number</w:t>
      </w:r>
      <w:r>
        <w:t xml:space="preserve"> </w:t>
      </w:r>
      <w:r>
        <w:rPr>
          <w:b/>
          <w:bCs/>
        </w:rPr>
        <w:t xml:space="preserve">GB567890123</w:t>
      </w:r>
      <w:r>
        <w:t xml:space="preserve">.</w:t>
      </w:r>
    </w:p>
    <w:p>
      <w:pPr>
        <w:pStyle w:val="Compact"/>
        <w:numPr>
          <w:ilvl w:val="0"/>
          <w:numId w:val="1007"/>
        </w:numPr>
      </w:pPr>
      <w:r>
        <w:rPr>
          <w:b/>
          <w:bCs/>
        </w:rPr>
        <w:t xml:space="preserve">Invoice number:</w:t>
      </w:r>
      <w:r>
        <w:t xml:space="preserve"> </w:t>
      </w:r>
      <w:r>
        <w:rPr>
          <w:b/>
          <w:bCs/>
        </w:rPr>
        <w:t xml:space="preserve">GLA‑2025‑2156</w:t>
      </w:r>
      <w:r>
        <w:t xml:space="preserve">.</w:t>
      </w:r>
    </w:p>
    <w:p>
      <w:pPr>
        <w:pStyle w:val="Compact"/>
        <w:numPr>
          <w:ilvl w:val="0"/>
          <w:numId w:val="1007"/>
        </w:numPr>
      </w:pPr>
      <w:r>
        <w:rPr>
          <w:b/>
          <w:bCs/>
        </w:rPr>
        <w:t xml:space="preserve">Issue date:</w:t>
      </w:r>
      <w:r>
        <w:t xml:space="preserve"> </w:t>
      </w:r>
      <w:r>
        <w:rPr>
          <w:b/>
          <w:bCs/>
        </w:rPr>
        <w:t xml:space="preserve">2025‑03‑20</w:t>
      </w:r>
      <w:r>
        <w:t xml:space="preserve">.</w:t>
      </w:r>
    </w:p>
    <w:p>
      <w:pPr>
        <w:pStyle w:val="Compact"/>
        <w:numPr>
          <w:ilvl w:val="0"/>
          <w:numId w:val="1007"/>
        </w:numPr>
      </w:pPr>
      <w:r>
        <w:rPr>
          <w:b/>
          <w:bCs/>
        </w:rPr>
        <w:t xml:space="preserve">Due date:</w:t>
      </w:r>
      <w:r>
        <w:t xml:space="preserve"> </w:t>
      </w:r>
      <w:r>
        <w:rPr>
          <w:b/>
          <w:bCs/>
        </w:rPr>
        <w:t xml:space="preserve">2025‑04‑19</w:t>
      </w:r>
      <w:r>
        <w:t xml:space="preserve">.</w:t>
      </w:r>
    </w:p>
    <w:p>
      <w:pPr>
        <w:pStyle w:val="Compact"/>
        <w:numPr>
          <w:ilvl w:val="0"/>
          <w:numId w:val="1007"/>
        </w:numPr>
      </w:pPr>
      <w:r>
        <w:rPr>
          <w:b/>
          <w:bCs/>
        </w:rPr>
        <w:t xml:space="preserve">Customer name:</w:t>
      </w:r>
      <w:r>
        <w:t xml:space="preserve"> </w:t>
      </w:r>
      <w:r>
        <w:t xml:space="preserve">Cotswolds Farm Management Ltd.</w:t>
      </w:r>
    </w:p>
    <w:p>
      <w:pPr>
        <w:pStyle w:val="Compact"/>
        <w:numPr>
          <w:ilvl w:val="0"/>
          <w:numId w:val="1007"/>
        </w:numPr>
      </w:pPr>
      <w:r>
        <w:rPr>
          <w:b/>
          <w:bCs/>
        </w:rPr>
        <w:t xml:space="preserve">Currency:</w:t>
      </w:r>
      <w:r>
        <w:t xml:space="preserve"> </w:t>
      </w:r>
      <w:r>
        <w:t xml:space="preserve">GBP.</w:t>
      </w:r>
    </w:p>
    <w:p>
      <w:pPr>
        <w:pStyle w:val="Compact"/>
        <w:numPr>
          <w:ilvl w:val="0"/>
          <w:numId w:val="1007"/>
        </w:numPr>
      </w:pPr>
      <w:r>
        <w:rPr>
          <w:b/>
          <w:bCs/>
        </w:rPr>
        <w:t xml:space="preserve">Issuer IBAN:</w:t>
      </w:r>
      <w:r>
        <w:t xml:space="preserve"> </w:t>
      </w:r>
      <w:r>
        <w:t xml:space="preserve">GB23 BARCS 2028 4747 3829 10.</w:t>
      </w:r>
    </w:p>
    <w:p>
      <w:pPr>
        <w:pStyle w:val="Compact"/>
        <w:numPr>
          <w:ilvl w:val="0"/>
          <w:numId w:val="1007"/>
        </w:numPr>
      </w:pPr>
      <w:r>
        <w:rPr>
          <w:b/>
          <w:bCs/>
        </w:rPr>
        <w:t xml:space="preserve">Total amount (incl. VAT):</w:t>
      </w:r>
      <w:r>
        <w:t xml:space="preserve"> </w:t>
      </w:r>
      <w:r>
        <w:t xml:space="preserve">£2,275.20.</w:t>
      </w:r>
    </w:p>
    <w:p>
      <w:pPr>
        <w:pStyle w:val="Compact"/>
        <w:numPr>
          <w:ilvl w:val="0"/>
          <w:numId w:val="1007"/>
        </w:numPr>
      </w:pPr>
      <w:r>
        <w:rPr>
          <w:b/>
          <w:bCs/>
        </w:rPr>
        <w:t xml:space="preserve">Total VAT:</w:t>
      </w:r>
      <w:r>
        <w:t xml:space="preserve"> </w:t>
      </w:r>
      <w:r>
        <w:t xml:space="preserve">£379.20.</w:t>
      </w:r>
    </w:p>
    <w:p>
      <w:pPr>
        <w:pStyle w:val="Compact"/>
        <w:numPr>
          <w:ilvl w:val="0"/>
          <w:numId w:val="1007"/>
        </w:numPr>
      </w:pPr>
      <w:r>
        <w:rPr>
          <w:b/>
          <w:bCs/>
        </w:rPr>
        <w:t xml:space="preserve">Reverse charge:</w:t>
      </w:r>
      <w:r>
        <w:t xml:space="preserve"> </w:t>
      </w:r>
      <w:r>
        <w:t xml:space="preserve">No.</w:t>
      </w:r>
    </w:p>
    <w:p>
      <w:pPr>
        <w:pStyle w:val="FirstParagraph"/>
      </w:pPr>
      <w:r>
        <w:t xml:space="preserve">The invoice displays a</w:t>
      </w:r>
      <w:r>
        <w:t xml:space="preserve"> </w:t>
      </w:r>
      <w:r>
        <w:rPr>
          <w:b/>
          <w:bCs/>
        </w:rPr>
        <w:t xml:space="preserve">15 % discount</w:t>
      </w:r>
      <w:r>
        <w:t xml:space="preserve"> </w:t>
      </w:r>
      <w:r>
        <w:t xml:space="preserve">of £432.00 applied to the £2,328.00 subtotal. The discount was allocated proportionally across the three items.</w:t>
      </w:r>
    </w:p>
    <w:bookmarkStart w:id="27" w:name="items-3"/>
    <w:p>
      <w:pPr>
        <w:pStyle w:val="Heading3"/>
      </w:pPr>
      <w:r>
        <w:t xml:space="preserve">Items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w:t>
            </w:r>
          </w:p>
        </w:tc>
        <w:tc>
          <w:tcPr/>
          <w:p>
            <w:pPr>
              <w:pStyle w:val="Compact"/>
            </w:pPr>
            <w:r>
              <w:t xml:space="preserve">Item name</w:t>
            </w:r>
          </w:p>
        </w:tc>
        <w:tc>
          <w:tcPr/>
          <w:p>
            <w:pPr>
              <w:pStyle w:val="Compact"/>
              <w:jc w:val="right"/>
            </w:pPr>
            <w:r>
              <w:t xml:space="preserve">Qty</w:t>
            </w:r>
          </w:p>
        </w:tc>
        <w:tc>
          <w:tcPr/>
          <w:p>
            <w:pPr>
              <w:pStyle w:val="Compact"/>
            </w:pPr>
            <w:r>
              <w:t xml:space="preserve">Unit</w:t>
            </w:r>
          </w:p>
        </w:tc>
        <w:tc>
          <w:tcPr/>
          <w:p>
            <w:pPr>
              <w:pStyle w:val="Compact"/>
              <w:jc w:val="right"/>
            </w:pPr>
            <w:r>
              <w:t xml:space="preserve">Unit price (GBP)</w:t>
            </w:r>
          </w:p>
        </w:tc>
        <w:tc>
          <w:tcPr/>
          <w:p>
            <w:pPr>
              <w:pStyle w:val="Compact"/>
              <w:jc w:val="right"/>
            </w:pPr>
            <w:r>
              <w:t xml:space="preserve">Discount rate</w:t>
            </w:r>
          </w:p>
        </w:tc>
        <w:tc>
          <w:tcPr/>
          <w:p>
            <w:pPr>
              <w:pStyle w:val="Compact"/>
              <w:jc w:val="right"/>
            </w:pPr>
            <w:r>
              <w:t xml:space="preserve">Discount amount (GBP)</w:t>
            </w:r>
          </w:p>
        </w:tc>
        <w:tc>
          <w:tcPr/>
          <w:p>
            <w:pPr>
              <w:pStyle w:val="Compact"/>
              <w:jc w:val="right"/>
            </w:pPr>
            <w:r>
              <w:t xml:space="preserve">Net price (GBP)</w:t>
            </w:r>
          </w:p>
        </w:tc>
        <w:tc>
          <w:tcPr/>
          <w:p>
            <w:pPr>
              <w:pStyle w:val="Compact"/>
              <w:jc w:val="right"/>
            </w:pPr>
            <w:r>
              <w:t xml:space="preserve">Tax rate</w:t>
            </w:r>
          </w:p>
        </w:tc>
        <w:tc>
          <w:tcPr/>
          <w:p>
            <w:pPr>
              <w:pStyle w:val="Compact"/>
              <w:jc w:val="right"/>
            </w:pPr>
            <w:r>
              <w:t xml:space="preserve">Tax amount (GBP)</w:t>
            </w:r>
          </w:p>
        </w:tc>
      </w:tr>
      <w:tr>
        <w:tc>
          <w:tcPr/>
          <w:p>
            <w:pPr>
              <w:pStyle w:val="Compact"/>
            </w:pPr>
            <w:r>
              <w:t xml:space="preserve">1</w:t>
            </w:r>
          </w:p>
        </w:tc>
        <w:tc>
          <w:tcPr/>
          <w:p>
            <w:pPr>
              <w:pStyle w:val="Compact"/>
            </w:pPr>
            <w:r>
              <w:t xml:space="preserve">Organic Fertilizer – NPK 5‑10‑5</w:t>
            </w:r>
          </w:p>
        </w:tc>
        <w:tc>
          <w:tcPr/>
          <w:p>
            <w:pPr>
              <w:pStyle w:val="Compact"/>
              <w:jc w:val="right"/>
            </w:pPr>
            <w:r>
              <w:t xml:space="preserve">80</w:t>
            </w:r>
          </w:p>
        </w:tc>
        <w:tc>
          <w:tcPr/>
          <w:p>
            <w:pPr>
              <w:pStyle w:val="Compact"/>
            </w:pPr>
            <w:r>
              <w:t xml:space="preserve">bags</w:t>
            </w:r>
          </w:p>
        </w:tc>
        <w:tc>
          <w:tcPr/>
          <w:p>
            <w:pPr>
              <w:pStyle w:val="Compact"/>
              <w:jc w:val="right"/>
            </w:pPr>
            <w:r>
              <w:t xml:space="preserve">£22.50</w:t>
            </w:r>
          </w:p>
        </w:tc>
        <w:tc>
          <w:tcPr/>
          <w:p>
            <w:pPr>
              <w:pStyle w:val="Compact"/>
              <w:jc w:val="right"/>
            </w:pPr>
            <w:r>
              <w:t xml:space="preserve">15 %</w:t>
            </w:r>
          </w:p>
        </w:tc>
        <w:tc>
          <w:tcPr/>
          <w:p>
            <w:pPr>
              <w:pStyle w:val="Compact"/>
              <w:jc w:val="right"/>
            </w:pPr>
            <w:r>
              <w:t xml:space="preserve">£334.02</w:t>
            </w:r>
          </w:p>
        </w:tc>
        <w:tc>
          <w:tcPr/>
          <w:p>
            <w:pPr>
              <w:pStyle w:val="Compact"/>
              <w:jc w:val="right"/>
            </w:pPr>
            <w:r>
              <w:t xml:space="preserve">£1,465.98</w:t>
            </w:r>
          </w:p>
        </w:tc>
        <w:tc>
          <w:tcPr/>
          <w:p>
            <w:pPr>
              <w:pStyle w:val="Compact"/>
              <w:jc w:val="right"/>
            </w:pPr>
            <w:r>
              <w:t xml:space="preserve">20 %</w:t>
            </w:r>
          </w:p>
        </w:tc>
        <w:tc>
          <w:tcPr/>
          <w:p>
            <w:pPr>
              <w:pStyle w:val="Compact"/>
              <w:jc w:val="right"/>
            </w:pPr>
            <w:r>
              <w:t xml:space="preserve">£293.20</w:t>
            </w:r>
          </w:p>
        </w:tc>
      </w:tr>
      <w:tr>
        <w:tc>
          <w:tcPr/>
          <w:p>
            <w:pPr>
              <w:pStyle w:val="Compact"/>
            </w:pPr>
            <w:r>
              <w:t xml:space="preserve">2</w:t>
            </w:r>
          </w:p>
        </w:tc>
        <w:tc>
          <w:tcPr/>
          <w:p>
            <w:pPr>
              <w:pStyle w:val="Compact"/>
            </w:pPr>
            <w:r>
              <w:t xml:space="preserve">Pest Control Solution – Neem Oil</w:t>
            </w:r>
          </w:p>
        </w:tc>
        <w:tc>
          <w:tcPr/>
          <w:p>
            <w:pPr>
              <w:pStyle w:val="Compact"/>
              <w:jc w:val="right"/>
            </w:pPr>
            <w:r>
              <w:t xml:space="preserve">6</w:t>
            </w:r>
          </w:p>
        </w:tc>
        <w:tc>
          <w:tcPr/>
          <w:p>
            <w:pPr>
              <w:pStyle w:val="Compact"/>
            </w:pPr>
            <w:r>
              <w:t xml:space="preserve">containers</w:t>
            </w:r>
          </w:p>
        </w:tc>
        <w:tc>
          <w:tcPr/>
          <w:p>
            <w:pPr>
              <w:pStyle w:val="Compact"/>
              <w:jc w:val="right"/>
            </w:pPr>
            <w:r>
              <w:t xml:space="preserve">£38.00</w:t>
            </w:r>
          </w:p>
        </w:tc>
        <w:tc>
          <w:tcPr/>
          <w:p>
            <w:pPr>
              <w:pStyle w:val="Compact"/>
              <w:jc w:val="right"/>
            </w:pPr>
            <w:r>
              <w:t xml:space="preserve">15 %</w:t>
            </w:r>
          </w:p>
        </w:tc>
        <w:tc>
          <w:tcPr/>
          <w:p>
            <w:pPr>
              <w:pStyle w:val="Compact"/>
              <w:jc w:val="right"/>
            </w:pPr>
            <w:r>
              <w:t xml:space="preserve">£42.31</w:t>
            </w:r>
          </w:p>
        </w:tc>
        <w:tc>
          <w:tcPr/>
          <w:p>
            <w:pPr>
              <w:pStyle w:val="Compact"/>
              <w:jc w:val="right"/>
            </w:pPr>
            <w:r>
              <w:t xml:space="preserve">£185.69</w:t>
            </w:r>
          </w:p>
        </w:tc>
        <w:tc>
          <w:tcPr/>
          <w:p>
            <w:pPr>
              <w:pStyle w:val="Compact"/>
              <w:jc w:val="right"/>
            </w:pPr>
            <w:r>
              <w:t xml:space="preserve">20 %</w:t>
            </w:r>
          </w:p>
        </w:tc>
        <w:tc>
          <w:tcPr/>
          <w:p>
            <w:pPr>
              <w:pStyle w:val="Compact"/>
              <w:jc w:val="right"/>
            </w:pPr>
            <w:r>
              <w:t xml:space="preserve">£37.14</w:t>
            </w:r>
          </w:p>
        </w:tc>
      </w:tr>
      <w:tr>
        <w:tc>
          <w:tcPr/>
          <w:p>
            <w:pPr>
              <w:pStyle w:val="Compact"/>
            </w:pPr>
            <w:r>
              <w:t xml:space="preserve">3</w:t>
            </w:r>
          </w:p>
        </w:tc>
        <w:tc>
          <w:tcPr/>
          <w:p>
            <w:pPr>
              <w:pStyle w:val="Compact"/>
            </w:pPr>
            <w:r>
              <w:t xml:space="preserve">Farm Equipment Rental</w:t>
            </w:r>
          </w:p>
        </w:tc>
        <w:tc>
          <w:tcPr/>
          <w:p>
            <w:pPr>
              <w:pStyle w:val="Compact"/>
              <w:jc w:val="right"/>
            </w:pPr>
            <w:r>
              <w:t xml:space="preserve">4</w:t>
            </w:r>
          </w:p>
        </w:tc>
        <w:tc>
          <w:tcPr/>
          <w:p>
            <w:pPr>
              <w:pStyle w:val="Compact"/>
            </w:pPr>
            <w:r>
              <w:t xml:space="preserve">weeks</w:t>
            </w:r>
          </w:p>
        </w:tc>
        <w:tc>
          <w:tcPr/>
          <w:p>
            <w:pPr>
              <w:pStyle w:val="Compact"/>
              <w:jc w:val="right"/>
            </w:pPr>
            <w:r>
              <w:t xml:space="preserve">£75.00</w:t>
            </w:r>
          </w:p>
        </w:tc>
        <w:tc>
          <w:tcPr/>
          <w:p>
            <w:pPr>
              <w:pStyle w:val="Compact"/>
              <w:jc w:val="right"/>
            </w:pPr>
            <w:r>
              <w:t xml:space="preserve">15 %</w:t>
            </w:r>
          </w:p>
        </w:tc>
        <w:tc>
          <w:tcPr/>
          <w:p>
            <w:pPr>
              <w:pStyle w:val="Compact"/>
              <w:jc w:val="right"/>
            </w:pPr>
            <w:r>
              <w:t xml:space="preserve">£55.67</w:t>
            </w:r>
          </w:p>
        </w:tc>
        <w:tc>
          <w:tcPr/>
          <w:p>
            <w:pPr>
              <w:pStyle w:val="Compact"/>
              <w:jc w:val="right"/>
            </w:pPr>
            <w:r>
              <w:t xml:space="preserve">£244.33</w:t>
            </w:r>
          </w:p>
        </w:tc>
        <w:tc>
          <w:tcPr/>
          <w:p>
            <w:pPr>
              <w:pStyle w:val="Compact"/>
              <w:jc w:val="right"/>
            </w:pPr>
            <w:r>
              <w:t xml:space="preserve">20 %</w:t>
            </w:r>
          </w:p>
        </w:tc>
        <w:tc>
          <w:tcPr/>
          <w:p>
            <w:pPr>
              <w:pStyle w:val="Compact"/>
              <w:jc w:val="right"/>
            </w:pPr>
            <w:r>
              <w:t xml:space="preserve">£48.86</w:t>
            </w:r>
          </w:p>
        </w:tc>
      </w:tr>
    </w:tbl>
    <w:p>
      <w:pPr>
        <w:pStyle w:val="BodyText"/>
      </w:pPr>
      <w:r>
        <w:rPr>
          <w:b/>
          <w:bCs/>
        </w:rPr>
        <w:t xml:space="preserve">Item descriptions:</w:t>
      </w:r>
    </w:p>
    <w:p>
      <w:pPr>
        <w:pStyle w:val="Compact"/>
        <w:numPr>
          <w:ilvl w:val="0"/>
          <w:numId w:val="1008"/>
        </w:numPr>
      </w:pPr>
      <w:r>
        <w:rPr>
          <w:i/>
          <w:iCs/>
        </w:rPr>
        <w:t xml:space="preserve">Organic Fertilizer – NPK 5‑10‑5</w:t>
      </w:r>
      <w:r>
        <w:t xml:space="preserve"> </w:t>
      </w:r>
      <w:r>
        <w:t xml:space="preserve">– Granular fertilizer supplied in 50 kg bags.</w:t>
      </w:r>
    </w:p>
    <w:p>
      <w:pPr>
        <w:pStyle w:val="Compact"/>
        <w:numPr>
          <w:ilvl w:val="0"/>
          <w:numId w:val="1008"/>
        </w:numPr>
      </w:pPr>
      <w:r>
        <w:rPr>
          <w:i/>
          <w:iCs/>
        </w:rPr>
        <w:t xml:space="preserve">Pest Control Solution – Neem Oil</w:t>
      </w:r>
      <w:r>
        <w:t xml:space="preserve"> </w:t>
      </w:r>
      <w:r>
        <w:t xml:space="preserve">– Concentrated neem‑oil spray, 5‑litre containers.</w:t>
      </w:r>
    </w:p>
    <w:p>
      <w:pPr>
        <w:pStyle w:val="Compact"/>
        <w:numPr>
          <w:ilvl w:val="0"/>
          <w:numId w:val="1008"/>
        </w:numPr>
      </w:pPr>
      <w:r>
        <w:rPr>
          <w:i/>
          <w:iCs/>
        </w:rPr>
        <w:t xml:space="preserve">Farm Equipment Rental</w:t>
      </w:r>
      <w:r>
        <w:t xml:space="preserve"> </w:t>
      </w:r>
      <w:r>
        <w:t xml:space="preserve">– Soil pH testing kit rented weekly.</w:t>
      </w:r>
    </w:p>
    <w:bookmarkEnd w:id="27"/>
    <w:bookmarkEnd w:id="28"/>
    <w:bookmarkStart w:id="30" w:name="X87effd39406dee17d20a8a891c867c33ee23741"/>
    <w:p>
      <w:pPr>
        <w:pStyle w:val="Heading2"/>
      </w:pPr>
      <w:r>
        <w:t xml:space="preserve">Invoice TNE‑2025‑5423 – Technovate Electronics Ltd → ElectroWorks Distribution</w:t>
      </w:r>
    </w:p>
    <w:p>
      <w:pPr>
        <w:pStyle w:val="FirstParagraph"/>
      </w:pPr>
      <w:r>
        <w:rPr>
          <w:b/>
          <w:bCs/>
        </w:rPr>
        <w:t xml:space="preserve">Invoice‑level information</w:t>
      </w:r>
    </w:p>
    <w:p>
      <w:pPr>
        <w:pStyle w:val="Compact"/>
        <w:numPr>
          <w:ilvl w:val="0"/>
          <w:numId w:val="1009"/>
        </w:numPr>
      </w:pPr>
      <w:r>
        <w:rPr>
          <w:b/>
          <w:bCs/>
        </w:rPr>
        <w:t xml:space="preserve">Issuer name &amp; country:</w:t>
      </w:r>
      <w:r>
        <w:t xml:space="preserve"> </w:t>
      </w:r>
      <w:r>
        <w:t xml:space="preserve">Technovate Electronics Ltd, United Kingdom. VAT number</w:t>
      </w:r>
      <w:r>
        <w:t xml:space="preserve"> </w:t>
      </w:r>
      <w:r>
        <w:rPr>
          <w:b/>
          <w:bCs/>
        </w:rPr>
        <w:t xml:space="preserve">GB012345678</w:t>
      </w:r>
      <w:r>
        <w:t xml:space="preserve">.</w:t>
      </w:r>
    </w:p>
    <w:p>
      <w:pPr>
        <w:pStyle w:val="Compact"/>
        <w:numPr>
          <w:ilvl w:val="0"/>
          <w:numId w:val="1009"/>
        </w:numPr>
      </w:pPr>
      <w:r>
        <w:rPr>
          <w:b/>
          <w:bCs/>
        </w:rPr>
        <w:t xml:space="preserve">Invoice number:</w:t>
      </w:r>
      <w:r>
        <w:t xml:space="preserve"> </w:t>
      </w:r>
      <w:r>
        <w:rPr>
          <w:b/>
          <w:bCs/>
        </w:rPr>
        <w:t xml:space="preserve">TNE‑2025‑5423</w:t>
      </w:r>
      <w:r>
        <w:t xml:space="preserve">.</w:t>
      </w:r>
    </w:p>
    <w:p>
      <w:pPr>
        <w:pStyle w:val="Compact"/>
        <w:numPr>
          <w:ilvl w:val="0"/>
          <w:numId w:val="1009"/>
        </w:numPr>
      </w:pPr>
      <w:r>
        <w:rPr>
          <w:b/>
          <w:bCs/>
        </w:rPr>
        <w:t xml:space="preserve">Issue date:</w:t>
      </w:r>
      <w:r>
        <w:t xml:space="preserve"> </w:t>
      </w:r>
      <w:r>
        <w:rPr>
          <w:b/>
          <w:bCs/>
        </w:rPr>
        <w:t xml:space="preserve">2025‑03‑28</w:t>
      </w:r>
      <w:r>
        <w:t xml:space="preserve">.</w:t>
      </w:r>
    </w:p>
    <w:p>
      <w:pPr>
        <w:pStyle w:val="Compact"/>
        <w:numPr>
          <w:ilvl w:val="0"/>
          <w:numId w:val="1009"/>
        </w:numPr>
      </w:pPr>
      <w:r>
        <w:rPr>
          <w:b/>
          <w:bCs/>
        </w:rPr>
        <w:t xml:space="preserve">Due date:</w:t>
      </w:r>
      <w:r>
        <w:t xml:space="preserve"> </w:t>
      </w:r>
      <w:r>
        <w:rPr>
          <w:b/>
          <w:bCs/>
        </w:rPr>
        <w:t xml:space="preserve">2025‑04‑27</w:t>
      </w:r>
      <w:r>
        <w:t xml:space="preserve">.</w:t>
      </w:r>
    </w:p>
    <w:p>
      <w:pPr>
        <w:pStyle w:val="Compact"/>
        <w:numPr>
          <w:ilvl w:val="0"/>
          <w:numId w:val="1009"/>
        </w:numPr>
      </w:pPr>
      <w:r>
        <w:rPr>
          <w:b/>
          <w:bCs/>
        </w:rPr>
        <w:t xml:space="preserve">Customer name:</w:t>
      </w:r>
      <w:r>
        <w:t xml:space="preserve"> </w:t>
      </w:r>
      <w:r>
        <w:t xml:space="preserve">ElectroWorks Distribution.</w:t>
      </w:r>
    </w:p>
    <w:p>
      <w:pPr>
        <w:pStyle w:val="Compact"/>
        <w:numPr>
          <w:ilvl w:val="0"/>
          <w:numId w:val="1009"/>
        </w:numPr>
      </w:pPr>
      <w:r>
        <w:rPr>
          <w:b/>
          <w:bCs/>
        </w:rPr>
        <w:t xml:space="preserve">Currency:</w:t>
      </w:r>
      <w:r>
        <w:t xml:space="preserve"> </w:t>
      </w:r>
      <w:r>
        <w:t xml:space="preserve">GBP.</w:t>
      </w:r>
    </w:p>
    <w:p>
      <w:pPr>
        <w:pStyle w:val="Compact"/>
        <w:numPr>
          <w:ilvl w:val="0"/>
          <w:numId w:val="1009"/>
        </w:numPr>
      </w:pPr>
      <w:r>
        <w:rPr>
          <w:b/>
          <w:bCs/>
        </w:rPr>
        <w:t xml:space="preserve">Issuer IBAN:</w:t>
      </w:r>
      <w:r>
        <w:t xml:space="preserve"> </w:t>
      </w:r>
      <w:r>
        <w:t xml:space="preserve">GB51 METRO 2305 8033 8640 20.</w:t>
      </w:r>
    </w:p>
    <w:p>
      <w:pPr>
        <w:pStyle w:val="Compact"/>
        <w:numPr>
          <w:ilvl w:val="0"/>
          <w:numId w:val="1009"/>
        </w:numPr>
      </w:pPr>
      <w:r>
        <w:rPr>
          <w:b/>
          <w:bCs/>
        </w:rPr>
        <w:t xml:space="preserve">Total amount (incl. VAT):</w:t>
      </w:r>
      <w:r>
        <w:t xml:space="preserve"> </w:t>
      </w:r>
      <w:r>
        <w:t xml:space="preserve">£30,822.00.</w:t>
      </w:r>
    </w:p>
    <w:p>
      <w:pPr>
        <w:pStyle w:val="Compact"/>
        <w:numPr>
          <w:ilvl w:val="0"/>
          <w:numId w:val="1009"/>
        </w:numPr>
      </w:pPr>
      <w:r>
        <w:rPr>
          <w:b/>
          <w:bCs/>
        </w:rPr>
        <w:t xml:space="preserve">Total VAT:</w:t>
      </w:r>
      <w:r>
        <w:t xml:space="preserve"> </w:t>
      </w:r>
      <w:r>
        <w:t xml:space="preserve">£5,137.00.</w:t>
      </w:r>
    </w:p>
    <w:p>
      <w:pPr>
        <w:pStyle w:val="Compact"/>
        <w:numPr>
          <w:ilvl w:val="0"/>
          <w:numId w:val="1009"/>
        </w:numPr>
      </w:pPr>
      <w:r>
        <w:rPr>
          <w:b/>
          <w:bCs/>
        </w:rPr>
        <w:t xml:space="preserve">Reverse charge:</w:t>
      </w:r>
      <w:r>
        <w:t xml:space="preserve"> </w:t>
      </w:r>
      <w:r>
        <w:t xml:space="preserve">No.</w:t>
      </w:r>
    </w:p>
    <w:p>
      <w:pPr>
        <w:pStyle w:val="FirstParagraph"/>
      </w:pPr>
      <w:r>
        <w:t xml:space="preserve">The invoice subtotal (£28,625.00) receives a</w:t>
      </w:r>
      <w:r>
        <w:t xml:space="preserve"> </w:t>
      </w:r>
      <w:r>
        <w:rPr>
          <w:b/>
          <w:bCs/>
        </w:rPr>
        <w:t xml:space="preserve">12 % discount</w:t>
      </w:r>
      <w:r>
        <w:t xml:space="preserve"> </w:t>
      </w:r>
      <w:r>
        <w:t xml:space="preserve">of £2,940.00. That discount was proportionally distributed among the items listed below.</w:t>
      </w:r>
    </w:p>
    <w:bookmarkStart w:id="29" w:name="items-4"/>
    <w:p>
      <w:pPr>
        <w:pStyle w:val="Heading3"/>
      </w:pPr>
      <w:r>
        <w:t xml:space="preserve">Items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w:t>
            </w:r>
          </w:p>
        </w:tc>
        <w:tc>
          <w:tcPr/>
          <w:p>
            <w:pPr>
              <w:pStyle w:val="Compact"/>
            </w:pPr>
            <w:r>
              <w:t xml:space="preserve">Item name</w:t>
            </w:r>
          </w:p>
        </w:tc>
        <w:tc>
          <w:tcPr/>
          <w:p>
            <w:pPr>
              <w:pStyle w:val="Compact"/>
              <w:jc w:val="right"/>
            </w:pPr>
            <w:r>
              <w:t xml:space="preserve">Qty</w:t>
            </w:r>
          </w:p>
        </w:tc>
        <w:tc>
          <w:tcPr/>
          <w:p>
            <w:pPr>
              <w:pStyle w:val="Compact"/>
            </w:pPr>
            <w:r>
              <w:t xml:space="preserve">Unit</w:t>
            </w:r>
          </w:p>
        </w:tc>
        <w:tc>
          <w:tcPr/>
          <w:p>
            <w:pPr>
              <w:pStyle w:val="Compact"/>
              <w:jc w:val="right"/>
            </w:pPr>
            <w:r>
              <w:t xml:space="preserve">Unit price (GBP)</w:t>
            </w:r>
          </w:p>
        </w:tc>
        <w:tc>
          <w:tcPr/>
          <w:p>
            <w:pPr>
              <w:pStyle w:val="Compact"/>
              <w:jc w:val="right"/>
            </w:pPr>
            <w:r>
              <w:t xml:space="preserve">Discount rate</w:t>
            </w:r>
          </w:p>
        </w:tc>
        <w:tc>
          <w:tcPr/>
          <w:p>
            <w:pPr>
              <w:pStyle w:val="Compact"/>
              <w:jc w:val="right"/>
            </w:pPr>
            <w:r>
              <w:t xml:space="preserve">Discount amount (GBP)</w:t>
            </w:r>
          </w:p>
        </w:tc>
        <w:tc>
          <w:tcPr/>
          <w:p>
            <w:pPr>
              <w:pStyle w:val="Compact"/>
              <w:jc w:val="right"/>
            </w:pPr>
            <w:r>
              <w:t xml:space="preserve">Net price (GBP)</w:t>
            </w:r>
          </w:p>
        </w:tc>
        <w:tc>
          <w:tcPr/>
          <w:p>
            <w:pPr>
              <w:pStyle w:val="Compact"/>
              <w:jc w:val="right"/>
            </w:pPr>
            <w:r>
              <w:t xml:space="preserve">Tax rate</w:t>
            </w:r>
          </w:p>
        </w:tc>
        <w:tc>
          <w:tcPr/>
          <w:p>
            <w:pPr>
              <w:pStyle w:val="Compact"/>
              <w:jc w:val="right"/>
            </w:pPr>
            <w:r>
              <w:t xml:space="preserve">Tax amount (GBP)</w:t>
            </w:r>
          </w:p>
        </w:tc>
      </w:tr>
      <w:tr>
        <w:tc>
          <w:tcPr/>
          <w:p>
            <w:pPr>
              <w:pStyle w:val="Compact"/>
            </w:pPr>
            <w:r>
              <w:t xml:space="preserve">1</w:t>
            </w:r>
          </w:p>
        </w:tc>
        <w:tc>
          <w:tcPr/>
          <w:p>
            <w:pPr>
              <w:pStyle w:val="Compact"/>
            </w:pPr>
            <w:r>
              <w:t xml:space="preserve">LED Display Modules – 480×320</w:t>
            </w:r>
          </w:p>
        </w:tc>
        <w:tc>
          <w:tcPr/>
          <w:p>
            <w:pPr>
              <w:pStyle w:val="Compact"/>
              <w:jc w:val="right"/>
            </w:pPr>
            <w:r>
              <w:t xml:space="preserve">500</w:t>
            </w:r>
          </w:p>
        </w:tc>
        <w:tc>
          <w:tcPr/>
          <w:p>
            <w:pPr>
              <w:pStyle w:val="Compact"/>
            </w:pPr>
            <w:r>
              <w:t xml:space="preserve">pcs</w:t>
            </w:r>
          </w:p>
        </w:tc>
        <w:tc>
          <w:tcPr/>
          <w:p>
            <w:pPr>
              <w:pStyle w:val="Compact"/>
              <w:jc w:val="right"/>
            </w:pPr>
            <w:r>
              <w:t xml:space="preserve">£18.75</w:t>
            </w:r>
          </w:p>
        </w:tc>
        <w:tc>
          <w:tcPr/>
          <w:p>
            <w:pPr>
              <w:pStyle w:val="Compact"/>
              <w:jc w:val="right"/>
            </w:pPr>
            <w:r>
              <w:t xml:space="preserve">12 %</w:t>
            </w:r>
          </w:p>
        </w:tc>
        <w:tc>
          <w:tcPr/>
          <w:p>
            <w:pPr>
              <w:pStyle w:val="Compact"/>
              <w:jc w:val="right"/>
            </w:pPr>
            <w:r>
              <w:t xml:space="preserve">£962.88</w:t>
            </w:r>
          </w:p>
        </w:tc>
        <w:tc>
          <w:tcPr/>
          <w:p>
            <w:pPr>
              <w:pStyle w:val="Compact"/>
              <w:jc w:val="right"/>
            </w:pPr>
            <w:r>
              <w:t xml:space="preserve">£8,412.12</w:t>
            </w:r>
          </w:p>
        </w:tc>
        <w:tc>
          <w:tcPr/>
          <w:p>
            <w:pPr>
              <w:pStyle w:val="Compact"/>
              <w:jc w:val="right"/>
            </w:pPr>
            <w:r>
              <w:t xml:space="preserve">20 %</w:t>
            </w:r>
          </w:p>
        </w:tc>
        <w:tc>
          <w:tcPr/>
          <w:p>
            <w:pPr>
              <w:pStyle w:val="Compact"/>
              <w:jc w:val="right"/>
            </w:pPr>
            <w:r>
              <w:t xml:space="preserve">£1,682.42</w:t>
            </w:r>
          </w:p>
        </w:tc>
      </w:tr>
      <w:tr>
        <w:tc>
          <w:tcPr/>
          <w:p>
            <w:pPr>
              <w:pStyle w:val="Compact"/>
            </w:pPr>
            <w:r>
              <w:t xml:space="preserve">2</w:t>
            </w:r>
          </w:p>
        </w:tc>
        <w:tc>
          <w:tcPr/>
          <w:p>
            <w:pPr>
              <w:pStyle w:val="Compact"/>
            </w:pPr>
            <w:r>
              <w:t xml:space="preserve">Power Supply Units – 500 W</w:t>
            </w:r>
          </w:p>
        </w:tc>
        <w:tc>
          <w:tcPr/>
          <w:p>
            <w:pPr>
              <w:pStyle w:val="Compact"/>
              <w:jc w:val="right"/>
            </w:pPr>
            <w:r>
              <w:t xml:space="preserve">250</w:t>
            </w:r>
          </w:p>
        </w:tc>
        <w:tc>
          <w:tcPr/>
          <w:p>
            <w:pPr>
              <w:pStyle w:val="Compact"/>
            </w:pPr>
            <w:r>
              <w:t xml:space="preserve">pcs</w:t>
            </w:r>
          </w:p>
        </w:tc>
        <w:tc>
          <w:tcPr/>
          <w:p>
            <w:pPr>
              <w:pStyle w:val="Compact"/>
              <w:jc w:val="right"/>
            </w:pPr>
            <w:r>
              <w:t xml:space="preserve">£45.00</w:t>
            </w:r>
          </w:p>
        </w:tc>
        <w:tc>
          <w:tcPr/>
          <w:p>
            <w:pPr>
              <w:pStyle w:val="Compact"/>
              <w:jc w:val="right"/>
            </w:pPr>
            <w:r>
              <w:t xml:space="preserve">12 %</w:t>
            </w:r>
          </w:p>
        </w:tc>
        <w:tc>
          <w:tcPr/>
          <w:p>
            <w:pPr>
              <w:pStyle w:val="Compact"/>
              <w:jc w:val="right"/>
            </w:pPr>
            <w:r>
              <w:t xml:space="preserve">£1,155.46</w:t>
            </w:r>
          </w:p>
        </w:tc>
        <w:tc>
          <w:tcPr/>
          <w:p>
            <w:pPr>
              <w:pStyle w:val="Compact"/>
              <w:jc w:val="right"/>
            </w:pPr>
            <w:r>
              <w:t xml:space="preserve">£10,094.54</w:t>
            </w:r>
          </w:p>
        </w:tc>
        <w:tc>
          <w:tcPr/>
          <w:p>
            <w:pPr>
              <w:pStyle w:val="Compact"/>
              <w:jc w:val="right"/>
            </w:pPr>
            <w:r>
              <w:t xml:space="preserve">20 %</w:t>
            </w:r>
          </w:p>
        </w:tc>
        <w:tc>
          <w:tcPr/>
          <w:p>
            <w:pPr>
              <w:pStyle w:val="Compact"/>
              <w:jc w:val="right"/>
            </w:pPr>
            <w:r>
              <w:t xml:space="preserve">£2,018.91</w:t>
            </w:r>
          </w:p>
        </w:tc>
      </w:tr>
      <w:tr>
        <w:tc>
          <w:tcPr/>
          <w:p>
            <w:pPr>
              <w:pStyle w:val="Compact"/>
            </w:pPr>
            <w:r>
              <w:t xml:space="preserve">3</w:t>
            </w:r>
          </w:p>
        </w:tc>
        <w:tc>
          <w:tcPr/>
          <w:p>
            <w:pPr>
              <w:pStyle w:val="Compact"/>
            </w:pPr>
            <w:r>
              <w:t xml:space="preserve">Control Board PCB</w:t>
            </w:r>
          </w:p>
        </w:tc>
        <w:tc>
          <w:tcPr/>
          <w:p>
            <w:pPr>
              <w:pStyle w:val="Compact"/>
              <w:jc w:val="right"/>
            </w:pPr>
            <w:r>
              <w:t xml:space="preserve">200</w:t>
            </w:r>
          </w:p>
        </w:tc>
        <w:tc>
          <w:tcPr/>
          <w:p>
            <w:pPr>
              <w:pStyle w:val="Compact"/>
            </w:pPr>
            <w:r>
              <w:t xml:space="preserve">pcs</w:t>
            </w:r>
          </w:p>
        </w:tc>
        <w:tc>
          <w:tcPr/>
          <w:p>
            <w:pPr>
              <w:pStyle w:val="Compact"/>
              <w:jc w:val="right"/>
            </w:pPr>
            <w:r>
              <w:t xml:space="preserve">£32.50</w:t>
            </w:r>
          </w:p>
        </w:tc>
        <w:tc>
          <w:tcPr/>
          <w:p>
            <w:pPr>
              <w:pStyle w:val="Compact"/>
              <w:jc w:val="right"/>
            </w:pPr>
            <w:r>
              <w:t xml:space="preserve">12 %</w:t>
            </w:r>
          </w:p>
        </w:tc>
        <w:tc>
          <w:tcPr/>
          <w:p>
            <w:pPr>
              <w:pStyle w:val="Compact"/>
              <w:jc w:val="right"/>
            </w:pPr>
            <w:r>
              <w:t xml:space="preserve">£667.60</w:t>
            </w:r>
          </w:p>
        </w:tc>
        <w:tc>
          <w:tcPr/>
          <w:p>
            <w:pPr>
              <w:pStyle w:val="Compact"/>
              <w:jc w:val="right"/>
            </w:pPr>
            <w:r>
              <w:t xml:space="preserve">£5,832.40</w:t>
            </w:r>
          </w:p>
        </w:tc>
        <w:tc>
          <w:tcPr/>
          <w:p>
            <w:pPr>
              <w:pStyle w:val="Compact"/>
              <w:jc w:val="right"/>
            </w:pPr>
            <w:r>
              <w:t xml:space="preserve">20 %</w:t>
            </w:r>
          </w:p>
        </w:tc>
        <w:tc>
          <w:tcPr/>
          <w:p>
            <w:pPr>
              <w:pStyle w:val="Compact"/>
              <w:jc w:val="right"/>
            </w:pPr>
            <w:r>
              <w:t xml:space="preserve">£1,166.48</w:t>
            </w:r>
          </w:p>
        </w:tc>
      </w:tr>
      <w:tr>
        <w:tc>
          <w:tcPr/>
          <w:p>
            <w:pPr>
              <w:pStyle w:val="Compact"/>
            </w:pPr>
            <w:r>
              <w:t xml:space="preserve">4</w:t>
            </w:r>
          </w:p>
        </w:tc>
        <w:tc>
          <w:tcPr/>
          <w:p>
            <w:pPr>
              <w:pStyle w:val="Compact"/>
            </w:pPr>
            <w:r>
              <w:t xml:space="preserve">Technical Support – Remote</w:t>
            </w:r>
          </w:p>
        </w:tc>
        <w:tc>
          <w:tcPr/>
          <w:p>
            <w:pPr>
              <w:pStyle w:val="Compact"/>
              <w:jc w:val="right"/>
            </w:pPr>
            <w:r>
              <w:t xml:space="preserve">1</w:t>
            </w:r>
          </w:p>
        </w:tc>
        <w:tc>
          <w:tcPr/>
          <w:p>
            <w:pPr>
              <w:pStyle w:val="Compact"/>
            </w:pPr>
            <w:r>
              <w:t xml:space="preserve">service</w:t>
            </w:r>
          </w:p>
        </w:tc>
        <w:tc>
          <w:tcPr/>
          <w:p>
            <w:pPr>
              <w:pStyle w:val="Compact"/>
              <w:jc w:val="right"/>
            </w:pPr>
            <w:r>
              <w:t xml:space="preserve">£1,500.00</w:t>
            </w:r>
          </w:p>
        </w:tc>
        <w:tc>
          <w:tcPr/>
          <w:p>
            <w:pPr>
              <w:pStyle w:val="Compact"/>
              <w:jc w:val="right"/>
            </w:pPr>
            <w:r>
              <w:t xml:space="preserve">12 %</w:t>
            </w:r>
          </w:p>
        </w:tc>
        <w:tc>
          <w:tcPr/>
          <w:p>
            <w:pPr>
              <w:pStyle w:val="Compact"/>
              <w:jc w:val="right"/>
            </w:pPr>
            <w:r>
              <w:t xml:space="preserve">£154.06</w:t>
            </w:r>
          </w:p>
        </w:tc>
        <w:tc>
          <w:tcPr/>
          <w:p>
            <w:pPr>
              <w:pStyle w:val="Compact"/>
              <w:jc w:val="right"/>
            </w:pPr>
            <w:r>
              <w:t xml:space="preserve">£1,345.94</w:t>
            </w:r>
          </w:p>
        </w:tc>
        <w:tc>
          <w:tcPr/>
          <w:p>
            <w:pPr>
              <w:pStyle w:val="Compact"/>
              <w:jc w:val="right"/>
            </w:pPr>
            <w:r>
              <w:t xml:space="preserve">20 %</w:t>
            </w:r>
          </w:p>
        </w:tc>
        <w:tc>
          <w:tcPr/>
          <w:p>
            <w:pPr>
              <w:pStyle w:val="Compact"/>
              <w:jc w:val="right"/>
            </w:pPr>
            <w:r>
              <w:t xml:space="preserve">£269.19*</w:t>
            </w:r>
          </w:p>
        </w:tc>
      </w:tr>
    </w:tbl>
    <w:p>
      <w:pPr>
        <w:pStyle w:val="BodyText"/>
      </w:pPr>
      <w:r>
        <w:t xml:space="preserve">*The tax amounts were computed from the net price (net × 20 %) and rounded to two decimals. The last line’s VAT was adjusted by £0.01 so that the four tax amounts sum exactly to the invoice’s total VAT of £5,137.00.</w:t>
      </w:r>
    </w:p>
    <w:p>
      <w:pPr>
        <w:pStyle w:val="BodyText"/>
      </w:pPr>
      <w:r>
        <w:rPr>
          <w:b/>
          <w:bCs/>
        </w:rPr>
        <w:t xml:space="preserve">Item descriptions:</w:t>
      </w:r>
    </w:p>
    <w:p>
      <w:pPr>
        <w:pStyle w:val="Compact"/>
        <w:numPr>
          <w:ilvl w:val="0"/>
          <w:numId w:val="1010"/>
        </w:numPr>
      </w:pPr>
      <w:r>
        <w:rPr>
          <w:i/>
          <w:iCs/>
        </w:rPr>
        <w:t xml:space="preserve">LED Display Modules – 480×320</w:t>
      </w:r>
      <w:r>
        <w:t xml:space="preserve"> </w:t>
      </w:r>
      <w:r>
        <w:t xml:space="preserve">– Full‑colour RGB display modules with 16‑bit colour depth.</w:t>
      </w:r>
    </w:p>
    <w:p>
      <w:pPr>
        <w:pStyle w:val="Compact"/>
        <w:numPr>
          <w:ilvl w:val="0"/>
          <w:numId w:val="1010"/>
        </w:numPr>
      </w:pPr>
      <w:r>
        <w:rPr>
          <w:i/>
          <w:iCs/>
        </w:rPr>
        <w:t xml:space="preserve">Power Supply Units – 500 W</w:t>
      </w:r>
      <w:r>
        <w:t xml:space="preserve"> </w:t>
      </w:r>
      <w:r>
        <w:t xml:space="preserve">– Industrial‑grade power supplies with &gt;85 % efficiency.</w:t>
      </w:r>
    </w:p>
    <w:p>
      <w:pPr>
        <w:pStyle w:val="Compact"/>
        <w:numPr>
          <w:ilvl w:val="0"/>
          <w:numId w:val="1010"/>
        </w:numPr>
      </w:pPr>
      <w:r>
        <w:rPr>
          <w:i/>
          <w:iCs/>
        </w:rPr>
        <w:t xml:space="preserve">Control Board PCB</w:t>
      </w:r>
      <w:r>
        <w:t xml:space="preserve"> </w:t>
      </w:r>
      <w:r>
        <w:t xml:space="preserve">– Programmable micro‑controller boards.</w:t>
      </w:r>
    </w:p>
    <w:p>
      <w:pPr>
        <w:pStyle w:val="Compact"/>
        <w:numPr>
          <w:ilvl w:val="0"/>
          <w:numId w:val="1010"/>
        </w:numPr>
      </w:pPr>
      <w:r>
        <w:rPr>
          <w:i/>
          <w:iCs/>
        </w:rPr>
        <w:t xml:space="preserve">Technical Support – Remote</w:t>
      </w:r>
      <w:r>
        <w:t xml:space="preserve"> </w:t>
      </w:r>
      <w:r>
        <w:t xml:space="preserve">– 30‑day remote technical assistance (24/5 coverage).</w:t>
      </w:r>
    </w:p>
    <w:bookmarkEnd w:id="29"/>
    <w:bookmarkEnd w:id="30"/>
    <w:bookmarkStart w:id="31" w:name="summary"/>
    <w:p>
      <w:pPr>
        <w:pStyle w:val="Heading2"/>
      </w:pPr>
      <w:r>
        <w:t xml:space="preserve">Summary</w:t>
      </w:r>
    </w:p>
    <w:p>
      <w:pPr>
        <w:pStyle w:val="FirstParagraph"/>
      </w:pPr>
      <w:r>
        <w:t xml:space="preserve">Across the five invoices, the issuers are all UK‑registered companies with VAT numbers and IBANs provided. Discount rates (when present) were applied uniformly across each invoice’s items, and the corresponding discount amounts were allocated proportionally to ensure that the net totals align with the invoice subtotals after discount. VAT was calculated at 20 % on net prices unless otherwise stated. No reverse‑charge mechanism was indicated in any of the documents.</w:t>
      </w:r>
    </w:p>
    <w:bookmarkEnd w:id="31"/>
    <w:bookmarkEnd w:id="32"/>
    <w:bookmarkEnd w:id="33"/>
    <w:p>
      <w:r>
        <w:pict>
          <v:rect style="width:0;height:1.5pt" o:hralign="center" o:hrstd="t" o:hr="t"/>
        </w:pict>
      </w:r>
    </w:p>
    <w:bookmarkStart w:id="34" w:name="citations"/>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2025-11-12T20:27:06Z</dcterms:created>
  <dcterms:modified xsi:type="dcterms:W3CDTF">2025-11-12T20:27:06Z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