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PLAN/NOTE FOR WEEK 2 ENDING 12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Need for Monitoring and Control of Chemicals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Consumer and Society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/9th,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11:10am -11.50am/11.50am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17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By the end of the class, students should be able to;</w:t>
      </w:r>
    </w:p>
    <w:p>
      <w:pPr>
        <w:numPr>
          <w:ilvl w:val="0"/>
          <w:numId w:val="1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Explain the meaning of chemicals.</w:t>
      </w:r>
    </w:p>
    <w:p>
      <w:pPr>
        <w:numPr>
          <w:ilvl w:val="0"/>
          <w:numId w:val="1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Distinguish between Chemicals suitable and not suitable for use.</w:t>
      </w:r>
    </w:p>
    <w:p>
      <w:pPr>
        <w:numPr>
          <w:ilvl w:val="0"/>
          <w:numId w:val="1"/>
        </w:numPr>
        <w:ind w:left="52" w:leftChars="0" w:firstLine="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Explain the need for monitoring and controlling chemicals suitable and not suitable for use.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To enable pupils know the meaning of chemicals, to distinguish between chemicals suitable and not suitable for use and explain the need for monitoring and controlling chemicals suitable for use.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taken to the school laboratory to see and note how chemicals are labelled, handled and used.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</w:t>
      </w:r>
      <w:r>
        <w:rPr>
          <w:rFonts w:hint="default" w:ascii="Cambria" w:hAnsi="Cambria" w:cs="Cambria"/>
          <w:sz w:val="24"/>
          <w:szCs w:val="24"/>
          <w:lang w:val="en-US"/>
        </w:rPr>
        <w:t>: Pupils minds were drawn to samples of chemicals in their textbooks and also samples of chemicals stored in the school laboratory.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 Materials: </w:t>
      </w:r>
      <w:r>
        <w:rPr>
          <w:rFonts w:hint="default" w:ascii="Cambria" w:hAnsi="Cambria" w:cs="Cambria"/>
          <w:sz w:val="24"/>
          <w:szCs w:val="24"/>
          <w:lang w:val="en-US"/>
        </w:rPr>
        <w:t>WABP Junoir secondary Business studies book 1, by Egbe t. Ehiametalor et al and Metropolitan Business Studies 1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292"/>
        <w:gridCol w:w="1644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Reviews the previous lesson.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Participates in the discussion.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arouse student’s interest and review the previous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 pupils to explain the meaning of chemicals.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They respond according to their level of understanding.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enable pupils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Leads discussion on chemicals suitable and not suitable for use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listen attentively.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Guides students to explain the need for monitoring and controlling chemicals suitable for use and not suitable for use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Participate in the discussion.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critical thinking and better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Summarizes lessons with the key point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Meaning of Monitoring: Monitoring means keeping a person in check or on guard to ensure that he/she is complying with rules and regulations.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Meaning of Chemicals: A chemical is defined as any substance which is capable of breaking down or combining with its kind or other substance under a suitable environment to become a new substance.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 chemical can be a solid, liquid or gas.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Examples of solid chemicals are ice and gold.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Examples of a liquid chemical are water and petrol.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Example of gaseous chemicals are air and cooking gas.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CHARACTERISTICS OF CHEMICALS SUITABLE FOR USE;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8"/>
              <w:gridCol w:w="15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Hazardous Chemicals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Hazardous Chemicals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Safe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Dangerous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Harmless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Harmful traits particularly when ingested or by mere contact.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Canbe inhaled or ingested.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Destructive to life and the environment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toxic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Toxic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- Irritant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Irritant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corrosive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Corrosive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radioactive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Radioactive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Non Flammable</w:t>
                  </w:r>
                </w:p>
              </w:tc>
              <w:tc>
                <w:tcPr>
                  <w:tcW w:w="153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sz w:val="24"/>
                      <w:szCs w:val="24"/>
                      <w:vertAlign w:val="baseline"/>
                      <w:lang w:val="en-US"/>
                    </w:rPr>
                    <w:t>flammable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NEED FOR MONITORING AND CONTROLLING FOOD, DRUGS AND CHEMICALS;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NAFDAC regulates, monitors and controls the importation, manufacture, advertisement, distribution, sale and use of foods, drugs and chemicals.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ensure compliance with standard specifications designated and approved by the council.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Enable appropriate investigation into the production premises and raw materials.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Establish relevant quality assurance system.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Monitor the utilization of controlled chemical substances.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Scrutinize the disposal records of chemicals.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Ensure non diversion of chemical for illicit usage.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Ensure that chemicals are not sold in residential a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explain what they understand by chemicals and mention three forms of chemicals they have been taught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responds to the question.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Rounds off lesson by checking the work done by the scholars, marking and making corrections where necessary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32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 pupils to list two effects of lack of monitoring of foods, drugs and chemicals.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Answer in their note books and submit for marking</w:t>
            </w:r>
          </w:p>
        </w:tc>
        <w:tc>
          <w:tcPr>
            <w:tcW w:w="20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12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 xml:space="preserve">th </w:t>
      </w:r>
      <w:r>
        <w:rPr>
          <w:rFonts w:hint="default" w:ascii="Cambria" w:hAnsi="Cambria" w:cs="Cambria"/>
          <w:sz w:val="24"/>
          <w:szCs w:val="24"/>
          <w:lang w:val="en-US"/>
        </w:rPr>
        <w:t>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0C983"/>
    <w:multiLevelType w:val="singleLevel"/>
    <w:tmpl w:val="9190C983"/>
    <w:lvl w:ilvl="0" w:tentative="0">
      <w:start w:val="1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1">
    <w:nsid w:val="AAB4EF9C"/>
    <w:multiLevelType w:val="singleLevel"/>
    <w:tmpl w:val="AAB4EF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22C8E"/>
    <w:rsid w:val="467C6217"/>
    <w:rsid w:val="75C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2023-04-19T12:11:00Z</dcterms:created>
  <dc:creator>ERIS</dc:creator>
  <cp:lastModifiedBy>Benjamin Joseph</cp:lastModifiedBy>
  <dcterms:modified xsi:type="dcterms:W3CDTF">2023-05-30T15:40:28Z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1354A1B69209474C91A9B54057A32D2C</vt:lpwstr>
  </property>
</Properties>
</file>