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4 ENDING 26/05/2023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22/05/2023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ab/>
      </w:r>
      <w:r>
        <w:rPr>
          <w:rFonts w:hint="default"/>
          <w:lang w:val="en-US"/>
        </w:rPr>
        <w:t xml:space="preserve">SOCIAL NORMS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VIOLENCE (MENTAL)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DEFINITION OF VIOLENCE, HARMFUL EFFECT AND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EXAMPLES.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11: 20- 12: 00PM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MENTAL VIOLENCE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HARMFUL EFFECT OF MENTAL VIOLENCE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EXAMPLES OF MENTAL VIOLENCE.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WHAT MENTAL VIOLENCE IS ALL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ABOUT.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ABOUT PHYSICAL VIOLENCE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BELT AND STICK.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GOOGLE.COM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522"/>
        <w:gridCol w:w="2097"/>
        <w:gridCol w:w="2109"/>
      </w:tblGrid>
      <w:tr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920" w:hRule="atLeast"/>
        </w:trPr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reviews the previous lesson to pupils.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defines the meaning of mental violence  to pupils and then asks them to repeat after her.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states the harmful effect of mental violence to pupils and also asks them to repeat after her. 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the examples of mental violence to pupils and also asks them to repeat  after her.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pupils participation in class.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MENTAL VIOLENCE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Mental violence is when a child is repeatedly made to feel worthless, unloved, alone or scared.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HARMFUL EFFECT OF MENTAL VIOLENCE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Depression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Anxiety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Poor self-esteem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Heart disease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 OF MENTAL VIOLENCE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Yelling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Bullying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Blaming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 xml:space="preserve">and </w:t>
            </w:r>
            <w:r>
              <w:rPr>
                <w:rFonts w:hint="default"/>
                <w:vertAlign w:val="baseline"/>
                <w:lang w:val="en-GB"/>
              </w:rPr>
              <w:t>scapegoat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Making the child the subject of jokes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Threatening,shouting at a child or calling them names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Humiliating or constantly criticizing a child etc.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mental violence?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the harmful effect of mental violence 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examples of mental violence.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2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 the meaning of children with special needs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3 ways we can care for children with special needs.</w:t>
            </w:r>
          </w:p>
        </w:tc>
        <w:tc>
          <w:tcPr>
            <w:tcW w:w="20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76200</wp:posOffset>
            </wp:positionV>
            <wp:extent cx="948054" cy="920115"/>
            <wp:effectExtent l="0" t="0" r="4445" b="13334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948054" cy="9201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97D2F08C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22CEF4C8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447</Words>
  <Pages>1</Pages>
  <Characters>2431</Characters>
  <Application>WPS Office</Application>
  <DocSecurity>0</DocSecurity>
  <Paragraphs>108</Paragraphs>
  <ScaleCrop>false</ScaleCrop>
  <LinksUpToDate>false</LinksUpToDate>
  <CharactersWithSpaces>3100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2023-05-02T14:09:00Z</dcterms:created>
  <dc:creator>ERIS</dc:creator>
  <lastModifiedBy>vivo V3Max A</lastModifiedBy>
  <dcterms:modified xsi:type="dcterms:W3CDTF">2023-05-16T20:25:16Z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4F1970384B1E4B9987807D10C8F2B84F</vt:lpwstr>
  </property>
</Properties>
</file>