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b/>
          <w:bCs/>
        </w:rPr>
        <w:t xml:space="preserve">                      Lesson Plan/Note for Week Two Ending </w:t>
      </w:r>
      <w:r>
        <w:rPr>
          <w:rFonts w:hint="default"/>
          <w:b/>
          <w:bCs/>
          <w:lang w:val="en-US"/>
        </w:rPr>
        <w:t>19</w:t>
      </w:r>
      <w:r>
        <w:rPr>
          <w:b/>
          <w:bCs/>
        </w:rPr>
        <w:t>/1/202</w:t>
      </w:r>
      <w:r>
        <w:rPr>
          <w:rFonts w:hint="default"/>
          <w:b/>
          <w:bCs/>
          <w:lang w:val="en-US"/>
        </w:rPr>
        <w:t>4</w:t>
      </w:r>
    </w:p>
    <w:p>
      <w:pPr>
        <w:rPr>
          <w:b/>
          <w:bCs/>
        </w:rPr>
      </w:pPr>
      <w:r>
        <w:rPr>
          <w:b/>
          <w:bCs/>
        </w:rPr>
        <w:t>Term:</w:t>
      </w:r>
      <w:r>
        <w:t xml:space="preserve"> 2nd </w:t>
      </w:r>
    </w:p>
    <w:p>
      <w:pPr>
        <w:rPr>
          <w:b/>
          <w:bCs/>
        </w:rPr>
      </w:pPr>
      <w:r>
        <w:rPr>
          <w:b/>
          <w:bCs/>
        </w:rPr>
        <w:t xml:space="preserve">Week:  </w:t>
      </w:r>
      <w:r>
        <w:t>2</w:t>
      </w:r>
    </w:p>
    <w:p>
      <w:pPr>
        <w:rPr>
          <w:b/>
          <w:bCs/>
        </w:rPr>
      </w:pPr>
      <w:r>
        <w:rPr>
          <w:b/>
          <w:bCs/>
        </w:rPr>
        <w:t>Date: 1</w:t>
      </w:r>
      <w:r>
        <w:rPr>
          <w:rFonts w:hint="default"/>
          <w:b/>
          <w:bCs/>
          <w:lang w:val="en-US"/>
        </w:rPr>
        <w:t>6</w:t>
      </w:r>
      <w:r>
        <w:rPr>
          <w:b/>
          <w:bCs/>
        </w:rPr>
        <w:t>/1/202</w:t>
      </w:r>
      <w:r>
        <w:rPr>
          <w:rFonts w:hint="default"/>
          <w:b/>
          <w:bCs/>
          <w:lang w:val="en-US"/>
        </w:rPr>
        <w:t>4</w:t>
      </w:r>
      <w:r>
        <w:rPr>
          <w:b/>
          <w:bCs/>
        </w:rPr>
        <w:t>.</w:t>
      </w:r>
    </w:p>
    <w:p>
      <w:pPr>
        <w:rPr>
          <w:b/>
          <w:bCs/>
        </w:rPr>
      </w:pPr>
      <w:r>
        <w:rPr>
          <w:b/>
          <w:bCs/>
        </w:rPr>
        <w:t xml:space="preserve">Class: </w:t>
      </w:r>
      <w:r>
        <w:t>SS 2</w:t>
      </w:r>
    </w:p>
    <w:p>
      <w:r>
        <w:rPr>
          <w:b/>
          <w:bCs/>
        </w:rPr>
        <w:t>Subject</w:t>
      </w:r>
      <w:r>
        <w:t>: Economics</w:t>
      </w:r>
    </w:p>
    <w:p>
      <w:r>
        <w:rPr>
          <w:b/>
          <w:bCs/>
        </w:rPr>
        <w:t>Topic</w:t>
      </w:r>
      <w:r>
        <w:t>: Elementary Treatment of Utility Theory</w:t>
      </w:r>
    </w:p>
    <w:p>
      <w:r>
        <w:rPr>
          <w:b/>
          <w:bCs/>
        </w:rPr>
        <w:t xml:space="preserve">Sub-Topic: </w:t>
      </w:r>
      <w:r>
        <w:rPr>
          <w:rFonts w:hint="default"/>
          <w:b w:val="0"/>
          <w:bCs w:val="0"/>
          <w:lang w:val="en-US"/>
        </w:rPr>
        <w:t>M</w:t>
      </w:r>
      <w:r>
        <w:rPr>
          <w:b w:val="0"/>
          <w:bCs w:val="0"/>
        </w:rPr>
        <w:t>ean</w:t>
      </w:r>
      <w:r>
        <w:t xml:space="preserve">ing, </w:t>
      </w:r>
      <w:r>
        <w:rPr>
          <w:rFonts w:hint="default"/>
          <w:lang w:val="en-US"/>
        </w:rPr>
        <w:t>A</w:t>
      </w:r>
      <w:r>
        <w:t xml:space="preserve">ssumption and </w:t>
      </w:r>
      <w:r>
        <w:rPr>
          <w:rFonts w:hint="default"/>
          <w:lang w:val="en-US"/>
        </w:rPr>
        <w:t>L</w:t>
      </w:r>
      <w:r>
        <w:t xml:space="preserve">imitations of the law of </w:t>
      </w:r>
      <w:r>
        <w:rPr>
          <w:rFonts w:hint="default"/>
          <w:lang w:val="en-US"/>
        </w:rPr>
        <w:t>D</w:t>
      </w:r>
      <w:r>
        <w:t xml:space="preserve">iminishing </w:t>
      </w:r>
      <w:r>
        <w:rPr>
          <w:rFonts w:hint="default"/>
          <w:lang w:val="en-US"/>
        </w:rPr>
        <w:t>M</w:t>
      </w:r>
      <w:r>
        <w:t xml:space="preserve">arginal </w:t>
      </w:r>
      <w:r>
        <w:rPr>
          <w:rFonts w:hint="default"/>
          <w:lang w:val="en-US"/>
        </w:rPr>
        <w:t>U</w:t>
      </w:r>
      <w:r>
        <w:t>tility.</w:t>
      </w:r>
    </w:p>
    <w:p>
      <w:r>
        <w:rPr>
          <w:b/>
          <w:bCs/>
        </w:rPr>
        <w:t>Period</w:t>
      </w:r>
      <w:r>
        <w:t>: 6th</w:t>
      </w:r>
    </w:p>
    <w:p>
      <w:r>
        <w:rPr>
          <w:b/>
          <w:bCs/>
        </w:rPr>
        <w:t xml:space="preserve">Time: </w:t>
      </w:r>
      <w:r>
        <w:t>11:50-12:30</w:t>
      </w:r>
    </w:p>
    <w:p>
      <w:r>
        <w:rPr>
          <w:b/>
          <w:bCs/>
        </w:rPr>
        <w:t>Duration</w:t>
      </w:r>
      <w:r>
        <w:t>: 40 Minutes</w:t>
      </w:r>
    </w:p>
    <w:p>
      <w:r>
        <w:rPr>
          <w:b/>
          <w:bCs/>
        </w:rPr>
        <w:t>Number in class</w:t>
      </w:r>
      <w:r>
        <w:t xml:space="preserve">: </w:t>
      </w:r>
      <w:r>
        <w:rPr>
          <w:rFonts w:hint="default"/>
          <w:lang w:val="en-US"/>
        </w:rPr>
        <w:t xml:space="preserve">10 </w:t>
      </w:r>
      <w:r>
        <w:t>students</w:t>
      </w:r>
    </w:p>
    <w:p>
      <w:r>
        <w:rPr>
          <w:b/>
          <w:bCs/>
        </w:rPr>
        <w:t>Sex:</w:t>
      </w:r>
      <w:r>
        <w:t xml:space="preserve"> mixed</w:t>
      </w:r>
    </w:p>
    <w:p>
      <w:r>
        <w:rPr>
          <w:b/>
          <w:bCs/>
        </w:rPr>
        <w:t>Average Age:</w:t>
      </w:r>
      <w:r>
        <w:t xml:space="preserve"> 14 Years</w:t>
      </w:r>
    </w:p>
    <w:p>
      <w:r>
        <w:rPr>
          <w:b/>
          <w:bCs/>
        </w:rPr>
        <w:t>Specific objectives</w:t>
      </w:r>
      <w:r>
        <w:t xml:space="preserve">: By the end of the lesson, the students should be able to: </w:t>
      </w:r>
    </w:p>
    <w:p>
      <w:r>
        <w:t>(1) Explain the law of diminishing marginal utility</w:t>
      </w:r>
    </w:p>
    <w:p>
      <w:r>
        <w:t>(11) mention the limitations of the law of diminishing marginal utility.</w:t>
      </w:r>
    </w:p>
    <w:p>
      <w:r>
        <w:t>(111) State the assumption of the law of diminishing marginal utility.</w:t>
      </w:r>
    </w:p>
    <w:p>
      <w:r>
        <w:rPr>
          <w:b/>
          <w:bCs/>
        </w:rPr>
        <w:t>Rationale:</w:t>
      </w:r>
      <w:r>
        <w:t xml:space="preserve"> To be able to identify that as consumption increases, it decreased as well.</w:t>
      </w:r>
    </w:p>
    <w:p>
      <w:r>
        <w:rPr>
          <w:b/>
          <w:bCs/>
        </w:rPr>
        <w:t>Previous knowledge:</w:t>
      </w:r>
      <w:r>
        <w:t xml:space="preserve"> The students have been deriving satisfaction from their consumption.</w:t>
      </w:r>
    </w:p>
    <w:p>
      <w:r>
        <w:rPr>
          <w:b/>
          <w:bCs/>
        </w:rPr>
        <w:t>Instructional Material</w:t>
      </w:r>
      <w:r>
        <w:t>: A chart showing diminishing marginal utility curve.</w:t>
      </w:r>
    </w:p>
    <w:p>
      <w:r>
        <w:rPr>
          <w:b/>
          <w:bCs/>
        </w:rPr>
        <w:t>Reference material:</w:t>
      </w:r>
      <w:r>
        <w:t xml:space="preserve"> Ande. C E (2020) Essential Economics for senior Secondary schools.</w:t>
      </w:r>
    </w:p>
    <w:p>
      <w:r>
        <w:t xml:space="preserve">                               </w:t>
      </w:r>
      <w:r>
        <w:rPr>
          <w:b/>
          <w:bCs/>
        </w:rPr>
        <w:t>LESSON DEVELOPMENT</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18"/>
        <w:gridCol w:w="3424"/>
        <w:gridCol w:w="2382"/>
        <w:gridCol w:w="2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Stages/steps</w:t>
            </w:r>
          </w:p>
        </w:tc>
        <w:tc>
          <w:tcPr>
            <w:tcW w:w="3425" w:type="dxa"/>
            <w:tcBorders>
              <w:top w:val="single" w:color="auto" w:sz="4" w:space="0"/>
              <w:left w:val="single" w:color="auto" w:sz="4" w:space="0"/>
              <w:bottom w:val="single" w:color="auto" w:sz="4" w:space="0"/>
              <w:right w:val="single" w:color="auto" w:sz="4" w:space="0"/>
            </w:tcBorders>
          </w:tcPr>
          <w:p>
            <w:pPr>
              <w:rPr>
                <w:b/>
                <w:bCs/>
              </w:rPr>
            </w:pPr>
            <w:r>
              <w:rPr>
                <w:b/>
                <w:bCs/>
              </w:rPr>
              <w:t>Teacher's Activities</w:t>
            </w:r>
          </w:p>
        </w:tc>
        <w:tc>
          <w:tcPr>
            <w:tcW w:w="2383" w:type="dxa"/>
            <w:tcBorders>
              <w:top w:val="single" w:color="auto" w:sz="4" w:space="0"/>
              <w:left w:val="single" w:color="auto" w:sz="4" w:space="0"/>
              <w:bottom w:val="single" w:color="auto" w:sz="4" w:space="0"/>
              <w:right w:val="single" w:color="auto" w:sz="4" w:space="0"/>
            </w:tcBorders>
          </w:tcPr>
          <w:p>
            <w:pPr>
              <w:rPr>
                <w:b/>
                <w:bCs/>
              </w:rPr>
            </w:pPr>
            <w:r>
              <w:rPr>
                <w:b/>
                <w:bCs/>
              </w:rPr>
              <w:t>Students' Activities</w:t>
            </w:r>
          </w:p>
        </w:tc>
        <w:tc>
          <w:tcPr>
            <w:tcW w:w="2152" w:type="dxa"/>
            <w:tcBorders>
              <w:top w:val="single" w:color="auto" w:sz="4" w:space="0"/>
              <w:left w:val="single" w:color="auto" w:sz="4" w:space="0"/>
              <w:bottom w:val="single" w:color="auto" w:sz="4" w:space="0"/>
              <w:right w:val="single" w:color="auto" w:sz="4" w:space="0"/>
            </w:tcBorders>
          </w:tcPr>
          <w:p>
            <w:pPr>
              <w:rPr>
                <w:b/>
                <w:bCs/>
              </w:rPr>
            </w:pPr>
            <w:r>
              <w:rPr>
                <w:b/>
                <w:bC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Introduction</w:t>
            </w:r>
          </w:p>
        </w:tc>
        <w:tc>
          <w:tcPr>
            <w:tcW w:w="3425" w:type="dxa"/>
            <w:tcBorders>
              <w:top w:val="single" w:color="auto" w:sz="4" w:space="0"/>
              <w:left w:val="single" w:color="auto" w:sz="4" w:space="0"/>
              <w:bottom w:val="single" w:color="auto" w:sz="4" w:space="0"/>
              <w:right w:val="single" w:color="auto" w:sz="4" w:space="0"/>
            </w:tcBorders>
          </w:tcPr>
          <w:p>
            <w:r>
              <w:t>Review the previous lesson</w:t>
            </w:r>
          </w:p>
        </w:tc>
        <w:tc>
          <w:tcPr>
            <w:tcW w:w="2383" w:type="dxa"/>
            <w:tcBorders>
              <w:top w:val="single" w:color="auto" w:sz="4" w:space="0"/>
              <w:left w:val="single" w:color="auto" w:sz="4" w:space="0"/>
              <w:bottom w:val="single" w:color="auto" w:sz="4" w:space="0"/>
              <w:right w:val="single" w:color="auto" w:sz="4" w:space="0"/>
            </w:tcBorders>
          </w:tcPr>
          <w:p>
            <w:r>
              <w:t>Participate actively in the class discussion.</w:t>
            </w:r>
          </w:p>
        </w:tc>
        <w:tc>
          <w:tcPr>
            <w:tcW w:w="2152" w:type="dxa"/>
            <w:tcBorders>
              <w:top w:val="single" w:color="auto" w:sz="4" w:space="0"/>
              <w:left w:val="single" w:color="auto" w:sz="4" w:space="0"/>
              <w:bottom w:val="single" w:color="auto" w:sz="4" w:space="0"/>
              <w:right w:val="single" w:color="auto" w:sz="4" w:space="0"/>
            </w:tcBorders>
          </w:tcPr>
          <w:p>
            <w: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 xml:space="preserve">Step 1 </w:t>
            </w:r>
          </w:p>
        </w:tc>
        <w:tc>
          <w:tcPr>
            <w:tcW w:w="3425" w:type="dxa"/>
            <w:tcBorders>
              <w:top w:val="single" w:color="auto" w:sz="4" w:space="0"/>
              <w:left w:val="single" w:color="auto" w:sz="4" w:space="0"/>
              <w:bottom w:val="single" w:color="auto" w:sz="4" w:space="0"/>
              <w:right w:val="single" w:color="auto" w:sz="4" w:space="0"/>
            </w:tcBorders>
          </w:tcPr>
          <w:p>
            <w:r>
              <w:t xml:space="preserve"> Explains the law of diminishing marginal utility as: The law of diminishing marginal utility states that satisfaction derived from consuming successive unit of commodity will diminish as the total consumption of the commodity increases.</w:t>
            </w:r>
          </w:p>
        </w:tc>
        <w:tc>
          <w:tcPr>
            <w:tcW w:w="2383" w:type="dxa"/>
            <w:tcBorders>
              <w:top w:val="single" w:color="auto" w:sz="4" w:space="0"/>
              <w:left w:val="single" w:color="auto" w:sz="4" w:space="0"/>
              <w:bottom w:val="single" w:color="auto" w:sz="4" w:space="0"/>
              <w:right w:val="single" w:color="auto" w:sz="4" w:space="0"/>
            </w:tcBorders>
          </w:tcPr>
          <w:p>
            <w:r>
              <w:t>Pay attention and ask questions when necessary.</w:t>
            </w:r>
          </w:p>
        </w:tc>
        <w:tc>
          <w:tcPr>
            <w:tcW w:w="2152" w:type="dxa"/>
            <w:tcBorders>
              <w:top w:val="single" w:color="auto" w:sz="4" w:space="0"/>
              <w:left w:val="single" w:color="auto" w:sz="4" w:space="0"/>
              <w:bottom w:val="single" w:color="auto" w:sz="4" w:space="0"/>
              <w:right w:val="single" w:color="auto" w:sz="4" w:space="0"/>
            </w:tcBorders>
          </w:tcPr>
          <w:p>
            <w: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Step 11</w:t>
            </w:r>
          </w:p>
        </w:tc>
        <w:tc>
          <w:tcPr>
            <w:tcW w:w="3425" w:type="dxa"/>
            <w:tcBorders>
              <w:top w:val="single" w:color="auto" w:sz="4" w:space="0"/>
              <w:left w:val="single" w:color="auto" w:sz="4" w:space="0"/>
              <w:bottom w:val="single" w:color="auto" w:sz="4" w:space="0"/>
              <w:right w:val="single" w:color="auto" w:sz="4" w:space="0"/>
            </w:tcBorders>
          </w:tcPr>
          <w:p>
            <w:r>
              <w:t>Guides the students to state the assumption of the law of diminishing marginal utility</w:t>
            </w:r>
          </w:p>
        </w:tc>
        <w:tc>
          <w:tcPr>
            <w:tcW w:w="2383" w:type="dxa"/>
            <w:tcBorders>
              <w:top w:val="single" w:color="auto" w:sz="4" w:space="0"/>
              <w:left w:val="single" w:color="auto" w:sz="4" w:space="0"/>
              <w:bottom w:val="single" w:color="auto" w:sz="4" w:space="0"/>
              <w:right w:val="single" w:color="auto" w:sz="4" w:space="0"/>
            </w:tcBorders>
          </w:tcPr>
          <w:p>
            <w:r>
              <w:t>State the assumption as: (1) nature of the commodity. (2) reasonable units (3) continuous use of the commodity etc.</w:t>
            </w:r>
          </w:p>
        </w:tc>
        <w:tc>
          <w:tcPr>
            <w:tcW w:w="2152" w:type="dxa"/>
            <w:tcBorders>
              <w:top w:val="single" w:color="auto" w:sz="4" w:space="0"/>
              <w:left w:val="single" w:color="auto" w:sz="4" w:space="0"/>
              <w:bottom w:val="single" w:color="auto" w:sz="4" w:space="0"/>
              <w:right w:val="single" w:color="auto" w:sz="4" w:space="0"/>
            </w:tcBorders>
          </w:tcPr>
          <w:p>
            <w: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Step 111</w:t>
            </w:r>
          </w:p>
        </w:tc>
        <w:tc>
          <w:tcPr>
            <w:tcW w:w="3425" w:type="dxa"/>
            <w:tcBorders>
              <w:top w:val="single" w:color="auto" w:sz="4" w:space="0"/>
              <w:left w:val="single" w:color="auto" w:sz="4" w:space="0"/>
              <w:bottom w:val="single" w:color="auto" w:sz="4" w:space="0"/>
              <w:right w:val="single" w:color="auto" w:sz="4" w:space="0"/>
            </w:tcBorders>
          </w:tcPr>
          <w:p>
            <w:r>
              <w:t>Leads the students to mention the limitations of the law of diminishing marginal utility</w:t>
            </w:r>
          </w:p>
        </w:tc>
        <w:tc>
          <w:tcPr>
            <w:tcW w:w="2383" w:type="dxa"/>
            <w:tcBorders>
              <w:top w:val="single" w:color="auto" w:sz="4" w:space="0"/>
              <w:left w:val="single" w:color="auto" w:sz="4" w:space="0"/>
              <w:bottom w:val="single" w:color="auto" w:sz="4" w:space="0"/>
              <w:right w:val="single" w:color="auto" w:sz="4" w:space="0"/>
            </w:tcBorders>
          </w:tcPr>
          <w:p>
            <w:r>
              <w:t>Participate actively in the discussion by mentioning the limitations.</w:t>
            </w:r>
          </w:p>
        </w:tc>
        <w:tc>
          <w:tcPr>
            <w:tcW w:w="2152" w:type="dxa"/>
            <w:tcBorders>
              <w:top w:val="single" w:color="auto" w:sz="4" w:space="0"/>
              <w:left w:val="single" w:color="auto" w:sz="4" w:space="0"/>
              <w:bottom w:val="single" w:color="auto" w:sz="4" w:space="0"/>
              <w:right w:val="single" w:color="auto" w:sz="4" w:space="0"/>
            </w:tcBorders>
          </w:tcPr>
          <w:p>
            <w: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Board Summary</w:t>
            </w:r>
          </w:p>
        </w:tc>
        <w:tc>
          <w:tcPr>
            <w:tcW w:w="3425" w:type="dxa"/>
            <w:tcBorders>
              <w:top w:val="single" w:color="auto" w:sz="4" w:space="0"/>
              <w:left w:val="single" w:color="auto" w:sz="4" w:space="0"/>
              <w:bottom w:val="single" w:color="auto" w:sz="4" w:space="0"/>
              <w:right w:val="single" w:color="auto" w:sz="4" w:space="0"/>
            </w:tcBorders>
          </w:tcPr>
          <w:p>
            <w:r>
              <w:t>Summarizes the lesson as:</w:t>
            </w:r>
          </w:p>
          <w:p>
            <w:pPr>
              <w:rPr>
                <w:b/>
                <w:bCs/>
              </w:rPr>
            </w:pPr>
            <w:r>
              <w:rPr>
                <w:b/>
                <w:bCs/>
              </w:rPr>
              <w:t>Law of diminishing marginal utility</w:t>
            </w:r>
          </w:p>
          <w:p>
            <w:r>
              <w:t xml:space="preserve">The law of diminishing marginal utility states that satisfaction derived from consuming successive unit of commodity will diminish as the total consumption of the commodity increases. It is the total utility that increases as more of a commodity is consumed but increases as at a diminishing rate. </w:t>
            </w:r>
          </w:p>
          <w:p>
            <w:pPr>
              <w:rPr>
                <w:b/>
                <w:bCs/>
              </w:rPr>
            </w:pPr>
            <w:r>
              <w:rPr>
                <w:b/>
                <w:bCs/>
              </w:rPr>
              <w:t>Assumption of law of diminishing marginal utility</w:t>
            </w:r>
          </w:p>
          <w:p>
            <w:r>
              <w:t>(1) Nature of the commodity: There should be no change in the nature of the commodity. Example, if the first mango taken is not better, if the second is better,then the utility will not decrease.</w:t>
            </w:r>
          </w:p>
          <w:p>
            <w:r>
              <w:t xml:space="preserve">(2) Reasonable units </w:t>
            </w:r>
          </w:p>
          <w:p>
            <w:r>
              <w:t xml:space="preserve">(3) continuous use of the commodity. (4) No change in income. (5) No change in fashion and customs. </w:t>
            </w:r>
          </w:p>
          <w:p>
            <w:r>
              <w:rPr>
                <w:b/>
                <w:bCs/>
              </w:rPr>
              <w:t>Limitations of the law of diminishing marginal utility</w:t>
            </w:r>
            <w:r>
              <w:t>.</w:t>
            </w:r>
          </w:p>
          <w:p>
            <w:r>
              <w:t>(1) Desire for money (2) Desire for knowledge (3) use of liquor (4) personal hobby. (5) Fashion.</w:t>
            </w:r>
          </w:p>
        </w:tc>
        <w:tc>
          <w:tcPr>
            <w:tcW w:w="2383" w:type="dxa"/>
            <w:tcBorders>
              <w:top w:val="single" w:color="auto" w:sz="4" w:space="0"/>
              <w:left w:val="single" w:color="auto" w:sz="4" w:space="0"/>
              <w:bottom w:val="single" w:color="auto" w:sz="4" w:space="0"/>
              <w:right w:val="single" w:color="auto" w:sz="4" w:space="0"/>
            </w:tcBorders>
          </w:tcPr>
          <w:p>
            <w:r>
              <w:t>Copy and submit the Note book for marking</w:t>
            </w:r>
          </w:p>
        </w:tc>
        <w:tc>
          <w:tcPr>
            <w:tcW w:w="2152" w:type="dxa"/>
            <w:tcBorders>
              <w:top w:val="single" w:color="auto" w:sz="4" w:space="0"/>
              <w:left w:val="single" w:color="auto" w:sz="4" w:space="0"/>
              <w:bottom w:val="single" w:color="auto" w:sz="4" w:space="0"/>
              <w:right w:val="single" w:color="auto" w:sz="4" w:space="0"/>
            </w:tcBorders>
          </w:tcPr>
          <w:p>
            <w: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Evaluation</w:t>
            </w:r>
          </w:p>
        </w:tc>
        <w:tc>
          <w:tcPr>
            <w:tcW w:w="3425" w:type="dxa"/>
            <w:tcBorders>
              <w:top w:val="single" w:color="auto" w:sz="4" w:space="0"/>
              <w:left w:val="single" w:color="auto" w:sz="4" w:space="0"/>
              <w:bottom w:val="single" w:color="auto" w:sz="4" w:space="0"/>
              <w:right w:val="single" w:color="auto" w:sz="4" w:space="0"/>
            </w:tcBorders>
          </w:tcPr>
          <w:p>
            <w:r>
              <w:t>Evaluates the students as:</w:t>
            </w:r>
          </w:p>
          <w:p>
            <w:r>
              <w:t>(1) Explain the law of diminishing marginal utility.</w:t>
            </w:r>
          </w:p>
          <w:p>
            <w:r>
              <w:t>(2) State 4 assumption of the law of diminishing marginal utility.</w:t>
            </w:r>
          </w:p>
          <w:p>
            <w:r>
              <w:t>(3) Mention 3 limitations of the law of diminishing marginal utility.</w:t>
            </w:r>
          </w:p>
        </w:tc>
        <w:tc>
          <w:tcPr>
            <w:tcW w:w="2383" w:type="dxa"/>
            <w:tcBorders>
              <w:top w:val="single" w:color="auto" w:sz="4" w:space="0"/>
              <w:left w:val="single" w:color="auto" w:sz="4" w:space="0"/>
              <w:bottom w:val="single" w:color="auto" w:sz="4" w:space="0"/>
              <w:right w:val="single" w:color="auto" w:sz="4" w:space="0"/>
            </w:tcBorders>
          </w:tcPr>
          <w:p>
            <w:r>
              <w:t>Respond to the questions</w:t>
            </w:r>
          </w:p>
        </w:tc>
        <w:tc>
          <w:tcPr>
            <w:tcW w:w="2152" w:type="dxa"/>
            <w:tcBorders>
              <w:top w:val="single" w:color="auto" w:sz="4" w:space="0"/>
              <w:left w:val="single" w:color="auto" w:sz="4" w:space="0"/>
              <w:bottom w:val="single" w:color="auto" w:sz="4" w:space="0"/>
              <w:right w:val="single" w:color="auto" w:sz="4" w:space="0"/>
            </w:tcBorders>
          </w:tcPr>
          <w:p>
            <w: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Conclusion</w:t>
            </w:r>
          </w:p>
        </w:tc>
        <w:tc>
          <w:tcPr>
            <w:tcW w:w="3425" w:type="dxa"/>
            <w:tcBorders>
              <w:top w:val="single" w:color="auto" w:sz="4" w:space="0"/>
              <w:left w:val="single" w:color="auto" w:sz="4" w:space="0"/>
              <w:bottom w:val="single" w:color="auto" w:sz="4" w:space="0"/>
              <w:right w:val="single" w:color="auto" w:sz="4" w:space="0"/>
            </w:tcBorders>
          </w:tcPr>
          <w:p>
            <w:r>
              <w:t>Rounds up the lesson by marking and correcting students work.</w:t>
            </w:r>
          </w:p>
        </w:tc>
        <w:tc>
          <w:tcPr>
            <w:tcW w:w="2383" w:type="dxa"/>
            <w:tcBorders>
              <w:top w:val="single" w:color="auto" w:sz="4" w:space="0"/>
              <w:left w:val="single" w:color="auto" w:sz="4" w:space="0"/>
              <w:bottom w:val="single" w:color="auto" w:sz="4" w:space="0"/>
              <w:right w:val="single" w:color="auto" w:sz="4" w:space="0"/>
            </w:tcBorders>
          </w:tcPr>
          <w:p>
            <w:r>
              <w:t>Check and do their correction</w:t>
            </w:r>
          </w:p>
        </w:tc>
        <w:tc>
          <w:tcPr>
            <w:tcW w:w="2152" w:type="dxa"/>
            <w:tcBorders>
              <w:top w:val="single" w:color="auto" w:sz="4" w:space="0"/>
              <w:left w:val="single" w:color="auto" w:sz="4" w:space="0"/>
              <w:bottom w:val="single" w:color="auto" w:sz="4" w:space="0"/>
              <w:right w:val="single" w:color="auto" w:sz="4" w:space="0"/>
            </w:tcBorders>
          </w:tcPr>
          <w:p>
            <w: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8" w:type="dxa"/>
            <w:tcBorders>
              <w:top w:val="single" w:color="auto" w:sz="4" w:space="0"/>
              <w:left w:val="single" w:color="auto" w:sz="4" w:space="0"/>
              <w:bottom w:val="single" w:color="auto" w:sz="4" w:space="0"/>
              <w:right w:val="single" w:color="auto" w:sz="4" w:space="0"/>
            </w:tcBorders>
          </w:tcPr>
          <w:p>
            <w:pPr>
              <w:rPr>
                <w:b/>
                <w:bCs/>
              </w:rPr>
            </w:pPr>
            <w:r>
              <w:rPr>
                <w:b/>
                <w:bCs/>
              </w:rPr>
              <w:t>Assignment</w:t>
            </w:r>
          </w:p>
        </w:tc>
        <w:tc>
          <w:tcPr>
            <w:tcW w:w="3425" w:type="dxa"/>
            <w:tcBorders>
              <w:top w:val="single" w:color="auto" w:sz="4" w:space="0"/>
              <w:left w:val="single" w:color="auto" w:sz="4" w:space="0"/>
              <w:bottom w:val="single" w:color="auto" w:sz="4" w:space="0"/>
              <w:right w:val="single" w:color="auto" w:sz="4" w:space="0"/>
            </w:tcBorders>
          </w:tcPr>
          <w:p>
            <w:r>
              <w:t xml:space="preserve">Gives home work as: </w:t>
            </w:r>
          </w:p>
          <w:p>
            <w:r>
              <w:t>(1) What is utility maximization?</w:t>
            </w:r>
          </w:p>
          <w:p>
            <w:r>
              <w:t xml:space="preserve">(2) How can utility theory be derived from demand curve? </w:t>
            </w:r>
          </w:p>
        </w:tc>
        <w:tc>
          <w:tcPr>
            <w:tcW w:w="2383" w:type="dxa"/>
            <w:tcBorders>
              <w:top w:val="single" w:color="auto" w:sz="4" w:space="0"/>
              <w:left w:val="single" w:color="auto" w:sz="4" w:space="0"/>
              <w:bottom w:val="single" w:color="auto" w:sz="4" w:space="0"/>
              <w:right w:val="single" w:color="auto" w:sz="4" w:space="0"/>
            </w:tcBorders>
          </w:tcPr>
          <w:p>
            <w:r>
              <w:t xml:space="preserve">Respond by doing the home work at home. </w:t>
            </w:r>
          </w:p>
        </w:tc>
        <w:tc>
          <w:tcPr>
            <w:tcW w:w="2152" w:type="dxa"/>
            <w:tcBorders>
              <w:top w:val="single" w:color="auto" w:sz="4" w:space="0"/>
              <w:left w:val="single" w:color="auto" w:sz="4" w:space="0"/>
              <w:bottom w:val="single" w:color="auto" w:sz="4" w:space="0"/>
              <w:right w:val="single" w:color="auto" w:sz="4" w:space="0"/>
            </w:tcBorders>
          </w:tcPr>
          <w:p>
            <w:r>
              <w:t>To ensure continuity of learning</w:t>
            </w:r>
          </w:p>
        </w:tc>
      </w:tr>
    </w:tbl>
    <w:p>
      <w:pPr>
        <w:rPr>
          <w:rFonts w:hint="default"/>
          <w:lang w:val="en-US"/>
        </w:rPr>
      </w:pPr>
    </w:p>
    <w:p>
      <w:pPr>
        <w:rPr>
          <w:rFonts w:hint="default"/>
          <w:lang w:val="en-US"/>
        </w:rPr>
      </w:pPr>
      <w:r>
        <w:rPr>
          <w:rFonts w:hint="default"/>
          <w:lang w:val="en-US"/>
        </w:rPr>
        <w:drawing>
          <wp:inline distT="0" distB="0" distL="114300" distR="114300">
            <wp:extent cx="1123950" cy="571500"/>
            <wp:effectExtent l="0" t="0" r="508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19</w:t>
      </w:r>
      <w:r>
        <w:rPr>
          <w:rFonts w:hint="default"/>
          <w:vertAlign w:val="superscript"/>
          <w:lang w:val="en-US"/>
        </w:rPr>
        <w:t>th</w:t>
      </w:r>
      <w:r>
        <w:rPr>
          <w:rFonts w:hint="default"/>
          <w:vertAlign w:val="baseline"/>
          <w:lang w:val="en-US"/>
        </w:rPr>
        <w:t xml:space="preserve"> January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47"/>
    <w:rsid w:val="00005640"/>
    <w:rsid w:val="002C5947"/>
    <w:rsid w:val="00452AC2"/>
    <w:rsid w:val="005A1829"/>
    <w:rsid w:val="00766E6E"/>
    <w:rsid w:val="00933365"/>
    <w:rsid w:val="00A62B9E"/>
    <w:rsid w:val="00B34A9B"/>
    <w:rsid w:val="00B80367"/>
    <w:rsid w:val="00CE4056"/>
    <w:rsid w:val="00F817F9"/>
    <w:rsid w:val="09485B01"/>
    <w:rsid w:val="4E2B561A"/>
    <w:rsid w:val="4F994D86"/>
    <w:rsid w:val="78945E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uiPriority w:val="0"/>
    <w:pPr>
      <w:spacing w:after="0" w:line="240" w:lineRule="auto"/>
    </w:pPr>
    <w:rPr>
      <w:rFonts w:ascii="Segoe UI" w:hAnsi="Segoe UI" w:cs="Segoe UI"/>
      <w:sz w:val="18"/>
      <w:szCs w:val="18"/>
    </w:rPr>
  </w:style>
  <w:style w:type="table" w:styleId="5">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Balloon Text Char"/>
    <w:basedOn w:val="2"/>
    <w:link w:val="4"/>
    <w:qFormat/>
    <w:uiPriority w:val="0"/>
    <w:rPr>
      <w:rFonts w:ascii="Segoe UI" w:hAnsi="Segoe UI" w:cs="Segoe UI"/>
      <w:sz w:val="18"/>
      <w:szCs w:val="18"/>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548</Words>
  <Characters>3127</Characters>
  <Lines>26</Lines>
  <Paragraphs>7</Paragraphs>
  <TotalTime>0</TotalTime>
  <ScaleCrop>false</ScaleCrop>
  <LinksUpToDate>false</LinksUpToDate>
  <CharactersWithSpaces>3668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2023-02-07T14:49:00Z</dcterms:created>
  <dc:creator>TECNO PR651E</dc:creator>
  <cp:lastModifiedBy>Deputy Head (Admin)</cp:lastModifiedBy>
  <dcterms:modified xsi:type="dcterms:W3CDTF">2024-01-31T12:00:17Z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3272C9056EF745B485768B3B605B9805_13</vt:lpwstr>
  </property>
  <property fmtid="{D5CDD505-2E9C-101B-9397-08002B2CF9AE}" pid="3" name="KSOProductBuildVer">
    <vt:lpwstr>1033-12.2.0.13431</vt:lpwstr>
  </property>
</Properties>
</file>