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LESSON PLAN/NOTE FOR WEEK 3 ENDING 19/05/2023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3</w:t>
      </w:r>
    </w:p>
    <w:p>
      <w:pPr>
        <w:rPr>
          <w:rFonts w:hint="default"/>
          <w:sz w:val="24"/>
          <w:szCs w:val="24"/>
          <w:lang w:val="en-US"/>
        </w:rPr>
      </w:pPr>
      <w:r>
        <w:rPr>
          <w:rFonts w:hint="default"/>
          <w:b/>
          <w:bCs/>
          <w:sz w:val="24"/>
          <w:szCs w:val="24"/>
          <w:lang w:val="en-US"/>
        </w:rPr>
        <w:t>Date</w:t>
      </w:r>
      <w:r>
        <w:rPr>
          <w:rFonts w:hint="default"/>
          <w:sz w:val="24"/>
          <w:szCs w:val="24"/>
          <w:lang w:val="en-US"/>
        </w:rPr>
        <w:t>: 16/05/2023</w:t>
      </w:r>
    </w:p>
    <w:p>
      <w:pPr>
        <w:rPr>
          <w:rFonts w:hint="default"/>
          <w:sz w:val="24"/>
          <w:szCs w:val="24"/>
          <w:lang w:val="en-US"/>
        </w:rPr>
      </w:pPr>
      <w:r>
        <w:rPr>
          <w:rFonts w:hint="default"/>
          <w:b/>
          <w:bCs/>
          <w:sz w:val="24"/>
          <w:szCs w:val="24"/>
          <w:lang w:val="en-US"/>
        </w:rPr>
        <w:t>Class</w:t>
      </w:r>
      <w:r>
        <w:rPr>
          <w:rFonts w:hint="default"/>
          <w:sz w:val="24"/>
          <w:szCs w:val="24"/>
          <w:lang w:val="en-US"/>
        </w:rPr>
        <w:t>: ss 1</w:t>
      </w:r>
    </w:p>
    <w:p>
      <w:pPr>
        <w:rPr>
          <w:rFonts w:hint="default"/>
          <w:sz w:val="24"/>
          <w:szCs w:val="24"/>
          <w:lang w:val="en-US"/>
        </w:rPr>
      </w:pPr>
      <w:r>
        <w:rPr>
          <w:rFonts w:hint="default"/>
          <w:b/>
          <w:bCs/>
          <w:sz w:val="24"/>
          <w:szCs w:val="24"/>
          <w:lang w:val="en-US"/>
        </w:rPr>
        <w:t>Subject</w:t>
      </w:r>
      <w:r>
        <w:rPr>
          <w:rFonts w:hint="default"/>
          <w:sz w:val="24"/>
          <w:szCs w:val="24"/>
          <w:lang w:val="en-US"/>
        </w:rPr>
        <w:t>: Economics</w:t>
      </w:r>
    </w:p>
    <w:p>
      <w:pPr>
        <w:rPr>
          <w:rFonts w:hint="default"/>
          <w:sz w:val="24"/>
          <w:szCs w:val="24"/>
          <w:lang w:val="en-US"/>
        </w:rPr>
      </w:pPr>
      <w:r>
        <w:rPr>
          <w:rFonts w:hint="default"/>
          <w:b/>
          <w:bCs/>
          <w:sz w:val="24"/>
          <w:szCs w:val="24"/>
          <w:lang w:val="en-US"/>
        </w:rPr>
        <w:t>Topic</w:t>
      </w:r>
      <w:r>
        <w:rPr>
          <w:rFonts w:hint="default"/>
          <w:sz w:val="24"/>
          <w:szCs w:val="24"/>
          <w:lang w:val="en-US"/>
        </w:rPr>
        <w:t xml:space="preserve">: financial institutions </w:t>
      </w:r>
    </w:p>
    <w:p>
      <w:pPr>
        <w:rPr>
          <w:rFonts w:hint="default"/>
          <w:sz w:val="24"/>
          <w:szCs w:val="24"/>
          <w:lang w:val="en-US"/>
        </w:rPr>
      </w:pPr>
      <w:r>
        <w:rPr>
          <w:rFonts w:hint="default"/>
          <w:b/>
          <w:bCs/>
          <w:sz w:val="24"/>
          <w:szCs w:val="24"/>
          <w:lang w:val="en-US"/>
        </w:rPr>
        <w:t>Sub-Topic:</w:t>
      </w:r>
      <w:r>
        <w:rPr>
          <w:rFonts w:hint="default"/>
          <w:sz w:val="24"/>
          <w:szCs w:val="24"/>
          <w:lang w:val="en-US"/>
        </w:rPr>
        <w:t xml:space="preserve"> meaning, functions and roles of commercial banks to economic development.</w:t>
      </w:r>
    </w:p>
    <w:p>
      <w:pPr>
        <w:rPr>
          <w:rFonts w:hint="default"/>
          <w:sz w:val="24"/>
          <w:szCs w:val="24"/>
          <w:lang w:val="en-US"/>
        </w:rPr>
      </w:pPr>
      <w:r>
        <w:rPr>
          <w:rFonts w:hint="default"/>
          <w:b/>
          <w:bCs/>
          <w:sz w:val="24"/>
          <w:szCs w:val="24"/>
          <w:lang w:val="en-US"/>
        </w:rPr>
        <w:t>Period</w:t>
      </w:r>
      <w:r>
        <w:rPr>
          <w:rFonts w:hint="default"/>
          <w:sz w:val="24"/>
          <w:szCs w:val="24"/>
          <w:lang w:val="en-US"/>
        </w:rPr>
        <w:t>: 4</w:t>
      </w:r>
      <w:r>
        <w:rPr>
          <w:rFonts w:hint="default"/>
          <w:sz w:val="24"/>
          <w:szCs w:val="24"/>
          <w:vertAlign w:val="superscript"/>
          <w:lang w:val="en-US"/>
        </w:rPr>
        <w:t>th</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10:30-11:10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8 students.</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w:t>
      </w:r>
    </w:p>
    <w:p>
      <w:pPr>
        <w:numPr>
          <w:ilvl w:val="0"/>
          <w:numId w:val="1"/>
        </w:numPr>
        <w:rPr>
          <w:rFonts w:hint="default"/>
          <w:sz w:val="24"/>
          <w:szCs w:val="24"/>
          <w:lang w:val="en-US"/>
        </w:rPr>
      </w:pPr>
      <w:r>
        <w:rPr>
          <w:rFonts w:hint="default"/>
          <w:sz w:val="24"/>
          <w:szCs w:val="24"/>
          <w:lang w:val="en-US"/>
        </w:rPr>
        <w:t>Define commercial banks</w:t>
      </w:r>
    </w:p>
    <w:p>
      <w:pPr>
        <w:numPr>
          <w:ilvl w:val="0"/>
          <w:numId w:val="2"/>
        </w:numPr>
        <w:rPr>
          <w:rFonts w:hint="default"/>
          <w:sz w:val="24"/>
          <w:szCs w:val="24"/>
          <w:lang w:val="en-US"/>
        </w:rPr>
      </w:pPr>
      <w:r>
        <w:rPr>
          <w:rFonts w:hint="default"/>
          <w:sz w:val="24"/>
          <w:szCs w:val="24"/>
          <w:lang w:val="en-US"/>
        </w:rPr>
        <w:t>State the functions of commercial banks</w:t>
      </w:r>
    </w:p>
    <w:p>
      <w:pPr>
        <w:numPr>
          <w:ilvl w:val="0"/>
          <w:numId w:val="3"/>
        </w:numPr>
        <w:rPr>
          <w:rFonts w:hint="default"/>
          <w:sz w:val="24"/>
          <w:szCs w:val="24"/>
          <w:lang w:val="en-US"/>
        </w:rPr>
      </w:pPr>
      <w:r>
        <w:rPr>
          <w:rFonts w:hint="default"/>
          <w:sz w:val="24"/>
          <w:szCs w:val="24"/>
          <w:lang w:val="en-US"/>
        </w:rPr>
        <w:t>Mention the role of commercial banks to economic development.</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the roles and functions of commercial banks.</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seen commercial banks such as Eco bank, Zenith bank, First bank etc.</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zenith bank, eco bank, first bank etc.</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Gbenga Babalola (2017) metropolitan economics for senior secondary schools.</w:t>
      </w:r>
    </w:p>
    <w:p>
      <w:pPr>
        <w:numPr>
          <w:ilvl w:val="0"/>
          <w:numId w:val="0"/>
        </w:numPr>
        <w:rPr>
          <w:rFonts w:hint="default"/>
          <w:b/>
          <w:bCs/>
          <w:sz w:val="24"/>
          <w:szCs w:val="24"/>
          <w:vertAlign w:val="baseline"/>
          <w:lang w:val="en-US"/>
        </w:rPr>
      </w:pPr>
      <w:r>
        <w:rPr>
          <w:rFonts w:hint="default"/>
          <w:sz w:val="24"/>
          <w:szCs w:val="24"/>
          <w:lang w:val="en-US"/>
        </w:rPr>
        <w:t xml:space="preserve"> </w:t>
      </w:r>
      <w:r>
        <w:rPr>
          <w:rFonts w:hint="default"/>
          <w:b/>
          <w:bCs/>
          <w:sz w:val="24"/>
          <w:szCs w:val="24"/>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7"/>
        <w:gridCol w:w="3738"/>
        <w:gridCol w:w="1573"/>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88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59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46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Introduction </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Step 1 </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commercial banks as: commercial banks are  those banks that perform all banking functions such as accepting deposit, advancing loans, credit creation and agency functions.</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state the functions of commercial banks</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State the functions of commercial banks as: (1) accepting deposits. (2) advancing loans etc.</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Guides the students to mention the roles of commercial banks in economic development. </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enable the students reason logically.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Board summary</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Meaning of commercial banks</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Commercial banks are those banks that perform all kinds of banking functions such as accepting deposits, advancing loans, credit creations and agency functions. They are also called join stock bank because they are organized in the same manner as joint stock companies. They give short, medium and long term loan to customers. In Nigeria, a total of 25  commercial banks were able to meet up with the #25 billion minimum capital requirement by the expiration date, which was December 31, 2005.</w:t>
            </w:r>
          </w:p>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Functions of commercial banks</w:t>
            </w:r>
            <w:r>
              <w:rPr>
                <w:rFonts w:hint="default"/>
                <w:sz w:val="24"/>
                <w:szCs w:val="24"/>
                <w:vertAlign w:val="baseline"/>
                <w:lang w:val="en-US"/>
              </w:rPr>
              <w:t xml:space="preserve">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Accepting deposits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Advancing loans: they give advances to customers in the form of loans, overdraft, discounting bills of exchange and promissory note. I.e they lend customers money.</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Payment of mechanism: they make payment on behalf of their clients and in fact, exercise agency services on behalf of their clients. I.e periodic payments like insurance premium and hire purchase.</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Safe keeping of valuables.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Credit creation</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They make use of cheque</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Acting as referees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Accelerating economic development.</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Financing foreign trade</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Issuance of bank statements.</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Role of commercial banks in economic development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Commercial banks encourage saving</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Provide capital needed for development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They enhance domestic trade</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Enhance the development of international trade.</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It encourage investment.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Provide managerial and financial advice in the economy.</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 xml:space="preserve">They help in monetary policy/ implementation.    </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students as: </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Define commercial banks</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State 5 functions of commercial banks</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Mention 5 roles of commercial banks in economic development</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8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Explain merchant bank</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State 5 functions of merchant bank.</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Explain the financial services of merchant bank.</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46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7785A"/>
    <w:multiLevelType w:val="singleLevel"/>
    <w:tmpl w:val="9737785A"/>
    <w:lvl w:ilvl="0" w:tentative="0">
      <w:start w:val="1"/>
      <w:numFmt w:val="decimal"/>
      <w:suff w:val="space"/>
      <w:lvlText w:val="(%1)"/>
      <w:lvlJc w:val="left"/>
    </w:lvl>
  </w:abstractNum>
  <w:abstractNum w:abstractNumId="1">
    <w:nsid w:val="A411C11A"/>
    <w:multiLevelType w:val="singleLevel"/>
    <w:tmpl w:val="A411C11A"/>
    <w:lvl w:ilvl="0" w:tentative="0">
      <w:start w:val="11"/>
      <w:numFmt w:val="decimal"/>
      <w:suff w:val="space"/>
      <w:lvlText w:val="(%1)"/>
      <w:lvlJc w:val="left"/>
    </w:lvl>
  </w:abstractNum>
  <w:abstractNum w:abstractNumId="2">
    <w:nsid w:val="C5C6DE4B"/>
    <w:multiLevelType w:val="singleLevel"/>
    <w:tmpl w:val="C5C6DE4B"/>
    <w:lvl w:ilvl="0" w:tentative="0">
      <w:start w:val="1"/>
      <w:numFmt w:val="decimal"/>
      <w:suff w:val="space"/>
      <w:lvlText w:val="(%1)"/>
      <w:lvlJc w:val="left"/>
    </w:lvl>
  </w:abstractNum>
  <w:abstractNum w:abstractNumId="3">
    <w:nsid w:val="285AF9F0"/>
    <w:multiLevelType w:val="singleLevel"/>
    <w:tmpl w:val="285AF9F0"/>
    <w:lvl w:ilvl="0" w:tentative="0">
      <w:start w:val="1"/>
      <w:numFmt w:val="decimal"/>
      <w:suff w:val="space"/>
      <w:lvlText w:val="(%1)"/>
      <w:lvlJc w:val="left"/>
    </w:lvl>
  </w:abstractNum>
  <w:abstractNum w:abstractNumId="4">
    <w:nsid w:val="2C6D59EA"/>
    <w:multiLevelType w:val="singleLevel"/>
    <w:tmpl w:val="2C6D59EA"/>
    <w:lvl w:ilvl="0" w:tentative="0">
      <w:start w:val="1"/>
      <w:numFmt w:val="decimal"/>
      <w:suff w:val="space"/>
      <w:lvlText w:val="(%1)"/>
      <w:lvlJc w:val="left"/>
    </w:lvl>
  </w:abstractNum>
  <w:abstractNum w:abstractNumId="5">
    <w:nsid w:val="68A86FC9"/>
    <w:multiLevelType w:val="singleLevel"/>
    <w:tmpl w:val="68A86FC9"/>
    <w:lvl w:ilvl="0" w:tentative="0">
      <w:start w:val="111"/>
      <w:numFmt w:val="decimal"/>
      <w:suff w:val="space"/>
      <w:lvlText w:val="(%1)"/>
      <w:lvlJc w:val="left"/>
    </w:lvl>
  </w:abstractNum>
  <w:abstractNum w:abstractNumId="6">
    <w:nsid w:val="74537494"/>
    <w:multiLevelType w:val="singleLevel"/>
    <w:tmpl w:val="74537494"/>
    <w:lvl w:ilvl="0" w:tentative="0">
      <w:start w:val="1"/>
      <w:numFmt w:val="decimal"/>
      <w:suff w:val="space"/>
      <w:lvlText w:val="(%1)"/>
      <w:lvlJc w:val="left"/>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010D0"/>
    <w:rsid w:val="43AF5507"/>
    <w:rsid w:val="4400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2023-05-04T08:05:00Z</dcterms:created>
  <dc:creator>Subject Teacher</dc:creator>
  <cp:lastModifiedBy>ERIS</cp:lastModifiedBy>
  <dcterms:modified xsi:type="dcterms:W3CDTF">2023-05-11T08:53:13Z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83FDA2FA4C764D1583D76BABD624AFD2</vt:lpwstr>
  </property>
</Properties>
</file>