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52AA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RetailCo Data Warehouse Architecture &amp; Insights Report</w:t>
      </w:r>
    </w:p>
    <w:p w14:paraId="7A09F4E1">
      <w:pPr>
        <w:rPr>
          <w:sz w:val="20"/>
          <w:szCs w:val="20"/>
        </w:rPr>
      </w:pPr>
    </w:p>
    <w:p w14:paraId="560346C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To:</w:t>
      </w:r>
      <w:r>
        <w:rPr>
          <w:sz w:val="20"/>
          <w:szCs w:val="20"/>
        </w:rPr>
        <w:t xml:space="preserve"> Executive Management Team, RetailCo</w:t>
      </w:r>
    </w:p>
    <w:p w14:paraId="1BAFB24B">
      <w:pPr>
        <w:rPr>
          <w:rFonts w:hint="default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From:</w:t>
      </w:r>
      <w:r>
        <w:rPr>
          <w:sz w:val="20"/>
          <w:szCs w:val="20"/>
        </w:rPr>
        <w:t xml:space="preserve"> Data Engineering &amp; Analytics Team</w:t>
      </w:r>
      <w:r>
        <w:rPr>
          <w:rFonts w:hint="default"/>
          <w:sz w:val="20"/>
          <w:szCs w:val="20"/>
          <w:lang w:val="en-US"/>
        </w:rPr>
        <w:t xml:space="preserve"> (Group H)</w:t>
      </w:r>
    </w:p>
    <w:p w14:paraId="3A072B7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Date:</w:t>
      </w:r>
      <w:r>
        <w:rPr>
          <w:sz w:val="20"/>
          <w:szCs w:val="20"/>
        </w:rPr>
        <w:t xml:space="preserve"> June 2026</w:t>
      </w:r>
    </w:p>
    <w:p w14:paraId="174E50B9">
      <w:pPr>
        <w:rPr>
          <w:rFonts w:hint="default"/>
          <w:sz w:val="20"/>
          <w:szCs w:val="20"/>
        </w:rPr>
      </w:pPr>
    </w:p>
    <w:p w14:paraId="633B7B0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Revenue Performance</w:t>
      </w:r>
      <w:bookmarkStart w:id="0" w:name="_GoBack"/>
      <w:bookmarkEnd w:id="0"/>
    </w:p>
    <w:p w14:paraId="10C89A03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Regional Footprint</w:t>
      </w:r>
    </w:p>
    <w:p w14:paraId="5382556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Our regional performance shows balanced, stable traction across all four macroeconomic hubs. RetailCo has successfully achieved geographical risk diversification; no single city hovers as a point of failure or an overwhelming outlier.</w:t>
      </w:r>
    </w:p>
    <w:p w14:paraId="548876A0">
      <w:pPr>
        <w:rPr>
          <w:rFonts w:hint="default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1329"/>
        <w:gridCol w:w="1409"/>
        <w:gridCol w:w="1251"/>
      </w:tblGrid>
      <w:tr w14:paraId="4613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F76D96">
            <w:pPr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Store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Nmae</w:t>
            </w:r>
          </w:p>
        </w:tc>
        <w:tc>
          <w:tcPr>
            <w:tcW w:w="0" w:type="auto"/>
          </w:tcPr>
          <w:p w14:paraId="4A9FD694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</w:tcPr>
          <w:p w14:paraId="13BB8CB8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0" w:type="auto"/>
          </w:tcPr>
          <w:p w14:paraId="2303E8F2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Orders</w:t>
            </w:r>
          </w:p>
        </w:tc>
      </w:tr>
      <w:tr w14:paraId="30A3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08546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RetailCo Abuja</w:t>
            </w:r>
          </w:p>
        </w:tc>
        <w:tc>
          <w:tcPr>
            <w:tcW w:w="0" w:type="auto"/>
          </w:tcPr>
          <w:p w14:paraId="33065009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Abuja</w:t>
            </w:r>
          </w:p>
        </w:tc>
        <w:tc>
          <w:tcPr>
            <w:tcW w:w="0" w:type="auto"/>
          </w:tcPr>
          <w:p w14:paraId="67E61D40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₦16.62B</w:t>
            </w:r>
          </w:p>
        </w:tc>
        <w:tc>
          <w:tcPr>
            <w:tcW w:w="0" w:type="auto"/>
          </w:tcPr>
          <w:p w14:paraId="10F05FB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19,169</w:t>
            </w:r>
          </w:p>
        </w:tc>
      </w:tr>
      <w:tr w14:paraId="0CF3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F14952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RetailCo Port Harcourt</w:t>
            </w:r>
          </w:p>
        </w:tc>
        <w:tc>
          <w:tcPr>
            <w:tcW w:w="0" w:type="auto"/>
          </w:tcPr>
          <w:p w14:paraId="35C14FE5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Port Harcourt</w:t>
            </w:r>
          </w:p>
        </w:tc>
        <w:tc>
          <w:tcPr>
            <w:tcW w:w="0" w:type="auto"/>
          </w:tcPr>
          <w:p w14:paraId="575D6CC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₦16.59B</w:t>
            </w:r>
          </w:p>
        </w:tc>
        <w:tc>
          <w:tcPr>
            <w:tcW w:w="0" w:type="auto"/>
          </w:tcPr>
          <w:p w14:paraId="53F1633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19,052</w:t>
            </w:r>
          </w:p>
        </w:tc>
      </w:tr>
      <w:tr w14:paraId="74A43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47748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RetailCo Kano</w:t>
            </w:r>
          </w:p>
        </w:tc>
        <w:tc>
          <w:tcPr>
            <w:tcW w:w="0" w:type="auto"/>
          </w:tcPr>
          <w:p w14:paraId="4DD39A78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Kano</w:t>
            </w:r>
          </w:p>
        </w:tc>
        <w:tc>
          <w:tcPr>
            <w:tcW w:w="0" w:type="auto"/>
          </w:tcPr>
          <w:p w14:paraId="0FD9FE6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₦16.33B</w:t>
            </w:r>
          </w:p>
        </w:tc>
        <w:tc>
          <w:tcPr>
            <w:tcW w:w="0" w:type="auto"/>
          </w:tcPr>
          <w:p w14:paraId="3E74416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18,931</w:t>
            </w:r>
          </w:p>
        </w:tc>
      </w:tr>
      <w:tr w14:paraId="33E6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F5EB67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RetailCo Lagos</w:t>
            </w:r>
          </w:p>
        </w:tc>
        <w:tc>
          <w:tcPr>
            <w:tcW w:w="0" w:type="auto"/>
          </w:tcPr>
          <w:p w14:paraId="7CB8DCDB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Lagos</w:t>
            </w:r>
          </w:p>
        </w:tc>
        <w:tc>
          <w:tcPr>
            <w:tcW w:w="0" w:type="auto"/>
          </w:tcPr>
          <w:p w14:paraId="40B62425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₦16.30B</w:t>
            </w:r>
          </w:p>
        </w:tc>
        <w:tc>
          <w:tcPr>
            <w:tcW w:w="0" w:type="auto"/>
          </w:tcPr>
          <w:p w14:paraId="3F5F33D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18,907</w:t>
            </w:r>
          </w:p>
        </w:tc>
      </w:tr>
    </w:tbl>
    <w:p w14:paraId="0F60CEE8">
      <w:pPr>
        <w:rPr>
          <w:rFonts w:hint="default"/>
          <w:sz w:val="20"/>
          <w:szCs w:val="20"/>
        </w:rPr>
      </w:pPr>
    </w:p>
    <w:p w14:paraId="6CCEE0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>With a c</w:t>
      </w:r>
      <w:r>
        <w:rPr>
          <w:rFonts w:hint="default"/>
          <w:sz w:val="20"/>
          <w:szCs w:val="20"/>
        </w:rPr>
        <w:t xml:space="preserve">ombined total revenue across all stores is approximately </w:t>
      </w:r>
      <w:r>
        <w:rPr>
          <w:rFonts w:hint="default"/>
          <w:b/>
          <w:bCs/>
          <w:sz w:val="20"/>
          <w:szCs w:val="20"/>
        </w:rPr>
        <w:t>₦65.84 billion</w:t>
      </w:r>
      <w:r>
        <w:rPr>
          <w:rFonts w:hint="default"/>
          <w:sz w:val="20"/>
          <w:szCs w:val="20"/>
        </w:rPr>
        <w:t>.</w:t>
      </w:r>
    </w:p>
    <w:p w14:paraId="4AFB29FD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Abuja holds the top revenue spot, closely trailed by Port Harcourt.</w:t>
      </w:r>
    </w:p>
    <w:p w14:paraId="67511E01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</w:rPr>
        <w:t>Lagos and Kano, while slightly lower, represent strong volume centers</w:t>
      </w:r>
      <w:r>
        <w:rPr>
          <w:rFonts w:hint="default"/>
          <w:sz w:val="20"/>
          <w:szCs w:val="20"/>
          <w:lang w:val="en-US"/>
        </w:rPr>
        <w:t>.</w:t>
      </w:r>
    </w:p>
    <w:p w14:paraId="147BD46C">
      <w:pPr>
        <w:rPr>
          <w:rFonts w:hint="default"/>
          <w:sz w:val="20"/>
          <w:szCs w:val="20"/>
        </w:rPr>
      </w:pPr>
    </w:p>
    <w:p w14:paraId="19E3C98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Category Dive</w:t>
      </w:r>
    </w:p>
    <w:p w14:paraId="0D964A4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 review of product categories reveals where consumer spending is focused:</w:t>
      </w:r>
    </w:p>
    <w:p w14:paraId="204A3067">
      <w:pPr>
        <w:rPr>
          <w:rFonts w:hint="default"/>
          <w:b w:val="0"/>
          <w:bCs w:val="0"/>
          <w:sz w:val="20"/>
          <w:szCs w:val="20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584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EC67AD7">
            <w:pPr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Category</w:t>
            </w:r>
          </w:p>
        </w:tc>
        <w:tc>
          <w:tcPr>
            <w:tcW w:w="2841" w:type="dxa"/>
          </w:tcPr>
          <w:p w14:paraId="51EAB060">
            <w:pPr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Total_revenue</w:t>
            </w:r>
          </w:p>
        </w:tc>
        <w:tc>
          <w:tcPr>
            <w:tcW w:w="2841" w:type="dxa"/>
          </w:tcPr>
          <w:p w14:paraId="0E76DCBE">
            <w:pPr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Units_sold</w:t>
            </w:r>
          </w:p>
        </w:tc>
      </w:tr>
      <w:tr w14:paraId="4473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986A56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Clothing</w:t>
            </w:r>
          </w:p>
        </w:tc>
        <w:tc>
          <w:tcPr>
            <w:tcW w:w="2841" w:type="dxa"/>
          </w:tcPr>
          <w:p w14:paraId="7FCD5586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9.82B</w:t>
            </w:r>
          </w:p>
        </w:tc>
        <w:tc>
          <w:tcPr>
            <w:tcW w:w="2841" w:type="dxa"/>
          </w:tcPr>
          <w:p w14:paraId="63D04F47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264,638</w:t>
            </w:r>
          </w:p>
        </w:tc>
      </w:tr>
      <w:tr w14:paraId="2FAB7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AA3FD8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Electronics</w:t>
            </w:r>
          </w:p>
        </w:tc>
        <w:tc>
          <w:tcPr>
            <w:tcW w:w="2841" w:type="dxa"/>
          </w:tcPr>
          <w:p w14:paraId="5D7619CB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8.60B</w:t>
            </w:r>
          </w:p>
        </w:tc>
        <w:tc>
          <w:tcPr>
            <w:tcW w:w="2841" w:type="dxa"/>
          </w:tcPr>
          <w:p w14:paraId="4CEAECCC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247,521</w:t>
            </w:r>
          </w:p>
        </w:tc>
      </w:tr>
      <w:tr w14:paraId="42161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76AE9E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Home &amp; Garden</w:t>
            </w:r>
          </w:p>
        </w:tc>
        <w:tc>
          <w:tcPr>
            <w:tcW w:w="2841" w:type="dxa"/>
          </w:tcPr>
          <w:p w14:paraId="27438852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8.46B</w:t>
            </w:r>
          </w:p>
        </w:tc>
        <w:tc>
          <w:tcPr>
            <w:tcW w:w="2841" w:type="dxa"/>
          </w:tcPr>
          <w:p w14:paraId="35EA6056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242,963</w:t>
            </w:r>
          </w:p>
        </w:tc>
      </w:tr>
      <w:tr w14:paraId="4442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5" w:hRule="atLeast"/>
        </w:trPr>
        <w:tc>
          <w:tcPr>
            <w:tcW w:w="2840" w:type="dxa"/>
          </w:tcPr>
          <w:p w14:paraId="5C2180B3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Books &amp; Media</w:t>
            </w:r>
          </w:p>
        </w:tc>
        <w:tc>
          <w:tcPr>
            <w:tcW w:w="2841" w:type="dxa"/>
          </w:tcPr>
          <w:p w14:paraId="199698A2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8.21B</w:t>
            </w:r>
          </w:p>
        </w:tc>
        <w:tc>
          <w:tcPr>
            <w:tcW w:w="2841" w:type="dxa"/>
          </w:tcPr>
          <w:p w14:paraId="6B9AE7D5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232,602</w:t>
            </w:r>
          </w:p>
        </w:tc>
      </w:tr>
      <w:tr w14:paraId="0016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8812FD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Food &amp; Beverage</w:t>
            </w:r>
          </w:p>
        </w:tc>
        <w:tc>
          <w:tcPr>
            <w:tcW w:w="2841" w:type="dxa"/>
          </w:tcPr>
          <w:p w14:paraId="6CF3673F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7.84B</w:t>
            </w:r>
          </w:p>
        </w:tc>
        <w:tc>
          <w:tcPr>
            <w:tcW w:w="2841" w:type="dxa"/>
          </w:tcPr>
          <w:p w14:paraId="07C379C5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225,293</w:t>
            </w:r>
          </w:p>
        </w:tc>
      </w:tr>
      <w:tr w14:paraId="78B5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13B518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Automotive</w:t>
            </w:r>
          </w:p>
        </w:tc>
        <w:tc>
          <w:tcPr>
            <w:tcW w:w="2841" w:type="dxa"/>
          </w:tcPr>
          <w:p w14:paraId="5E2469AA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7.76B</w:t>
            </w:r>
          </w:p>
        </w:tc>
        <w:tc>
          <w:tcPr>
            <w:tcW w:w="2841" w:type="dxa"/>
          </w:tcPr>
          <w:p w14:paraId="70CF2573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226,696</w:t>
            </w:r>
          </w:p>
        </w:tc>
      </w:tr>
      <w:tr w14:paraId="0DE8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6EE07A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 xml:space="preserve"> Sports</w:t>
            </w:r>
          </w:p>
        </w:tc>
        <w:tc>
          <w:tcPr>
            <w:tcW w:w="2841" w:type="dxa"/>
          </w:tcPr>
          <w:p w14:paraId="69A96E45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7.73B</w:t>
            </w:r>
          </w:p>
        </w:tc>
        <w:tc>
          <w:tcPr>
            <w:tcW w:w="2841" w:type="dxa"/>
          </w:tcPr>
          <w:p w14:paraId="331BBD28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230,184</w:t>
            </w:r>
          </w:p>
        </w:tc>
      </w:tr>
      <w:tr w14:paraId="1FB0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63D35F6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Health &amp; Beauty</w:t>
            </w:r>
          </w:p>
        </w:tc>
        <w:tc>
          <w:tcPr>
            <w:tcW w:w="2841" w:type="dxa"/>
          </w:tcPr>
          <w:p w14:paraId="4948F768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₦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7.42B</w:t>
            </w:r>
          </w:p>
        </w:tc>
        <w:tc>
          <w:tcPr>
            <w:tcW w:w="2841" w:type="dxa"/>
          </w:tcPr>
          <w:p w14:paraId="0AAB9F85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>214,876</w:t>
            </w:r>
          </w:p>
        </w:tc>
      </w:tr>
    </w:tbl>
    <w:p w14:paraId="110D4547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19FC97CB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Clothing is RetailCo’s clear anchor category, </w:t>
      </w:r>
      <w:r>
        <w:rPr>
          <w:rFonts w:hint="default"/>
          <w:sz w:val="20"/>
          <w:szCs w:val="20"/>
          <w:lang w:val="en-US"/>
        </w:rPr>
        <w:t xml:space="preserve">while </w:t>
      </w:r>
      <w:r>
        <w:rPr>
          <w:rFonts w:hint="default"/>
          <w:sz w:val="20"/>
          <w:szCs w:val="20"/>
        </w:rPr>
        <w:t>Electronics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</w:rPr>
        <w:t>and Home &amp; Garden are our next largest sectors.</w:t>
      </w:r>
    </w:p>
    <w:p w14:paraId="62D754FF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lowest-revenue sector, Health &amp; Beauty, still demonstrates strong core performance, moving over 214,000 baseline items. This indicates healthy distribution across all major business lines.</w:t>
      </w:r>
    </w:p>
    <w:p w14:paraId="39FFADE5">
      <w:pPr>
        <w:numPr>
          <w:numId w:val="0"/>
        </w:numPr>
        <w:ind w:leftChars="0"/>
        <w:rPr>
          <w:rFonts w:hint="default"/>
          <w:sz w:val="20"/>
          <w:szCs w:val="20"/>
        </w:rPr>
      </w:pPr>
    </w:p>
    <w:p w14:paraId="12886347">
      <w:pPr>
        <w:numPr>
          <w:numId w:val="0"/>
        </w:numPr>
        <w:ind w:leftChars="0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Macro Temporal Trends</w:t>
      </w:r>
    </w:p>
    <w:p w14:paraId="1783DB17">
      <w:pPr>
        <w:numPr>
          <w:numId w:val="0"/>
        </w:numPr>
        <w:ind w:left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Analyzing historical data from warehouse initialization in May 2024 through our last closed month (April 2026) highlights steady, reliable revenue trends:</w:t>
      </w:r>
    </w:p>
    <w:p w14:paraId="42CF83E0">
      <w:pPr>
        <w:numPr>
          <w:numId w:val="0"/>
        </w:numPr>
        <w:ind w:leftChars="0"/>
        <w:rPr>
          <w:rFonts w:hint="default"/>
          <w:sz w:val="20"/>
          <w:szCs w:val="20"/>
        </w:rPr>
      </w:pPr>
    </w:p>
    <w:p w14:paraId="25D98E4E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Launch Context (May 2024):</w:t>
      </w:r>
      <w:r>
        <w:rPr>
          <w:rFonts w:hint="default"/>
          <w:sz w:val="20"/>
          <w:szCs w:val="20"/>
        </w:rPr>
        <w:t xml:space="preserve"> Mid-month infrastructure initialization recorded a partial floor of </w:t>
      </w:r>
      <w:r>
        <w:rPr>
          <w:rFonts w:hint="default" w:ascii="Calibri" w:hAnsi="Calibri" w:eastAsia="SimSun" w:cs="Calibri"/>
          <w:sz w:val="20"/>
          <w:szCs w:val="20"/>
        </w:rPr>
        <w:t>₦</w:t>
      </w:r>
      <w:r>
        <w:rPr>
          <w:rFonts w:hint="default"/>
          <w:sz w:val="20"/>
          <w:szCs w:val="20"/>
        </w:rPr>
        <w:t>1.49B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</w:rPr>
        <w:t>across 1,684 orders.</w:t>
      </w:r>
    </w:p>
    <w:p w14:paraId="400495C2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Steady-State Baseline:</w:t>
      </w:r>
      <w:r>
        <w:rPr>
          <w:rFonts w:hint="default"/>
          <w:sz w:val="20"/>
          <w:szCs w:val="20"/>
        </w:rPr>
        <w:t xml:space="preserve"> Once fully operational in June 2024, monthly sales established a consistent run rate between </w:t>
      </w:r>
      <w:r>
        <w:rPr>
          <w:rFonts w:hint="default" w:ascii="Calibri" w:hAnsi="Calibri" w:eastAsia="SimSun" w:cs="Calibri"/>
          <w:sz w:val="20"/>
          <w:szCs w:val="20"/>
        </w:rPr>
        <w:t>₦</w:t>
      </w:r>
      <w:r>
        <w:rPr>
          <w:rFonts w:hint="default"/>
          <w:sz w:val="20"/>
          <w:szCs w:val="20"/>
        </w:rPr>
        <w:t xml:space="preserve">2.6B and </w:t>
      </w:r>
      <w:r>
        <w:rPr>
          <w:rFonts w:hint="default" w:ascii="Calibri" w:hAnsi="Calibri" w:eastAsia="SimSun" w:cs="Calibri"/>
          <w:sz w:val="20"/>
          <w:szCs w:val="20"/>
        </w:rPr>
        <w:t>₦</w:t>
      </w:r>
      <w:r>
        <w:rPr>
          <w:rFonts w:hint="default"/>
          <w:sz w:val="20"/>
          <w:szCs w:val="20"/>
        </w:rPr>
        <w:t>2.88B, with monthly order volumes tightly bounded between 2,900 and 3,300 orders.</w:t>
      </w:r>
    </w:p>
    <w:p w14:paraId="21F35BC8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Cyclical Variations:</w:t>
      </w:r>
      <w:r>
        <w:rPr>
          <w:rFonts w:hint="default"/>
          <w:sz w:val="20"/>
          <w:szCs w:val="20"/>
        </w:rPr>
        <w:t xml:space="preserve"> A recurring dip appears every February</w:t>
      </w:r>
      <w:r>
        <w:rPr>
          <w:rFonts w:hint="default"/>
          <w:sz w:val="20"/>
          <w:szCs w:val="20"/>
          <w:lang w:val="en-US"/>
        </w:rPr>
        <w:t xml:space="preserve">. </w:t>
      </w:r>
      <w:r>
        <w:rPr>
          <w:rFonts w:hint="default"/>
          <w:sz w:val="20"/>
          <w:szCs w:val="20"/>
        </w:rPr>
        <w:t>This drop matches fewer calendar days and a post-holiday spending pullback in the retail sector.</w:t>
      </w:r>
    </w:p>
    <w:p w14:paraId="21027CF5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Peak Volume:</w:t>
      </w:r>
      <w:r>
        <w:rPr>
          <w:rFonts w:hint="default"/>
          <w:sz w:val="20"/>
          <w:szCs w:val="20"/>
        </w:rPr>
        <w:t xml:space="preserve"> Peak historical revenue was achieved in April 2025, reaching 2.88 Billion ₦ over 3,253 orders.</w:t>
      </w:r>
    </w:p>
    <w:p w14:paraId="12E8E002">
      <w:pPr>
        <w:numPr>
          <w:numId w:val="0"/>
        </w:numPr>
        <w:ind w:leftChars="0"/>
        <w:rPr>
          <w:rFonts w:hint="default"/>
          <w:sz w:val="20"/>
          <w:szCs w:val="20"/>
        </w:rPr>
      </w:pPr>
    </w:p>
    <w:p w14:paraId="018CA04B">
      <w:pPr>
        <w:rPr>
          <w:rFonts w:hint="default"/>
          <w:sz w:val="20"/>
          <w:szCs w:val="20"/>
        </w:rPr>
      </w:pPr>
    </w:p>
    <w:p w14:paraId="18F6B91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Customer Behaviour</w:t>
      </w:r>
    </w:p>
    <w:p w14:paraId="3123A28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RetailCo serves 5,000 customers across 4 segments. All segments show remarkably consistent behaviour:</w:t>
      </w:r>
    </w:p>
    <w:p w14:paraId="6DA1C39D">
      <w:pPr>
        <w:rPr>
          <w:rFonts w:hint="default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251"/>
        <w:gridCol w:w="1570"/>
        <w:gridCol w:w="1577"/>
        <w:gridCol w:w="1956"/>
      </w:tblGrid>
      <w:tr w14:paraId="4245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08AD2D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</w:tcPr>
          <w:p w14:paraId="11B325AF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Orders</w:t>
            </w:r>
          </w:p>
        </w:tc>
        <w:tc>
          <w:tcPr>
            <w:tcW w:w="0" w:type="auto"/>
          </w:tcPr>
          <w:p w14:paraId="11D4F4E3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Customers</w:t>
            </w:r>
          </w:p>
        </w:tc>
        <w:tc>
          <w:tcPr>
            <w:tcW w:w="0" w:type="auto"/>
          </w:tcPr>
          <w:p w14:paraId="660668A7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Avg Order Value</w:t>
            </w:r>
          </w:p>
        </w:tc>
        <w:tc>
          <w:tcPr>
            <w:tcW w:w="0" w:type="auto"/>
          </w:tcPr>
          <w:p w14:paraId="2505F93F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Orders per Customer</w:t>
            </w:r>
          </w:p>
        </w:tc>
      </w:tr>
      <w:tr w14:paraId="02B8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DCA2E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VIP</w:t>
            </w:r>
          </w:p>
        </w:tc>
        <w:tc>
          <w:tcPr>
            <w:tcW w:w="0" w:type="auto"/>
          </w:tcPr>
          <w:p w14:paraId="6E7FD3B6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21,297</w:t>
            </w:r>
          </w:p>
        </w:tc>
        <w:tc>
          <w:tcPr>
            <w:tcW w:w="0" w:type="auto"/>
          </w:tcPr>
          <w:p w14:paraId="6EBF58C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1,334</w:t>
            </w:r>
          </w:p>
        </w:tc>
        <w:tc>
          <w:tcPr>
            <w:tcW w:w="0" w:type="auto"/>
          </w:tcPr>
          <w:p w14:paraId="6184EFC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₦865,367</w:t>
            </w:r>
          </w:p>
        </w:tc>
        <w:tc>
          <w:tcPr>
            <w:tcW w:w="0" w:type="auto"/>
          </w:tcPr>
          <w:p w14:paraId="7EBC8F94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16.0</w:t>
            </w:r>
          </w:p>
        </w:tc>
      </w:tr>
      <w:tr w14:paraId="6B08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22FCAA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Retail</w:t>
            </w:r>
          </w:p>
        </w:tc>
        <w:tc>
          <w:tcPr>
            <w:tcW w:w="0" w:type="auto"/>
          </w:tcPr>
          <w:p w14:paraId="6273AC97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19,770</w:t>
            </w:r>
          </w:p>
        </w:tc>
        <w:tc>
          <w:tcPr>
            <w:tcW w:w="0" w:type="auto"/>
          </w:tcPr>
          <w:p w14:paraId="7DA84408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1,234</w:t>
            </w:r>
          </w:p>
        </w:tc>
        <w:tc>
          <w:tcPr>
            <w:tcW w:w="0" w:type="auto"/>
          </w:tcPr>
          <w:p w14:paraId="00404AEB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₦863,762</w:t>
            </w:r>
          </w:p>
        </w:tc>
        <w:tc>
          <w:tcPr>
            <w:tcW w:w="0" w:type="auto"/>
          </w:tcPr>
          <w:p w14:paraId="6ECAD3F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16.0</w:t>
            </w:r>
          </w:p>
        </w:tc>
      </w:tr>
      <w:tr w14:paraId="56AA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18066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Corporate</w:t>
            </w:r>
          </w:p>
        </w:tc>
        <w:tc>
          <w:tcPr>
            <w:tcW w:w="0" w:type="auto"/>
          </w:tcPr>
          <w:p w14:paraId="7E6AB361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19,493</w:t>
            </w:r>
          </w:p>
        </w:tc>
        <w:tc>
          <w:tcPr>
            <w:tcW w:w="0" w:type="auto"/>
          </w:tcPr>
          <w:p w14:paraId="3BFB2662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1,226</w:t>
            </w:r>
          </w:p>
        </w:tc>
        <w:tc>
          <w:tcPr>
            <w:tcW w:w="0" w:type="auto"/>
          </w:tcPr>
          <w:p w14:paraId="53449479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₦870,059</w:t>
            </w:r>
          </w:p>
        </w:tc>
        <w:tc>
          <w:tcPr>
            <w:tcW w:w="0" w:type="auto"/>
          </w:tcPr>
          <w:p w14:paraId="2BA4683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15.9</w:t>
            </w:r>
          </w:p>
        </w:tc>
      </w:tr>
      <w:tr w14:paraId="56D0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64C307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Wholesale</w:t>
            </w:r>
          </w:p>
        </w:tc>
        <w:tc>
          <w:tcPr>
            <w:tcW w:w="0" w:type="auto"/>
          </w:tcPr>
          <w:p w14:paraId="4E161851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19,440</w:t>
            </w:r>
          </w:p>
        </w:tc>
        <w:tc>
          <w:tcPr>
            <w:tcW w:w="0" w:type="auto"/>
          </w:tcPr>
          <w:p w14:paraId="2C20A7D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1,206</w:t>
            </w:r>
          </w:p>
        </w:tc>
        <w:tc>
          <w:tcPr>
            <w:tcW w:w="0" w:type="auto"/>
          </w:tcPr>
          <w:p w14:paraId="7756B5B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₦863,498</w:t>
            </w:r>
          </w:p>
        </w:tc>
        <w:tc>
          <w:tcPr>
            <w:tcW w:w="0" w:type="auto"/>
          </w:tcPr>
          <w:p w14:paraId="671DE036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16.1</w:t>
            </w:r>
          </w:p>
        </w:tc>
      </w:tr>
    </w:tbl>
    <w:p w14:paraId="045DB792">
      <w:pPr>
        <w:rPr>
          <w:rFonts w:hint="default"/>
          <w:sz w:val="20"/>
          <w:szCs w:val="20"/>
        </w:rPr>
      </w:pPr>
    </w:p>
    <w:p w14:paraId="3B6C57A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Corporate customers have the highest average order value at ₦870,059. Every segment averages approximately 16 orders per customer showing strong repeat purchase behaviour across the board.</w:t>
      </w:r>
    </w:p>
    <w:p w14:paraId="7D75ED6F">
      <w:pPr>
        <w:rPr>
          <w:rFonts w:hint="default"/>
          <w:sz w:val="20"/>
          <w:szCs w:val="20"/>
        </w:rPr>
      </w:pPr>
    </w:p>
    <w:p w14:paraId="601A244B">
      <w:pPr>
        <w:numPr>
          <w:ilvl w:val="0"/>
          <w:numId w:val="2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Product &amp; Discount Analysis</w:t>
      </w:r>
    </w:p>
    <w:p w14:paraId="1C91B5D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top revenue generating product is Modern Cotton Pizza (Health &amp; Beauty) at ₦134.8M followed by Unbranded Frozen Sausages (Books &amp; Media) at ₦116.9M. Average discount across top products is between 3% and 4%.</w:t>
      </w:r>
    </w:p>
    <w:p w14:paraId="6977FE5D">
      <w:pPr>
        <w:rPr>
          <w:rFonts w:hint="default"/>
          <w:sz w:val="10"/>
          <w:szCs w:val="10"/>
        </w:rPr>
      </w:pPr>
    </w:p>
    <w:p w14:paraId="0522FF7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Discount band analysis shows that the majority of sales</w:t>
      </w:r>
      <w:r>
        <w:rPr>
          <w:rFonts w:hint="default"/>
          <w:sz w:val="20"/>
          <w:szCs w:val="20"/>
          <w:lang w:val="en-US"/>
        </w:rPr>
        <w:t xml:space="preserve">, </w:t>
      </w:r>
      <w:r>
        <w:rPr>
          <w:rFonts w:hint="default"/>
          <w:sz w:val="20"/>
          <w:szCs w:val="20"/>
        </w:rPr>
        <w:t>274,418 order lines worth ₦54.5B</w:t>
      </w:r>
      <w:r>
        <w:rPr>
          <w:rFonts w:hint="default"/>
          <w:sz w:val="20"/>
          <w:szCs w:val="20"/>
          <w:lang w:val="en-US"/>
        </w:rPr>
        <w:t>,</w:t>
      </w:r>
      <w:r>
        <w:rPr>
          <w:rFonts w:hint="default"/>
          <w:sz w:val="20"/>
          <w:szCs w:val="20"/>
        </w:rPr>
        <w:t xml:space="preserve"> were made at full price with no discount. Discounted orders represent about 20% of transactions but generate lower average line values as expected:</w:t>
      </w:r>
    </w:p>
    <w:p w14:paraId="2F08A5BD">
      <w:pPr>
        <w:rPr>
          <w:rFonts w:hint="default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69"/>
        <w:gridCol w:w="940"/>
        <w:gridCol w:w="815"/>
      </w:tblGrid>
      <w:tr w14:paraId="5D7F5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21C01F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Discount Band</w:t>
            </w:r>
          </w:p>
        </w:tc>
        <w:tc>
          <w:tcPr>
            <w:tcW w:w="0" w:type="auto"/>
          </w:tcPr>
          <w:p w14:paraId="7974D842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Order Lines</w:t>
            </w:r>
          </w:p>
        </w:tc>
        <w:tc>
          <w:tcPr>
            <w:tcW w:w="0" w:type="auto"/>
          </w:tcPr>
          <w:p w14:paraId="0EEFAFF1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0" w:type="auto"/>
          </w:tcPr>
          <w:p w14:paraId="4E09FCF1">
            <w:pPr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%</w:t>
            </w:r>
          </w:p>
        </w:tc>
      </w:tr>
      <w:tr w14:paraId="4E6C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3810EA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No Discount</w:t>
            </w:r>
          </w:p>
        </w:tc>
        <w:tc>
          <w:tcPr>
            <w:tcW w:w="0" w:type="auto"/>
          </w:tcPr>
          <w:p w14:paraId="27E67D1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274,418</w:t>
            </w:r>
          </w:p>
        </w:tc>
        <w:tc>
          <w:tcPr>
            <w:tcW w:w="0" w:type="auto"/>
          </w:tcPr>
          <w:p w14:paraId="46DE5A18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₦54.54B</w:t>
            </w:r>
          </w:p>
        </w:tc>
        <w:tc>
          <w:tcPr>
            <w:tcW w:w="0" w:type="auto"/>
          </w:tcPr>
          <w:p w14:paraId="1C4842F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82.83%</w:t>
            </w:r>
          </w:p>
        </w:tc>
      </w:tr>
      <w:tr w14:paraId="3070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9492A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11-20%</w:t>
            </w:r>
          </w:p>
        </w:tc>
        <w:tc>
          <w:tcPr>
            <w:tcW w:w="0" w:type="auto"/>
          </w:tcPr>
          <w:p w14:paraId="46C21861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26,480</w:t>
            </w:r>
          </w:p>
        </w:tc>
        <w:tc>
          <w:tcPr>
            <w:tcW w:w="0" w:type="auto"/>
          </w:tcPr>
          <w:p w14:paraId="04D1E38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₦4.48B</w:t>
            </w:r>
          </w:p>
        </w:tc>
        <w:tc>
          <w:tcPr>
            <w:tcW w:w="0" w:type="auto"/>
          </w:tcPr>
          <w:p w14:paraId="74BD96D8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6.81%</w:t>
            </w:r>
          </w:p>
        </w:tc>
      </w:tr>
      <w:tr w14:paraId="51EC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7C489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Above 20%</w:t>
            </w:r>
          </w:p>
        </w:tc>
        <w:tc>
          <w:tcPr>
            <w:tcW w:w="0" w:type="auto"/>
          </w:tcPr>
          <w:p w14:paraId="62F7DFA6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26,219</w:t>
            </w:r>
          </w:p>
        </w:tc>
        <w:tc>
          <w:tcPr>
            <w:tcW w:w="0" w:type="auto"/>
          </w:tcPr>
          <w:p w14:paraId="0F094C6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₦3.90B</w:t>
            </w:r>
          </w:p>
        </w:tc>
        <w:tc>
          <w:tcPr>
            <w:tcW w:w="0" w:type="auto"/>
          </w:tcPr>
          <w:p w14:paraId="4532D94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5.92%</w:t>
            </w:r>
          </w:p>
        </w:tc>
      </w:tr>
      <w:tr w14:paraId="6C45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7DCBA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1-10%</w:t>
            </w:r>
          </w:p>
        </w:tc>
        <w:tc>
          <w:tcPr>
            <w:tcW w:w="0" w:type="auto"/>
          </w:tcPr>
          <w:p w14:paraId="0B34D516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15,809</w:t>
            </w:r>
          </w:p>
        </w:tc>
        <w:tc>
          <w:tcPr>
            <w:tcW w:w="0" w:type="auto"/>
          </w:tcPr>
          <w:p w14:paraId="245C960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₦2.93B</w:t>
            </w:r>
          </w:p>
        </w:tc>
        <w:tc>
          <w:tcPr>
            <w:tcW w:w="0" w:type="auto"/>
          </w:tcPr>
          <w:p w14:paraId="26B7BFA9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4.44%</w:t>
            </w:r>
          </w:p>
        </w:tc>
      </w:tr>
    </w:tbl>
    <w:p w14:paraId="0BFF58A5">
      <w:pPr>
        <w:rPr>
          <w:rFonts w:hint="default"/>
          <w:sz w:val="20"/>
          <w:szCs w:val="20"/>
        </w:rPr>
      </w:pPr>
    </w:p>
    <w:p w14:paraId="595C155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This suggests RetailCo's discount strategy is conservative and well controlled</w:t>
      </w:r>
      <w:r>
        <w:rPr>
          <w:rFonts w:hint="default"/>
          <w:sz w:val="20"/>
          <w:szCs w:val="20"/>
          <w:lang w:val="en-US"/>
        </w:rPr>
        <w:t>,</w:t>
      </w:r>
      <w:r>
        <w:rPr>
          <w:rFonts w:hint="default"/>
          <w:sz w:val="20"/>
          <w:szCs w:val="20"/>
        </w:rPr>
        <w:t xml:space="preserve"> most revenue comes from full-price sales.</w:t>
      </w:r>
    </w:p>
    <w:p w14:paraId="5FF2B9AC">
      <w:pPr>
        <w:rPr>
          <w:rFonts w:hint="default"/>
          <w:sz w:val="20"/>
          <w:szCs w:val="20"/>
        </w:rPr>
      </w:pPr>
    </w:p>
    <w:p w14:paraId="0F63C5F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Payment Channel Insights</w:t>
      </w:r>
    </w:p>
    <w:p w14:paraId="6874D5A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All 5 payment methods are used almost equally, showing healthy diversification:</w:t>
      </w:r>
    </w:p>
    <w:p w14:paraId="451D53EC">
      <w:pPr>
        <w:rPr>
          <w:rFonts w:hint="default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268"/>
        <w:gridCol w:w="1361"/>
      </w:tblGrid>
      <w:tr w14:paraId="48F1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170C56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Payment Method</w:t>
            </w:r>
          </w:p>
        </w:tc>
        <w:tc>
          <w:tcPr>
            <w:tcW w:w="0" w:type="auto"/>
          </w:tcPr>
          <w:p w14:paraId="1B679CA1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0" w:type="auto"/>
          </w:tcPr>
          <w:p w14:paraId="4DDC67C9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Amount</w:t>
            </w:r>
          </w:p>
        </w:tc>
      </w:tr>
      <w:tr w14:paraId="20AFA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61FF52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Cash</w:t>
            </w:r>
          </w:p>
        </w:tc>
        <w:tc>
          <w:tcPr>
            <w:tcW w:w="0" w:type="auto"/>
          </w:tcPr>
          <w:p w14:paraId="400F270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14,219</w:t>
            </w:r>
          </w:p>
        </w:tc>
        <w:tc>
          <w:tcPr>
            <w:tcW w:w="0" w:type="auto"/>
          </w:tcPr>
          <w:p w14:paraId="06149AB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₦11.86B</w:t>
            </w:r>
          </w:p>
        </w:tc>
      </w:tr>
      <w:tr w14:paraId="08BB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6C5CE6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Card</w:t>
            </w:r>
          </w:p>
        </w:tc>
        <w:tc>
          <w:tcPr>
            <w:tcW w:w="0" w:type="auto"/>
          </w:tcPr>
          <w:p w14:paraId="34488931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14,065</w:t>
            </w:r>
          </w:p>
        </w:tc>
        <w:tc>
          <w:tcPr>
            <w:tcW w:w="0" w:type="auto"/>
          </w:tcPr>
          <w:p w14:paraId="7157B8E2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₦11.75B</w:t>
            </w:r>
          </w:p>
        </w:tc>
      </w:tr>
      <w:tr w14:paraId="5503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FDA57A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Bank Transfer</w:t>
            </w:r>
          </w:p>
        </w:tc>
        <w:tc>
          <w:tcPr>
            <w:tcW w:w="0" w:type="auto"/>
          </w:tcPr>
          <w:p w14:paraId="58F5BF5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14,257</w:t>
            </w:r>
          </w:p>
        </w:tc>
        <w:tc>
          <w:tcPr>
            <w:tcW w:w="0" w:type="auto"/>
          </w:tcPr>
          <w:p w14:paraId="7860F34C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₦11.75B</w:t>
            </w:r>
          </w:p>
        </w:tc>
      </w:tr>
      <w:tr w14:paraId="07A4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D6590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USSD</w:t>
            </w:r>
          </w:p>
        </w:tc>
        <w:tc>
          <w:tcPr>
            <w:tcW w:w="0" w:type="auto"/>
          </w:tcPr>
          <w:p w14:paraId="6655A9F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14,073</w:t>
            </w:r>
          </w:p>
        </w:tc>
        <w:tc>
          <w:tcPr>
            <w:tcW w:w="0" w:type="auto"/>
          </w:tcPr>
          <w:p w14:paraId="3B1A8854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₦11.73B</w:t>
            </w:r>
          </w:p>
        </w:tc>
      </w:tr>
      <w:tr w14:paraId="513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6EB029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Mobile Money</w:t>
            </w:r>
          </w:p>
        </w:tc>
        <w:tc>
          <w:tcPr>
            <w:tcW w:w="0" w:type="auto"/>
          </w:tcPr>
          <w:p w14:paraId="4C57447A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14,027</w:t>
            </w:r>
          </w:p>
        </w:tc>
        <w:tc>
          <w:tcPr>
            <w:tcW w:w="0" w:type="auto"/>
          </w:tcPr>
          <w:p w14:paraId="115070EF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₦11.65B</w:t>
            </w:r>
          </w:p>
        </w:tc>
      </w:tr>
    </w:tbl>
    <w:p w14:paraId="1EF97ADA">
      <w:pPr>
        <w:rPr>
          <w:rFonts w:hint="default"/>
          <w:sz w:val="20"/>
          <w:szCs w:val="20"/>
        </w:rPr>
      </w:pPr>
    </w:p>
    <w:p w14:paraId="5A28C05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Average transaction value is consistent across all methods at approximately ₦833,000. Cash is slightly the most used method.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</w:rPr>
        <w:t>1,413 legitimate refunds totalling ₦1.22B were processed</w:t>
      </w:r>
      <w:r>
        <w:rPr>
          <w:rFonts w:hint="default"/>
          <w:sz w:val="20"/>
          <w:szCs w:val="20"/>
          <w:lang w:val="en-US"/>
        </w:rPr>
        <w:t>,</w:t>
      </w:r>
      <w:r>
        <w:rPr>
          <w:rFonts w:hint="default"/>
          <w:sz w:val="20"/>
          <w:szCs w:val="20"/>
        </w:rPr>
        <w:t xml:space="preserve"> these remain in fct_payments as valid negative transactions.</w:t>
      </w:r>
    </w:p>
    <w:p w14:paraId="72CA3595">
      <w:pPr>
        <w:rPr>
          <w:rFonts w:hint="default"/>
          <w:sz w:val="20"/>
          <w:szCs w:val="20"/>
        </w:rPr>
      </w:pPr>
    </w:p>
    <w:p w14:paraId="0199395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Operational Data Quality</w:t>
      </w:r>
    </w:p>
    <w:p w14:paraId="7EF9C1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 pipeline flagged 1,435 anomalous payment records that were excluded from revenue analysis:</w:t>
      </w:r>
    </w:p>
    <w:p w14:paraId="286DA875">
      <w:pPr>
        <w:rPr>
          <w:rFonts w:hint="default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714"/>
        <w:gridCol w:w="1361"/>
      </w:tblGrid>
      <w:tr w14:paraId="067D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34EAA3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Flag Reason</w:t>
            </w:r>
          </w:p>
        </w:tc>
        <w:tc>
          <w:tcPr>
            <w:tcW w:w="0" w:type="auto"/>
          </w:tcPr>
          <w:p w14:paraId="5B568549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</w:tcPr>
          <w:p w14:paraId="01A404CE">
            <w:pPr>
              <w:jc w:val="center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Total Amount</w:t>
            </w:r>
          </w:p>
        </w:tc>
      </w:tr>
      <w:tr w14:paraId="1580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D1AF23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zero_amount</w:t>
            </w:r>
          </w:p>
        </w:tc>
        <w:tc>
          <w:tcPr>
            <w:tcW w:w="0" w:type="auto"/>
          </w:tcPr>
          <w:p w14:paraId="7656CD57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738</w:t>
            </w:r>
          </w:p>
        </w:tc>
        <w:tc>
          <w:tcPr>
            <w:tcW w:w="0" w:type="auto"/>
          </w:tcPr>
          <w:p w14:paraId="268D802A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₦0.00</w:t>
            </w:r>
          </w:p>
        </w:tc>
      </w:tr>
      <w:tr w14:paraId="3F7F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AF28A8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unexplained_negative</w:t>
            </w:r>
          </w:p>
        </w:tc>
        <w:tc>
          <w:tcPr>
            <w:tcW w:w="0" w:type="auto"/>
          </w:tcPr>
          <w:p w14:paraId="49F1A498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697</w:t>
            </w:r>
          </w:p>
        </w:tc>
        <w:tc>
          <w:tcPr>
            <w:tcW w:w="0" w:type="auto"/>
          </w:tcPr>
          <w:p w14:paraId="5BEF2F8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-₦1,736,669</w:t>
            </w:r>
          </w:p>
        </w:tc>
      </w:tr>
    </w:tbl>
    <w:p w14:paraId="11F44F05">
      <w:pPr>
        <w:rPr>
          <w:rFonts w:hint="default"/>
          <w:sz w:val="20"/>
          <w:szCs w:val="20"/>
        </w:rPr>
      </w:pPr>
    </w:p>
    <w:p w14:paraId="23482CD6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738 payments had zero amounts</w:t>
      </w:r>
      <w:r>
        <w:rPr>
          <w:rFonts w:hint="default"/>
          <w:sz w:val="20"/>
          <w:szCs w:val="20"/>
          <w:lang w:val="en-US"/>
        </w:rPr>
        <w:t xml:space="preserve">, </w:t>
      </w:r>
      <w:r>
        <w:rPr>
          <w:rFonts w:hint="default"/>
          <w:sz w:val="20"/>
          <w:szCs w:val="20"/>
        </w:rPr>
        <w:t>likely failed or incomplete transactions. 697 had unexplained negative amounts not classified as refunds.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A8296"/>
    <w:multiLevelType w:val="singleLevel"/>
    <w:tmpl w:val="AAAA8296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F3442FE"/>
    <w:multiLevelType w:val="singleLevel"/>
    <w:tmpl w:val="2F3442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19EA"/>
    <w:rsid w:val="1203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2026-06-01T12:50:00Z</dcterms:created>
  <dc:creator>Khay</dc:creator>
  <cp:lastModifiedBy>WPS_1770483466</cp:lastModifiedBy>
  <dcterms:modified xsi:type="dcterms:W3CDTF">2026-06-01T13:56:59Z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5F1846138BA548F9B1D86BF1E912BE9D_11</vt:lpwstr>
  </property>
  <property fmtid="{D5CDD505-2E9C-101B-9397-08002B2CF9AE}" pid="4" name="KSOTemplateDocerSaveRecord">
    <vt:lpwstr>eyJoZGlkIjoiOTM1MjQ0NjZlMDgwMDEwZjllNGJmMzA2OTA3NTM5YWUiLCJ1c2VySWQiOiIyNzY2NjgzNTY2MTU0In0=</vt:lpwstr>
  </property>
</Properties>
</file>