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B3BE" w14:textId="4C526880" w:rsidR="006745D3" w:rsidRPr="005E2655" w:rsidRDefault="006727C6" w:rsidP="00D02A08">
      <w:pPr>
        <w:pStyle w:val="Heading1"/>
        <w:rPr>
          <w:rFonts w:ascii="Arial" w:hAnsi="Arial" w:cs="Arial"/>
        </w:rPr>
      </w:pPr>
      <w:r w:rsidRPr="005E2655">
        <w:rPr>
          <w:rFonts w:ascii="Arial" w:hAnsi="Arial" w:cs="Arial"/>
        </w:rPr>
        <w:t xml:space="preserve">Formal </w:t>
      </w:r>
      <w:r w:rsidR="00D02A08" w:rsidRPr="005E2655">
        <w:rPr>
          <w:rFonts w:ascii="Arial" w:hAnsi="Arial" w:cs="Arial"/>
        </w:rPr>
        <w:t xml:space="preserve">Project </w:t>
      </w:r>
      <w:r w:rsidRPr="005E2655">
        <w:rPr>
          <w:rFonts w:ascii="Arial" w:hAnsi="Arial" w:cs="Arial"/>
        </w:rPr>
        <w:t>Proposal</w:t>
      </w:r>
      <w:r w:rsidR="00D02A08" w:rsidRPr="005E2655">
        <w:rPr>
          <w:rFonts w:ascii="Arial" w:hAnsi="Arial" w:cs="Arial"/>
        </w:rPr>
        <w:t xml:space="preserve"> template</w:t>
      </w:r>
    </w:p>
    <w:tbl>
      <w:tblPr>
        <w:tblStyle w:val="TableGrid"/>
        <w:tblW w:w="0" w:type="auto"/>
        <w:tblLook w:val="04A0" w:firstRow="1" w:lastRow="0" w:firstColumn="1" w:lastColumn="0" w:noHBand="0" w:noVBand="1"/>
      </w:tblPr>
      <w:tblGrid>
        <w:gridCol w:w="1969"/>
        <w:gridCol w:w="8487"/>
      </w:tblGrid>
      <w:tr w:rsidR="00D02A08" w:rsidRPr="005E2655" w14:paraId="67587528" w14:textId="77777777" w:rsidTr="007E0DB6">
        <w:tc>
          <w:tcPr>
            <w:tcW w:w="1824" w:type="dxa"/>
          </w:tcPr>
          <w:p w14:paraId="04755066" w14:textId="77777777" w:rsidR="00D02A08" w:rsidRPr="005E2655" w:rsidRDefault="00D02A08" w:rsidP="00D02A08">
            <w:pPr>
              <w:rPr>
                <w:rFonts w:ascii="Arial" w:hAnsi="Arial" w:cs="Arial"/>
                <w:b/>
                <w:bCs/>
              </w:rPr>
            </w:pPr>
            <w:r w:rsidRPr="005E2655">
              <w:rPr>
                <w:rFonts w:ascii="Arial" w:hAnsi="Arial" w:cs="Arial"/>
                <w:b/>
                <w:bCs/>
              </w:rPr>
              <w:t>Name:</w:t>
            </w:r>
          </w:p>
        </w:tc>
        <w:tc>
          <w:tcPr>
            <w:tcW w:w="8632" w:type="dxa"/>
          </w:tcPr>
          <w:p w14:paraId="239A0903" w14:textId="526CC89F" w:rsidR="00D02A08" w:rsidRPr="005E2655" w:rsidRDefault="00FB71D9" w:rsidP="00D02A08">
            <w:pPr>
              <w:rPr>
                <w:rFonts w:ascii="Arial" w:hAnsi="Arial" w:cs="Arial"/>
              </w:rPr>
            </w:pPr>
            <w:r w:rsidRPr="005E2655">
              <w:rPr>
                <w:rFonts w:ascii="Arial" w:hAnsi="Arial" w:cs="Arial"/>
              </w:rPr>
              <w:t>Tolulope David Soetan</w:t>
            </w:r>
          </w:p>
        </w:tc>
      </w:tr>
      <w:tr w:rsidR="00D02A08" w:rsidRPr="005E2655" w14:paraId="099BB764" w14:textId="77777777" w:rsidTr="007E0DB6">
        <w:tc>
          <w:tcPr>
            <w:tcW w:w="1824" w:type="dxa"/>
          </w:tcPr>
          <w:p w14:paraId="47935ACB" w14:textId="77777777" w:rsidR="00D02A08" w:rsidRPr="005E2655" w:rsidRDefault="00D02A08" w:rsidP="00D02A08">
            <w:pPr>
              <w:rPr>
                <w:rFonts w:ascii="Arial" w:hAnsi="Arial" w:cs="Arial"/>
                <w:b/>
                <w:bCs/>
              </w:rPr>
            </w:pPr>
            <w:r w:rsidRPr="005E2655">
              <w:rPr>
                <w:rFonts w:ascii="Arial" w:hAnsi="Arial" w:cs="Arial"/>
                <w:b/>
                <w:bCs/>
              </w:rPr>
              <w:t>Programme:</w:t>
            </w:r>
          </w:p>
        </w:tc>
        <w:tc>
          <w:tcPr>
            <w:tcW w:w="8632" w:type="dxa"/>
          </w:tcPr>
          <w:p w14:paraId="7B0F00B9" w14:textId="4293E6B8" w:rsidR="00D02A08" w:rsidRPr="005E2655" w:rsidRDefault="00FB71D9" w:rsidP="00D02A08">
            <w:pPr>
              <w:rPr>
                <w:rFonts w:ascii="Arial" w:hAnsi="Arial" w:cs="Arial"/>
              </w:rPr>
            </w:pPr>
            <w:r w:rsidRPr="005E2655">
              <w:rPr>
                <w:rFonts w:ascii="Arial" w:hAnsi="Arial" w:cs="Arial"/>
              </w:rPr>
              <w:t>MSc Data Science</w:t>
            </w:r>
          </w:p>
        </w:tc>
      </w:tr>
      <w:tr w:rsidR="00D02A08" w:rsidRPr="005E2655" w14:paraId="13906D2E" w14:textId="77777777" w:rsidTr="007E0DB6">
        <w:tc>
          <w:tcPr>
            <w:tcW w:w="1824" w:type="dxa"/>
          </w:tcPr>
          <w:p w14:paraId="35D7264F" w14:textId="77777777" w:rsidR="00D02A08" w:rsidRPr="005E2655" w:rsidRDefault="00D02A08" w:rsidP="00D02A08">
            <w:pPr>
              <w:rPr>
                <w:rFonts w:ascii="Arial" w:hAnsi="Arial" w:cs="Arial"/>
                <w:b/>
                <w:bCs/>
              </w:rPr>
            </w:pPr>
            <w:r w:rsidRPr="005E2655">
              <w:rPr>
                <w:rFonts w:ascii="Arial" w:hAnsi="Arial" w:cs="Arial"/>
                <w:b/>
                <w:bCs/>
              </w:rPr>
              <w:t>Student ID:</w:t>
            </w:r>
          </w:p>
        </w:tc>
        <w:tc>
          <w:tcPr>
            <w:tcW w:w="8632" w:type="dxa"/>
          </w:tcPr>
          <w:p w14:paraId="19E57A45" w14:textId="0D15114B" w:rsidR="00D02A08" w:rsidRPr="005E2655" w:rsidRDefault="00FB71D9" w:rsidP="00D02A08">
            <w:pPr>
              <w:rPr>
                <w:rFonts w:ascii="Arial" w:hAnsi="Arial" w:cs="Arial"/>
              </w:rPr>
            </w:pPr>
            <w:r w:rsidRPr="005E2655">
              <w:rPr>
                <w:rFonts w:ascii="Arial" w:hAnsi="Arial" w:cs="Arial"/>
              </w:rPr>
              <w:t>25025723</w:t>
            </w:r>
          </w:p>
        </w:tc>
      </w:tr>
      <w:tr w:rsidR="00D02A08" w:rsidRPr="005E2655" w14:paraId="270A2F55" w14:textId="77777777" w:rsidTr="007E0DB6">
        <w:trPr>
          <w:trHeight w:val="725"/>
        </w:trPr>
        <w:tc>
          <w:tcPr>
            <w:tcW w:w="1824" w:type="dxa"/>
          </w:tcPr>
          <w:p w14:paraId="26B93576" w14:textId="77777777" w:rsidR="00D02A08" w:rsidRPr="005E2655" w:rsidRDefault="00D02A08" w:rsidP="00D02A08">
            <w:pPr>
              <w:rPr>
                <w:rFonts w:ascii="Arial" w:hAnsi="Arial" w:cs="Arial"/>
                <w:b/>
                <w:bCs/>
              </w:rPr>
            </w:pPr>
            <w:r w:rsidRPr="005E2655">
              <w:rPr>
                <w:rFonts w:ascii="Arial" w:hAnsi="Arial" w:cs="Arial"/>
                <w:b/>
                <w:bCs/>
              </w:rPr>
              <w:t>Project Title:</w:t>
            </w:r>
          </w:p>
        </w:tc>
        <w:tc>
          <w:tcPr>
            <w:tcW w:w="8632" w:type="dxa"/>
          </w:tcPr>
          <w:p w14:paraId="2A44A8BD" w14:textId="299684F6" w:rsidR="00D02A08" w:rsidRPr="005E2655" w:rsidRDefault="00FB71D9" w:rsidP="00D02A08">
            <w:pPr>
              <w:rPr>
                <w:rFonts w:ascii="Arial" w:hAnsi="Arial" w:cs="Arial"/>
                <w:iCs/>
              </w:rPr>
            </w:pPr>
            <w:r w:rsidRPr="005E2655">
              <w:rPr>
                <w:rFonts w:ascii="Arial" w:hAnsi="Arial" w:cs="Arial"/>
                <w:iCs/>
              </w:rPr>
              <w:t>Designing and Evaluating a</w:t>
            </w:r>
            <w:r w:rsidR="003E5942" w:rsidRPr="005E2655">
              <w:rPr>
                <w:rFonts w:ascii="Arial" w:hAnsi="Arial" w:cs="Arial"/>
                <w:iCs/>
              </w:rPr>
              <w:t xml:space="preserve">n </w:t>
            </w:r>
            <w:r w:rsidRPr="005E2655">
              <w:rPr>
                <w:rFonts w:ascii="Arial" w:hAnsi="Arial" w:cs="Arial"/>
                <w:iCs/>
              </w:rPr>
              <w:t xml:space="preserve">Adaptive Learning Platform Using Knowledge Tracing: A Simulation-Based Approach with </w:t>
            </w:r>
            <w:proofErr w:type="spellStart"/>
            <w:r w:rsidRPr="005E2655">
              <w:rPr>
                <w:rFonts w:ascii="Arial" w:hAnsi="Arial" w:cs="Arial"/>
                <w:iCs/>
              </w:rPr>
              <w:t>EDNet</w:t>
            </w:r>
            <w:proofErr w:type="spellEnd"/>
          </w:p>
        </w:tc>
      </w:tr>
      <w:tr w:rsidR="00D02A08" w:rsidRPr="005E2655" w14:paraId="4EABA7D9" w14:textId="77777777" w:rsidTr="007E0DB6">
        <w:tc>
          <w:tcPr>
            <w:tcW w:w="1824" w:type="dxa"/>
          </w:tcPr>
          <w:p w14:paraId="216E9ED0" w14:textId="77777777" w:rsidR="00D02A08" w:rsidRPr="005E2655" w:rsidRDefault="00D02A08" w:rsidP="00D02A08">
            <w:pPr>
              <w:rPr>
                <w:rFonts w:ascii="Arial" w:hAnsi="Arial" w:cs="Arial"/>
                <w:b/>
                <w:bCs/>
              </w:rPr>
            </w:pPr>
            <w:r w:rsidRPr="005E2655">
              <w:rPr>
                <w:rFonts w:ascii="Arial" w:hAnsi="Arial" w:cs="Arial"/>
                <w:b/>
                <w:bCs/>
              </w:rPr>
              <w:t>Aim and scope:</w:t>
            </w:r>
          </w:p>
        </w:tc>
        <w:tc>
          <w:tcPr>
            <w:tcW w:w="8632" w:type="dxa"/>
          </w:tcPr>
          <w:p w14:paraId="5417695F" w14:textId="77777777" w:rsidR="008728B8" w:rsidRPr="005E2655" w:rsidRDefault="008728B8" w:rsidP="00FB71D9">
            <w:pPr>
              <w:pStyle w:val="NormalWeb"/>
              <w:spacing w:before="0" w:beforeAutospacing="0" w:after="160" w:afterAutospacing="0"/>
              <w:jc w:val="both"/>
              <w:rPr>
                <w:rFonts w:ascii="Arial" w:hAnsi="Arial" w:cs="Arial"/>
              </w:rPr>
            </w:pPr>
            <w:r w:rsidRPr="005E2655">
              <w:rPr>
                <w:rFonts w:ascii="Arial" w:hAnsi="Arial" w:cs="Arial"/>
              </w:rPr>
              <w:t>Knowledge tracing research has produced a rich set of learner-modelling architectures, yet the field is dominated by offline prediction benchmarks rather than studies of how trained models can be embedded in reusable, domain-agnostic software (Abdelrahman, Wang and Nunes, 2023). This produces two related problems: a deployment gap, where high-performing research models rarely translate into configurable production systems, and a cold-start barrier, where new platforms cannot personalise without the learner data they do not yet possess. This project addresses both. Its central research question is: what architectural and methodological decisions enable a knowledge tracing model trained on a public benchmark dataset to be deployed as a configurable adaptive learning platform across arbitrary educational domains, and what are the limits of such cross-domain transfer? The aim is therefore not to advance knowledge tracing as an algorithm, but to investigate, through the design and evaluation of a working artefact, how an established model (Deep Knowledge Tracing) can be operationalised within a content–algorithm decoupled architecture and reconfigured to a target undergraduate course without retraining.</w:t>
            </w:r>
          </w:p>
          <w:p w14:paraId="43CCB864" w14:textId="0F33DFA5" w:rsidR="009667AA" w:rsidRPr="005E2655" w:rsidRDefault="009667AA" w:rsidP="00FB71D9">
            <w:pPr>
              <w:pStyle w:val="NormalWeb"/>
              <w:spacing w:before="0" w:beforeAutospacing="0" w:after="160" w:afterAutospacing="0"/>
              <w:jc w:val="both"/>
              <w:rPr>
                <w:rFonts w:ascii="Arial" w:hAnsi="Arial" w:cs="Arial"/>
              </w:rPr>
            </w:pPr>
            <w:r w:rsidRPr="005E2655">
              <w:rPr>
                <w:rFonts w:ascii="Arial" w:hAnsi="Arial" w:cs="Arial"/>
              </w:rPr>
              <w:t xml:space="preserve">The project scope is limited to a simulation-based </w:t>
            </w:r>
            <w:proofErr w:type="gramStart"/>
            <w:r w:rsidRPr="005E2655">
              <w:rPr>
                <w:rFonts w:ascii="Arial" w:hAnsi="Arial" w:cs="Arial"/>
              </w:rPr>
              <w:t>MVP</w:t>
            </w:r>
            <w:r w:rsidR="004B3209" w:rsidRPr="005E2655">
              <w:rPr>
                <w:rFonts w:ascii="Arial" w:hAnsi="Arial" w:cs="Arial"/>
              </w:rPr>
              <w:t>(</w:t>
            </w:r>
            <w:proofErr w:type="gramEnd"/>
            <w:r w:rsidR="004B3209" w:rsidRPr="005E2655">
              <w:rPr>
                <w:rFonts w:ascii="Arial" w:hAnsi="Arial" w:cs="Arial"/>
              </w:rPr>
              <w:t>Minimum Viable Product</w:t>
            </w:r>
            <w:r w:rsidR="004B3209" w:rsidRPr="005E2655">
              <w:rPr>
                <w:rFonts w:ascii="Arial" w:hAnsi="Arial" w:cs="Arial"/>
              </w:rPr>
              <w:t>)</w:t>
            </w:r>
            <w:r w:rsidRPr="005E2655">
              <w:rPr>
                <w:rFonts w:ascii="Arial" w:hAnsi="Arial" w:cs="Arial"/>
              </w:rPr>
              <w:t xml:space="preserve">. It will include EDNet-KT1 data preprocessing, a Deep Knowledge Tracing (DKT) model, a Bayesian Knowledge Tracing (BKT) baseline, a React question interface, a </w:t>
            </w:r>
            <w:proofErr w:type="spellStart"/>
            <w:r w:rsidRPr="005E2655">
              <w:rPr>
                <w:rFonts w:ascii="Arial" w:hAnsi="Arial" w:cs="Arial"/>
              </w:rPr>
              <w:t>FastAPI</w:t>
            </w:r>
            <w:proofErr w:type="spellEnd"/>
            <w:r w:rsidRPr="005E2655">
              <w:rPr>
                <w:rFonts w:ascii="Arial" w:hAnsi="Arial" w:cs="Arial"/>
              </w:rPr>
              <w:t xml:space="preserve"> backend, a learner progress dashboard, and a JSON content schema that separates course content from the adaptive algorithm. The system will be demonstrated by mapping knowledge components and questions to a target undergraduate module, so that the platform's configurability can be evaluated in a realistic course context.</w:t>
            </w:r>
          </w:p>
          <w:p w14:paraId="2BCF66E8" w14:textId="10110473" w:rsidR="009667AA" w:rsidRPr="005E2655" w:rsidRDefault="008728B8" w:rsidP="00FB71D9">
            <w:pPr>
              <w:pStyle w:val="NormalWeb"/>
              <w:spacing w:before="0" w:beforeAutospacing="0" w:after="160" w:afterAutospacing="0"/>
              <w:jc w:val="both"/>
              <w:rPr>
                <w:rFonts w:ascii="Arial" w:hAnsi="Arial" w:cs="Arial"/>
              </w:rPr>
            </w:pPr>
            <w:r w:rsidRPr="005E2655">
              <w:rPr>
                <w:rFonts w:ascii="Arial" w:hAnsi="Arial" w:cs="Arial"/>
              </w:rPr>
              <w:t xml:space="preserve">Evaluation operates at three levels aligned with the research question. First, algorithmic performance is measured offline on a held-out </w:t>
            </w:r>
            <w:proofErr w:type="spellStart"/>
            <w:r w:rsidRPr="005E2655">
              <w:rPr>
                <w:rFonts w:ascii="Arial" w:hAnsi="Arial" w:cs="Arial"/>
              </w:rPr>
              <w:t>EDNet</w:t>
            </w:r>
            <w:proofErr w:type="spellEnd"/>
            <w:r w:rsidRPr="005E2655">
              <w:rPr>
                <w:rFonts w:ascii="Arial" w:hAnsi="Arial" w:cs="Arial"/>
              </w:rPr>
              <w:t xml:space="preserve"> test split, with AUC as the primary metric and a BKT baseline for comparison, to verify that the deployed model meets accepted thresholds in its source domain. Second, architectural reusability is assessed through the configurability case study, in which the content schema is repopulated with material from a target undergraduate module without modification of any algorithmic code, and the configuration process is documented as a replicable deployment guide. Third, the limits of cross-domain transfer are examined critically by analysing how </w:t>
            </w:r>
            <w:proofErr w:type="spellStart"/>
            <w:r w:rsidRPr="005E2655">
              <w:rPr>
                <w:rFonts w:ascii="Arial" w:hAnsi="Arial" w:cs="Arial"/>
              </w:rPr>
              <w:t>EDNet’s</w:t>
            </w:r>
            <w:proofErr w:type="spellEnd"/>
            <w:r w:rsidRPr="005E2655">
              <w:rPr>
                <w:rFonts w:ascii="Arial" w:hAnsi="Arial" w:cs="Arial"/>
              </w:rPr>
              <w:t xml:space="preserve"> skill representations behave when re-labelled to a different educational context, with explicit reporting of where the mapping is justified and where it breaks down. </w:t>
            </w:r>
          </w:p>
        </w:tc>
      </w:tr>
      <w:tr w:rsidR="00D02A08" w:rsidRPr="005E2655" w14:paraId="138EF4A7" w14:textId="77777777" w:rsidTr="007E0DB6">
        <w:tc>
          <w:tcPr>
            <w:tcW w:w="1824" w:type="dxa"/>
          </w:tcPr>
          <w:p w14:paraId="2A531A4F" w14:textId="77777777" w:rsidR="00D02A08" w:rsidRPr="005E2655" w:rsidRDefault="00D02A08" w:rsidP="00D02A08">
            <w:pPr>
              <w:rPr>
                <w:rFonts w:ascii="Arial" w:hAnsi="Arial" w:cs="Arial"/>
                <w:b/>
                <w:bCs/>
              </w:rPr>
            </w:pPr>
            <w:r w:rsidRPr="005E2655">
              <w:rPr>
                <w:rFonts w:ascii="Arial" w:hAnsi="Arial" w:cs="Arial"/>
                <w:b/>
                <w:bCs/>
              </w:rPr>
              <w:t>Project objectives:</w:t>
            </w:r>
          </w:p>
        </w:tc>
        <w:tc>
          <w:tcPr>
            <w:tcW w:w="8632" w:type="dxa"/>
          </w:tcPr>
          <w:p w14:paraId="1E7F285C" w14:textId="77777777" w:rsidR="00FB71D9" w:rsidRPr="005E2655" w:rsidRDefault="00FB71D9" w:rsidP="00FB71D9">
            <w:pPr>
              <w:pStyle w:val="NormalWeb"/>
              <w:numPr>
                <w:ilvl w:val="0"/>
                <w:numId w:val="2"/>
              </w:numPr>
              <w:spacing w:before="0" w:beforeAutospacing="0" w:afterAutospacing="0"/>
              <w:jc w:val="both"/>
              <w:textAlignment w:val="baseline"/>
              <w:rPr>
                <w:rFonts w:ascii="Arial" w:hAnsi="Arial" w:cs="Arial"/>
                <w:color w:val="000000"/>
                <w:sz w:val="22"/>
                <w:szCs w:val="22"/>
              </w:rPr>
            </w:pPr>
            <w:r w:rsidRPr="005E2655">
              <w:rPr>
                <w:rFonts w:ascii="Arial" w:hAnsi="Arial" w:cs="Arial"/>
                <w:color w:val="000000"/>
                <w:sz w:val="22"/>
                <w:szCs w:val="22"/>
              </w:rPr>
              <w:t>Design and implement a configurable MVP web-based learning platform comprising an adaptive question interface, student progress dashboard, and JSON-driven content schema enabling deployment across any course or standardised test.</w:t>
            </w:r>
          </w:p>
          <w:p w14:paraId="0F3C02F4" w14:textId="77777777" w:rsidR="00FB71D9" w:rsidRPr="005E2655" w:rsidRDefault="00FB71D9" w:rsidP="00FB71D9">
            <w:pPr>
              <w:pStyle w:val="NormalWeb"/>
              <w:numPr>
                <w:ilvl w:val="0"/>
                <w:numId w:val="2"/>
              </w:numPr>
              <w:spacing w:before="0" w:beforeAutospacing="0" w:afterAutospacing="0"/>
              <w:jc w:val="both"/>
              <w:textAlignment w:val="baseline"/>
              <w:rPr>
                <w:rFonts w:ascii="Arial" w:hAnsi="Arial" w:cs="Arial"/>
                <w:color w:val="000000"/>
                <w:sz w:val="22"/>
                <w:szCs w:val="22"/>
              </w:rPr>
            </w:pPr>
            <w:r w:rsidRPr="005E2655">
              <w:rPr>
                <w:rFonts w:ascii="Arial" w:hAnsi="Arial" w:cs="Arial"/>
                <w:color w:val="000000"/>
                <w:sz w:val="22"/>
                <w:szCs w:val="22"/>
              </w:rPr>
              <w:t>Train a Deep Knowledge Tracing model on the publicly available EDNet-KT1 dataset, implementing data preprocessing, train/validation/test splitting, and hyperparameter optimisation.</w:t>
            </w:r>
          </w:p>
          <w:p w14:paraId="0C4A0098" w14:textId="77777777" w:rsidR="00FB71D9" w:rsidRPr="005E2655" w:rsidRDefault="00FB71D9" w:rsidP="00FB71D9">
            <w:pPr>
              <w:pStyle w:val="NormalWeb"/>
              <w:numPr>
                <w:ilvl w:val="0"/>
                <w:numId w:val="2"/>
              </w:numPr>
              <w:spacing w:before="0" w:beforeAutospacing="0" w:afterAutospacing="0"/>
              <w:jc w:val="both"/>
              <w:textAlignment w:val="baseline"/>
              <w:rPr>
                <w:rFonts w:ascii="Arial" w:hAnsi="Arial" w:cs="Arial"/>
                <w:color w:val="000000"/>
                <w:sz w:val="22"/>
                <w:szCs w:val="22"/>
              </w:rPr>
            </w:pPr>
            <w:r w:rsidRPr="005E2655">
              <w:rPr>
                <w:rFonts w:ascii="Arial" w:hAnsi="Arial" w:cs="Arial"/>
                <w:color w:val="000000"/>
                <w:sz w:val="22"/>
                <w:szCs w:val="22"/>
              </w:rPr>
              <w:lastRenderedPageBreak/>
              <w:t xml:space="preserve">Evaluate the adaptive engine using Area Under the Receiver Operating Characteristic Curve (AUC) on a held-out </w:t>
            </w:r>
            <w:proofErr w:type="spellStart"/>
            <w:r w:rsidRPr="005E2655">
              <w:rPr>
                <w:rFonts w:ascii="Arial" w:hAnsi="Arial" w:cs="Arial"/>
                <w:color w:val="000000"/>
                <w:sz w:val="22"/>
                <w:szCs w:val="22"/>
              </w:rPr>
              <w:t>EDNet</w:t>
            </w:r>
            <w:proofErr w:type="spellEnd"/>
            <w:r w:rsidRPr="005E2655">
              <w:rPr>
                <w:rFonts w:ascii="Arial" w:hAnsi="Arial" w:cs="Arial"/>
                <w:color w:val="000000"/>
                <w:sz w:val="22"/>
                <w:szCs w:val="22"/>
              </w:rPr>
              <w:t xml:space="preserve"> test split, benchmarking against a Bayesian Knowledge Tracing baseline to quantify the improvement from deep learning approaches.</w:t>
            </w:r>
          </w:p>
          <w:p w14:paraId="51250072" w14:textId="3E5B5939" w:rsidR="00D02A08" w:rsidRPr="005E2655" w:rsidRDefault="00FB71D9" w:rsidP="00FB71D9">
            <w:pPr>
              <w:pStyle w:val="NormalWeb"/>
              <w:numPr>
                <w:ilvl w:val="0"/>
                <w:numId w:val="2"/>
              </w:numPr>
              <w:spacing w:before="0" w:beforeAutospacing="0" w:afterAutospacing="0"/>
              <w:jc w:val="both"/>
              <w:textAlignment w:val="baseline"/>
              <w:rPr>
                <w:rFonts w:ascii="Arial" w:hAnsi="Arial" w:cs="Arial"/>
                <w:color w:val="000000"/>
                <w:sz w:val="22"/>
                <w:szCs w:val="22"/>
              </w:rPr>
            </w:pPr>
            <w:r w:rsidRPr="005E2655">
              <w:rPr>
                <w:rFonts w:ascii="Arial" w:hAnsi="Arial" w:cs="Arial"/>
                <w:color w:val="000000"/>
                <w:sz w:val="22"/>
                <w:szCs w:val="22"/>
              </w:rPr>
              <w:t xml:space="preserve">Demonstrate platform configurability by populating the content schema with questions and knowledge components mapped to a target undergraduate </w:t>
            </w:r>
            <w:r w:rsidR="00101187" w:rsidRPr="005E2655">
              <w:rPr>
                <w:rFonts w:ascii="Arial" w:hAnsi="Arial" w:cs="Arial"/>
                <w:color w:val="000000"/>
                <w:sz w:val="22"/>
                <w:szCs w:val="22"/>
              </w:rPr>
              <w:t>course and</w:t>
            </w:r>
            <w:r w:rsidRPr="005E2655">
              <w:rPr>
                <w:rFonts w:ascii="Arial" w:hAnsi="Arial" w:cs="Arial"/>
                <w:color w:val="000000"/>
                <w:sz w:val="22"/>
                <w:szCs w:val="22"/>
              </w:rPr>
              <w:t xml:space="preserve"> documenting the configuration process as a replicable deployment guide.</w:t>
            </w:r>
          </w:p>
        </w:tc>
      </w:tr>
      <w:tr w:rsidR="00D02A08" w:rsidRPr="005E2655" w14:paraId="0EEC3E8C" w14:textId="77777777" w:rsidTr="007E0DB6">
        <w:tc>
          <w:tcPr>
            <w:tcW w:w="1824" w:type="dxa"/>
          </w:tcPr>
          <w:p w14:paraId="6E4C58F9" w14:textId="77777777" w:rsidR="00D02A08" w:rsidRPr="005E2655" w:rsidRDefault="00D02A08" w:rsidP="00D02A08">
            <w:pPr>
              <w:rPr>
                <w:rFonts w:ascii="Arial" w:hAnsi="Arial" w:cs="Arial"/>
                <w:b/>
                <w:bCs/>
              </w:rPr>
            </w:pPr>
            <w:r w:rsidRPr="005E2655">
              <w:rPr>
                <w:rFonts w:ascii="Arial" w:hAnsi="Arial" w:cs="Arial"/>
                <w:b/>
                <w:bCs/>
              </w:rPr>
              <w:lastRenderedPageBreak/>
              <w:t>Expected project outcomes:</w:t>
            </w:r>
          </w:p>
        </w:tc>
        <w:tc>
          <w:tcPr>
            <w:tcW w:w="8632" w:type="dxa"/>
          </w:tcPr>
          <w:p w14:paraId="1EA4F72A" w14:textId="77777777" w:rsidR="00F10710" w:rsidRPr="005E2655" w:rsidRDefault="00F10710" w:rsidP="00F10710">
            <w:pPr>
              <w:pStyle w:val="NormalWeb"/>
              <w:spacing w:before="0" w:beforeAutospacing="0" w:after="160" w:afterAutospacing="0"/>
              <w:jc w:val="both"/>
              <w:rPr>
                <w:rFonts w:ascii="Arial" w:hAnsi="Arial" w:cs="Arial"/>
              </w:rPr>
            </w:pPr>
            <w:r w:rsidRPr="005E2655">
              <w:rPr>
                <w:rFonts w:ascii="Arial" w:hAnsi="Arial" w:cs="Arial"/>
                <w:color w:val="000000"/>
                <w:sz w:val="22"/>
                <w:szCs w:val="22"/>
              </w:rPr>
              <w:t xml:space="preserve">The primary artefact is a functional MVP adaptive learning platform built with a React frontend and a </w:t>
            </w:r>
            <w:proofErr w:type="spellStart"/>
            <w:r w:rsidRPr="005E2655">
              <w:rPr>
                <w:rFonts w:ascii="Arial" w:hAnsi="Arial" w:cs="Arial"/>
                <w:color w:val="000000"/>
                <w:sz w:val="22"/>
                <w:szCs w:val="22"/>
              </w:rPr>
              <w:t>FastAPI</w:t>
            </w:r>
            <w:proofErr w:type="spellEnd"/>
            <w:r w:rsidRPr="005E2655">
              <w:rPr>
                <w:rFonts w:ascii="Arial" w:hAnsi="Arial" w:cs="Arial"/>
                <w:color w:val="000000"/>
                <w:sz w:val="22"/>
                <w:szCs w:val="22"/>
              </w:rPr>
              <w:t xml:space="preserve"> (Python) backend. The platform presents questions to learners, records responses, and uses a trained DKT model to estimate each learner’s knowledge state across defined concepts, dynamically selecting the next question based on predicted mastery probability. The content layer is fully decoupled from the algorithmic layer via a structured JSON schema specifying questions, answer options, correct answers, and knowledge component tags. This architecture means the platform can be reconfigured to any course, module, or standardised examination by updating the content schema without modifying any application code.</w:t>
            </w:r>
          </w:p>
          <w:p w14:paraId="01FE2C0A" w14:textId="5190AF98" w:rsidR="00E745CF" w:rsidRPr="005E2655" w:rsidRDefault="00F10710" w:rsidP="00F10710">
            <w:pPr>
              <w:pStyle w:val="NormalWeb"/>
              <w:spacing w:before="0" w:beforeAutospacing="0" w:after="160" w:afterAutospacing="0"/>
              <w:jc w:val="both"/>
              <w:rPr>
                <w:rFonts w:ascii="Arial" w:hAnsi="Arial" w:cs="Arial"/>
              </w:rPr>
            </w:pPr>
            <w:r w:rsidRPr="005E2655">
              <w:rPr>
                <w:rFonts w:ascii="Arial" w:hAnsi="Arial" w:cs="Arial"/>
                <w:color w:val="000000"/>
                <w:sz w:val="22"/>
                <w:szCs w:val="22"/>
              </w:rPr>
              <w:t xml:space="preserve">The DKT model </w:t>
            </w:r>
            <w:r w:rsidR="00072EC9" w:rsidRPr="005E2655">
              <w:rPr>
                <w:rFonts w:ascii="Arial" w:hAnsi="Arial" w:cs="Arial"/>
                <w:color w:val="000000"/>
                <w:sz w:val="22"/>
                <w:szCs w:val="22"/>
              </w:rPr>
              <w:t>will be</w:t>
            </w:r>
            <w:r w:rsidRPr="005E2655">
              <w:rPr>
                <w:rFonts w:ascii="Arial" w:hAnsi="Arial" w:cs="Arial"/>
                <w:color w:val="000000"/>
                <w:sz w:val="22"/>
                <w:szCs w:val="22"/>
              </w:rPr>
              <w:t xml:space="preserve"> trained on the EDNet-KT1 subset, which contains timestamped question-response pairs for over 780,000 students (Choi et al., 2020). Following established practice in the knowledge tracing literature (Piech et al., 2015; Zhang et al., 2017), students will be split 80/10/10 into training, validation and test sets. Model performance will be reported as AUC on the test split, with a Bayesian Knowledge Tracing (BKT) model (Corbett and Anderson, 1994) serving as a baseline. </w:t>
            </w:r>
            <w:proofErr w:type="spellStart"/>
            <w:r w:rsidRPr="005E2655">
              <w:rPr>
                <w:rFonts w:ascii="Arial" w:hAnsi="Arial" w:cs="Arial"/>
                <w:color w:val="000000"/>
                <w:sz w:val="22"/>
                <w:szCs w:val="22"/>
              </w:rPr>
              <w:t>EDNet’s</w:t>
            </w:r>
            <w:proofErr w:type="spellEnd"/>
            <w:r w:rsidRPr="005E2655">
              <w:rPr>
                <w:rFonts w:ascii="Arial" w:hAnsi="Arial" w:cs="Arial"/>
                <w:color w:val="000000"/>
                <w:sz w:val="22"/>
                <w:szCs w:val="22"/>
              </w:rPr>
              <w:t xml:space="preserve"> domain-agnostic skill taxonomy (293 tagged skill types) is used to create a conceptual mapping onto the target course’s topics, enabling the trained model’s knowledge component representations to be re-labelled for the new domain. This simulation-based approach avoids the cold-start and ethical constraints of recruiting live participants while producing measurable, reproducible evaluation results against a well-established benchmark.</w:t>
            </w:r>
          </w:p>
        </w:tc>
      </w:tr>
      <w:tr w:rsidR="007E0DB6" w:rsidRPr="005E2655" w14:paraId="7B795300" w14:textId="77777777" w:rsidTr="007E0DB6">
        <w:tc>
          <w:tcPr>
            <w:tcW w:w="1824" w:type="dxa"/>
          </w:tcPr>
          <w:p w14:paraId="18283C35" w14:textId="77777777" w:rsidR="007E0DB6" w:rsidRPr="005E2655" w:rsidRDefault="007E0DB6" w:rsidP="007E0DB6">
            <w:pPr>
              <w:rPr>
                <w:rFonts w:ascii="Arial" w:hAnsi="Arial" w:cs="Arial"/>
                <w:b/>
                <w:bCs/>
              </w:rPr>
            </w:pPr>
            <w:r w:rsidRPr="005E2655">
              <w:rPr>
                <w:rFonts w:ascii="Arial" w:hAnsi="Arial" w:cs="Arial"/>
                <w:b/>
                <w:bCs/>
              </w:rPr>
              <w:t>Brief review of relevant literature:</w:t>
            </w:r>
          </w:p>
        </w:tc>
        <w:tc>
          <w:tcPr>
            <w:tcW w:w="8632" w:type="dxa"/>
          </w:tcPr>
          <w:p w14:paraId="6997C46B" w14:textId="77777777" w:rsidR="007E0DB6" w:rsidRPr="005E2655" w:rsidRDefault="007E0DB6" w:rsidP="007E0DB6">
            <w:pPr>
              <w:pStyle w:val="NormalWeb"/>
              <w:spacing w:before="0" w:after="160"/>
              <w:jc w:val="both"/>
              <w:rPr>
                <w:rFonts w:ascii="Arial" w:hAnsi="Arial" w:cs="Arial"/>
              </w:rPr>
            </w:pPr>
            <w:r w:rsidRPr="005E2655">
              <w:rPr>
                <w:rFonts w:ascii="Arial" w:eastAsia="Arial" w:hAnsi="Arial" w:cs="Arial"/>
                <w:sz w:val="22"/>
              </w:rPr>
              <w:t xml:space="preserve">The broader educational case for adaptive learning comes from research showing the value of personalised instruction. Bloom (1984) famously described the '2 sigma problem', arguing that one-to-one tutoring can produce achievement gains far beyond conventional classroom teaching. </w:t>
            </w:r>
            <w:proofErr w:type="spellStart"/>
            <w:r w:rsidRPr="005E2655">
              <w:rPr>
                <w:rFonts w:ascii="Arial" w:eastAsia="Arial" w:hAnsi="Arial" w:cs="Arial"/>
                <w:sz w:val="22"/>
              </w:rPr>
              <w:t>VanLehn</w:t>
            </w:r>
            <w:proofErr w:type="spellEnd"/>
            <w:r w:rsidRPr="005E2655">
              <w:rPr>
                <w:rFonts w:ascii="Arial" w:eastAsia="Arial" w:hAnsi="Arial" w:cs="Arial"/>
                <w:sz w:val="22"/>
              </w:rPr>
              <w:t xml:space="preserve"> (2011) later showed that intelligent tutoring systems can approach some of the benefits of human tutoring, even if they do not fully match expert tutors. These studies are important for this dissertation because they establish why adaptivity matters in the first place: the goal is not simply to build a prediction model, but to support a more individualised pattern of practice and feedback.</w:t>
            </w:r>
          </w:p>
          <w:p w14:paraId="7E572A43" w14:textId="77777777" w:rsidR="007E0DB6" w:rsidRPr="005E2655" w:rsidRDefault="007E0DB6" w:rsidP="007E0DB6">
            <w:pPr>
              <w:pStyle w:val="NormalWeb"/>
              <w:spacing w:before="0" w:after="160"/>
              <w:jc w:val="both"/>
              <w:rPr>
                <w:rFonts w:ascii="Arial" w:hAnsi="Arial" w:cs="Arial"/>
              </w:rPr>
            </w:pPr>
            <w:r w:rsidRPr="005E2655">
              <w:rPr>
                <w:rFonts w:ascii="Arial" w:eastAsia="Arial" w:hAnsi="Arial" w:cs="Arial"/>
                <w:sz w:val="22"/>
              </w:rPr>
              <w:t>Within that broader agenda, knowledge tracing provides the modelling framework for estimating a learner's changing mastery over time. Corbett and Anderson (1994) introduced Bayesian Knowledge Tracing (BKT), which remains a foundational model because it is interpretable, lightweight and strongly associated with the intelligent tutoring literature. Abdelrahman, Wang and Nunes (2023) show in their survey that KT has since expanded from probabilistic models such as BKT to deep learning, memory-augmented and attention-based approaches. Their review is especially useful for this project because it identifies recurring evaluation practices, common datasets and unresolved problems such as cold-start conditions, interpretability and the gap between research prototypes and deployable systems.</w:t>
            </w:r>
          </w:p>
          <w:p w14:paraId="70FD5408" w14:textId="77777777" w:rsidR="007E0DB6" w:rsidRPr="005E2655" w:rsidRDefault="007E0DB6" w:rsidP="007E0DB6">
            <w:pPr>
              <w:pStyle w:val="NormalWeb"/>
              <w:spacing w:before="0" w:after="160"/>
              <w:jc w:val="both"/>
              <w:rPr>
                <w:rFonts w:ascii="Arial" w:hAnsi="Arial" w:cs="Arial"/>
              </w:rPr>
            </w:pPr>
            <w:r w:rsidRPr="005E2655">
              <w:rPr>
                <w:rFonts w:ascii="Arial" w:eastAsia="Arial" w:hAnsi="Arial" w:cs="Arial"/>
                <w:sz w:val="22"/>
              </w:rPr>
              <w:t xml:space="preserve">The move from classical KT to deep learning is anchored by Piech </w:t>
            </w:r>
            <w:r w:rsidRPr="005E2655">
              <w:rPr>
                <w:rFonts w:ascii="Arial" w:eastAsia="Arial" w:hAnsi="Arial" w:cs="Arial"/>
                <w:i/>
                <w:sz w:val="22"/>
              </w:rPr>
              <w:t>et al.</w:t>
            </w:r>
            <w:r w:rsidRPr="005E2655">
              <w:rPr>
                <w:rFonts w:ascii="Arial" w:eastAsia="Arial" w:hAnsi="Arial" w:cs="Arial"/>
                <w:sz w:val="22"/>
              </w:rPr>
              <w:t xml:space="preserve"> (2015), who introduced Deep Knowledge Tracing (DKT) and demonstrated that recurrent neural networks can outperform earlier baselines on response prediction tasks. Later work sought to improve either interpretability or the modelling of long-range dependencies. Zhang </w:t>
            </w:r>
            <w:r w:rsidRPr="005E2655">
              <w:rPr>
                <w:rFonts w:ascii="Arial" w:eastAsia="Arial" w:hAnsi="Arial" w:cs="Arial"/>
                <w:i/>
                <w:sz w:val="22"/>
              </w:rPr>
              <w:t>et al.</w:t>
            </w:r>
            <w:r w:rsidRPr="005E2655">
              <w:rPr>
                <w:rFonts w:ascii="Arial" w:eastAsia="Arial" w:hAnsi="Arial" w:cs="Arial"/>
                <w:sz w:val="22"/>
              </w:rPr>
              <w:t xml:space="preserve"> (2017) proposed dynamic key-value memory networks to represent latent concepts more explicitly, while Pandey and </w:t>
            </w:r>
            <w:proofErr w:type="spellStart"/>
            <w:r w:rsidRPr="005E2655">
              <w:rPr>
                <w:rFonts w:ascii="Arial" w:eastAsia="Arial" w:hAnsi="Arial" w:cs="Arial"/>
                <w:sz w:val="22"/>
              </w:rPr>
              <w:t>Karypis</w:t>
            </w:r>
            <w:proofErr w:type="spellEnd"/>
            <w:r w:rsidRPr="005E2655">
              <w:rPr>
                <w:rFonts w:ascii="Arial" w:eastAsia="Arial" w:hAnsi="Arial" w:cs="Arial"/>
                <w:sz w:val="22"/>
              </w:rPr>
              <w:t xml:space="preserve"> (2019) showed that self-attention can focus prediction on the most relevant prior interactions rather than only recent ones. Ghosh, Heffernan and Lan (2020) extended this direction with a context-aware </w:t>
            </w:r>
            <w:r w:rsidRPr="005E2655">
              <w:rPr>
                <w:rFonts w:ascii="Arial" w:eastAsia="Arial" w:hAnsi="Arial" w:cs="Arial"/>
                <w:sz w:val="22"/>
              </w:rPr>
              <w:lastRenderedPageBreak/>
              <w:t>attentive model that incorporates question difficulty and forgetting effects. Together, these papers will be used to position DKT as a deliberate MVP choice: it is not the newest architecture, but it is well-established, implementable and appropriate for a first deployable system.</w:t>
            </w:r>
          </w:p>
          <w:p w14:paraId="418DB54F" w14:textId="68277E8C" w:rsidR="007E0DB6" w:rsidRPr="005E2655" w:rsidRDefault="007E0DB6" w:rsidP="007E0DB6">
            <w:pPr>
              <w:pStyle w:val="NormalWeb"/>
              <w:spacing w:before="0" w:after="160"/>
              <w:jc w:val="both"/>
              <w:rPr>
                <w:rFonts w:ascii="Arial" w:hAnsi="Arial" w:cs="Arial"/>
              </w:rPr>
            </w:pPr>
            <w:r w:rsidRPr="005E2655">
              <w:rPr>
                <w:rFonts w:ascii="Arial" w:eastAsia="Arial" w:hAnsi="Arial" w:cs="Arial"/>
                <w:sz w:val="22"/>
              </w:rPr>
              <w:t xml:space="preserve">Choi </w:t>
            </w:r>
            <w:r w:rsidRPr="005E2655">
              <w:rPr>
                <w:rFonts w:ascii="Arial" w:eastAsia="Arial" w:hAnsi="Arial" w:cs="Arial"/>
                <w:i/>
                <w:sz w:val="22"/>
              </w:rPr>
              <w:t>et al.</w:t>
            </w:r>
            <w:r w:rsidRPr="005E2655">
              <w:rPr>
                <w:rFonts w:ascii="Arial" w:eastAsia="Arial" w:hAnsi="Arial" w:cs="Arial"/>
                <w:sz w:val="22"/>
              </w:rPr>
              <w:t xml:space="preserve"> (2020) describe </w:t>
            </w:r>
            <w:proofErr w:type="spellStart"/>
            <w:r w:rsidRPr="005E2655">
              <w:rPr>
                <w:rFonts w:ascii="Arial" w:eastAsia="Arial" w:hAnsi="Arial" w:cs="Arial"/>
                <w:sz w:val="22"/>
              </w:rPr>
              <w:t>EdNet</w:t>
            </w:r>
            <w:proofErr w:type="spellEnd"/>
            <w:r w:rsidRPr="005E2655">
              <w:rPr>
                <w:rFonts w:ascii="Arial" w:eastAsia="Arial" w:hAnsi="Arial" w:cs="Arial"/>
                <w:sz w:val="22"/>
              </w:rPr>
              <w:t xml:space="preserve"> as a large-scale hierarchical dataset built from real interactions on the Santa tutoring platform, making it one of the most important public benchmarks for KT research. The accompanying </w:t>
            </w:r>
            <w:proofErr w:type="spellStart"/>
            <w:r w:rsidRPr="005E2655">
              <w:rPr>
                <w:rFonts w:ascii="Arial" w:eastAsia="Arial" w:hAnsi="Arial" w:cs="Arial"/>
                <w:sz w:val="22"/>
              </w:rPr>
              <w:t>Riiid</w:t>
            </w:r>
            <w:proofErr w:type="spellEnd"/>
            <w:r w:rsidRPr="005E2655">
              <w:rPr>
                <w:rFonts w:ascii="Arial" w:eastAsia="Arial" w:hAnsi="Arial" w:cs="Arial"/>
                <w:sz w:val="22"/>
              </w:rPr>
              <w:t xml:space="preserve"> (2020) repository is useful not only as a data access point, but also for clarifying dataset structure, available subsets and licensing conditions. For this project, </w:t>
            </w:r>
            <w:proofErr w:type="spellStart"/>
            <w:r w:rsidRPr="005E2655">
              <w:rPr>
                <w:rFonts w:ascii="Arial" w:eastAsia="Arial" w:hAnsi="Arial" w:cs="Arial"/>
                <w:sz w:val="22"/>
              </w:rPr>
              <w:t>EdNet</w:t>
            </w:r>
            <w:proofErr w:type="spellEnd"/>
            <w:r w:rsidRPr="005E2655">
              <w:rPr>
                <w:rFonts w:ascii="Arial" w:eastAsia="Arial" w:hAnsi="Arial" w:cs="Arial"/>
                <w:sz w:val="22"/>
              </w:rPr>
              <w:t xml:space="preserve"> matters because its scale supports robust offline training, while its content and skill metadata make it possible to test a configurable content schema without collecting primary learner data during the dissertation period.</w:t>
            </w:r>
          </w:p>
          <w:p w14:paraId="74870936" w14:textId="74718205" w:rsidR="007E0DB6" w:rsidRPr="005E2655" w:rsidRDefault="007E0DB6" w:rsidP="007E0DB6">
            <w:pPr>
              <w:rPr>
                <w:rFonts w:ascii="Arial" w:hAnsi="Arial" w:cs="Arial"/>
                <w:i/>
              </w:rPr>
            </w:pPr>
            <w:r w:rsidRPr="005E2655">
              <w:rPr>
                <w:rFonts w:ascii="Arial" w:eastAsia="Arial" w:hAnsi="Arial" w:cs="Arial"/>
                <w:sz w:val="22"/>
              </w:rPr>
              <w:t xml:space="preserve">A clear gap nevertheless remains across the literature. Much of the KT field is organised around offline prediction benchmarks, whereas fewer studies explain how those models can be embedded in reusable, configurable software for real educational settings. Abdelrahman, Wang and Nunes (2023) note the rapid proliferation of models, but papers such as Piech </w:t>
            </w:r>
            <w:r w:rsidRPr="005E2655">
              <w:rPr>
                <w:rFonts w:ascii="Arial" w:eastAsia="Arial" w:hAnsi="Arial" w:cs="Arial"/>
                <w:i/>
                <w:sz w:val="22"/>
              </w:rPr>
              <w:t>et al.</w:t>
            </w:r>
            <w:r w:rsidRPr="005E2655">
              <w:rPr>
                <w:rFonts w:ascii="Arial" w:eastAsia="Arial" w:hAnsi="Arial" w:cs="Arial"/>
                <w:sz w:val="22"/>
              </w:rPr>
              <w:t xml:space="preserve"> (2015), Zhang </w:t>
            </w:r>
            <w:r w:rsidRPr="005E2655">
              <w:rPr>
                <w:rFonts w:ascii="Arial" w:eastAsia="Arial" w:hAnsi="Arial" w:cs="Arial"/>
                <w:i/>
                <w:sz w:val="22"/>
              </w:rPr>
              <w:t>et al.</w:t>
            </w:r>
            <w:r w:rsidRPr="005E2655">
              <w:rPr>
                <w:rFonts w:ascii="Arial" w:eastAsia="Arial" w:hAnsi="Arial" w:cs="Arial"/>
                <w:sz w:val="22"/>
              </w:rPr>
              <w:t xml:space="preserve"> (2017), Pandey and </w:t>
            </w:r>
            <w:proofErr w:type="spellStart"/>
            <w:r w:rsidRPr="005E2655">
              <w:rPr>
                <w:rFonts w:ascii="Arial" w:eastAsia="Arial" w:hAnsi="Arial" w:cs="Arial"/>
                <w:sz w:val="22"/>
              </w:rPr>
              <w:t>Karypis</w:t>
            </w:r>
            <w:proofErr w:type="spellEnd"/>
            <w:r w:rsidRPr="005E2655">
              <w:rPr>
                <w:rFonts w:ascii="Arial" w:eastAsia="Arial" w:hAnsi="Arial" w:cs="Arial"/>
                <w:sz w:val="22"/>
              </w:rPr>
              <w:t xml:space="preserve"> (2019) and Ghosh, Heffernan and Lan (2020) focus primarily on performance rather than full system design. This dissertation will therefore use Bloom (1984) and </w:t>
            </w:r>
            <w:proofErr w:type="spellStart"/>
            <w:r w:rsidRPr="005E2655">
              <w:rPr>
                <w:rFonts w:ascii="Arial" w:eastAsia="Arial" w:hAnsi="Arial" w:cs="Arial"/>
                <w:sz w:val="22"/>
              </w:rPr>
              <w:t>VanLehn</w:t>
            </w:r>
            <w:proofErr w:type="spellEnd"/>
            <w:r w:rsidRPr="005E2655">
              <w:rPr>
                <w:rFonts w:ascii="Arial" w:eastAsia="Arial" w:hAnsi="Arial" w:cs="Arial"/>
                <w:sz w:val="22"/>
              </w:rPr>
              <w:t xml:space="preserve"> (2011) to justify the educational value of personalisation, Corbett and Anderson (1994) and Piech </w:t>
            </w:r>
            <w:r w:rsidRPr="005E2655">
              <w:rPr>
                <w:rFonts w:ascii="Arial" w:eastAsia="Arial" w:hAnsi="Arial" w:cs="Arial"/>
                <w:i/>
                <w:sz w:val="22"/>
              </w:rPr>
              <w:t>et al.</w:t>
            </w:r>
            <w:r w:rsidRPr="005E2655">
              <w:rPr>
                <w:rFonts w:ascii="Arial" w:eastAsia="Arial" w:hAnsi="Arial" w:cs="Arial"/>
                <w:sz w:val="22"/>
              </w:rPr>
              <w:t xml:space="preserve"> (2015) to frame the baseline-versus-deep-learning comparison, and Choi </w:t>
            </w:r>
            <w:r w:rsidRPr="005E2655">
              <w:rPr>
                <w:rFonts w:ascii="Arial" w:eastAsia="Arial" w:hAnsi="Arial" w:cs="Arial"/>
                <w:i/>
                <w:sz w:val="22"/>
              </w:rPr>
              <w:t>et al.</w:t>
            </w:r>
            <w:r w:rsidRPr="005E2655">
              <w:rPr>
                <w:rFonts w:ascii="Arial" w:eastAsia="Arial" w:hAnsi="Arial" w:cs="Arial"/>
                <w:sz w:val="22"/>
              </w:rPr>
              <w:t xml:space="preserve"> (2020) with </w:t>
            </w:r>
            <w:proofErr w:type="spellStart"/>
            <w:r w:rsidRPr="005E2655">
              <w:rPr>
                <w:rFonts w:ascii="Arial" w:eastAsia="Arial" w:hAnsi="Arial" w:cs="Arial"/>
                <w:sz w:val="22"/>
              </w:rPr>
              <w:t>Riiid</w:t>
            </w:r>
            <w:proofErr w:type="spellEnd"/>
            <w:r w:rsidRPr="005E2655">
              <w:rPr>
                <w:rFonts w:ascii="Arial" w:eastAsia="Arial" w:hAnsi="Arial" w:cs="Arial"/>
                <w:sz w:val="22"/>
              </w:rPr>
              <w:t xml:space="preserve"> (2020) to justify the simulation environment. Collectively, these sources provide both the theoretical grounding and the practical design constraints for the proposed platform.</w:t>
            </w:r>
          </w:p>
        </w:tc>
      </w:tr>
      <w:tr w:rsidR="007E0DB6" w:rsidRPr="005E2655" w14:paraId="5766F750" w14:textId="77777777" w:rsidTr="007E0DB6">
        <w:tc>
          <w:tcPr>
            <w:tcW w:w="1824" w:type="dxa"/>
          </w:tcPr>
          <w:p w14:paraId="7996FA2E" w14:textId="74AAB072" w:rsidR="007E0DB6" w:rsidRPr="005E2655" w:rsidRDefault="007E0DB6" w:rsidP="007E0DB6">
            <w:pPr>
              <w:rPr>
                <w:rFonts w:ascii="Arial" w:hAnsi="Arial" w:cs="Arial"/>
                <w:b/>
                <w:bCs/>
              </w:rPr>
            </w:pPr>
            <w:r w:rsidRPr="005E2655">
              <w:rPr>
                <w:rFonts w:ascii="Arial" w:hAnsi="Arial" w:cs="Arial"/>
                <w:b/>
                <w:bCs/>
              </w:rPr>
              <w:lastRenderedPageBreak/>
              <w:t>References:</w:t>
            </w:r>
          </w:p>
        </w:tc>
        <w:tc>
          <w:tcPr>
            <w:tcW w:w="8632" w:type="dxa"/>
          </w:tcPr>
          <w:p w14:paraId="69C564AE"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Abdelrahman, G., Wang, Q. and Nunes, B. (2023) ‘Knowledge tracing: A survey’, ACM Computing Surveys, 55(11), pp. 1–37. Available at: https://doi.org/10.1145/3569576</w:t>
            </w:r>
          </w:p>
          <w:p w14:paraId="54B44997"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 xml:space="preserve">Bloom, B.S. (1984) ‘The </w:t>
            </w:r>
            <w:proofErr w:type="gramStart"/>
            <w:r w:rsidRPr="005E2655">
              <w:rPr>
                <w:rFonts w:ascii="Arial" w:hAnsi="Arial" w:cs="Arial"/>
                <w:color w:val="000000"/>
                <w:sz w:val="20"/>
                <w:szCs w:val="20"/>
              </w:rPr>
              <w:t>2 sigma</w:t>
            </w:r>
            <w:proofErr w:type="gramEnd"/>
            <w:r w:rsidRPr="005E2655">
              <w:rPr>
                <w:rFonts w:ascii="Arial" w:hAnsi="Arial" w:cs="Arial"/>
                <w:color w:val="000000"/>
                <w:sz w:val="20"/>
                <w:szCs w:val="20"/>
              </w:rPr>
              <w:t xml:space="preserve"> problem: The search for methods of group instruction as effective as one-to-one tutoring’, Educational Researcher, 13(6), pp. 4–16. Available at: https://doi.org/10.3102/0013189X013006004</w:t>
            </w:r>
          </w:p>
          <w:p w14:paraId="237812A7"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Choi, Y., Lee, Y., Shin, D., Cho, J., Park, S., Lee, S., Baek, J., Bae, C., Kim, B. and Heo, J. (2020) ‘</w:t>
            </w:r>
            <w:proofErr w:type="spellStart"/>
            <w:r w:rsidRPr="005E2655">
              <w:rPr>
                <w:rFonts w:ascii="Arial" w:hAnsi="Arial" w:cs="Arial"/>
                <w:color w:val="000000"/>
                <w:sz w:val="20"/>
                <w:szCs w:val="20"/>
              </w:rPr>
              <w:t>EdNet</w:t>
            </w:r>
            <w:proofErr w:type="spellEnd"/>
            <w:r w:rsidRPr="005E2655">
              <w:rPr>
                <w:rFonts w:ascii="Arial" w:hAnsi="Arial" w:cs="Arial"/>
                <w:color w:val="000000"/>
                <w:sz w:val="20"/>
                <w:szCs w:val="20"/>
              </w:rPr>
              <w:t>: A large-scale hierarchical dataset in education’, in Bittencourt, I. et al. (eds) Artificial Intelligence in Education. AIED 2020. Lecture Notes in Computer Science, vol 12164. Cham: Springer, pp. 69–73. Available at: https://doi.org/10.1007/978-3-030-52240-7_13</w:t>
            </w:r>
          </w:p>
          <w:p w14:paraId="5070609E"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 xml:space="preserve">Corbett, A.T. and Anderson, J.R. (1994) ‘Knowledge tracing: </w:t>
            </w:r>
            <w:proofErr w:type="spellStart"/>
            <w:r w:rsidRPr="005E2655">
              <w:rPr>
                <w:rFonts w:ascii="Arial" w:hAnsi="Arial" w:cs="Arial"/>
                <w:color w:val="000000"/>
                <w:sz w:val="20"/>
                <w:szCs w:val="20"/>
              </w:rPr>
              <w:t>Modeling</w:t>
            </w:r>
            <w:proofErr w:type="spellEnd"/>
            <w:r w:rsidRPr="005E2655">
              <w:rPr>
                <w:rFonts w:ascii="Arial" w:hAnsi="Arial" w:cs="Arial"/>
                <w:color w:val="000000"/>
                <w:sz w:val="20"/>
                <w:szCs w:val="20"/>
              </w:rPr>
              <w:t xml:space="preserve"> the acquisition of procedural knowledge’, User </w:t>
            </w:r>
            <w:proofErr w:type="spellStart"/>
            <w:r w:rsidRPr="005E2655">
              <w:rPr>
                <w:rFonts w:ascii="Arial" w:hAnsi="Arial" w:cs="Arial"/>
                <w:color w:val="000000"/>
                <w:sz w:val="20"/>
                <w:szCs w:val="20"/>
              </w:rPr>
              <w:t>Modeling</w:t>
            </w:r>
            <w:proofErr w:type="spellEnd"/>
            <w:r w:rsidRPr="005E2655">
              <w:rPr>
                <w:rFonts w:ascii="Arial" w:hAnsi="Arial" w:cs="Arial"/>
                <w:color w:val="000000"/>
                <w:sz w:val="20"/>
                <w:szCs w:val="20"/>
              </w:rPr>
              <w:t xml:space="preserve"> and User-Adapted Interaction, 4(4), pp. 253–278. Available at: https://doi.org/10.1007/BF01099821</w:t>
            </w:r>
          </w:p>
          <w:p w14:paraId="02375FF9"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Ghosh, A., Heffernan, N. and Lan, A.S. (2020) ‘Context-aware attentive knowledge tracing’, in Proceedings of the 26th ACM SIGKDD International Conference on Knowledge Discovery and Data Mining. New York: ACM, pp. 2330–2339. Available at: https://doi.org/10.1145/3394486.3403282</w:t>
            </w:r>
          </w:p>
          <w:p w14:paraId="21698D61"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 xml:space="preserve">Pandey, S. and </w:t>
            </w:r>
            <w:proofErr w:type="spellStart"/>
            <w:r w:rsidRPr="005E2655">
              <w:rPr>
                <w:rFonts w:ascii="Arial" w:hAnsi="Arial" w:cs="Arial"/>
                <w:color w:val="000000"/>
                <w:sz w:val="20"/>
                <w:szCs w:val="20"/>
              </w:rPr>
              <w:t>Karypis</w:t>
            </w:r>
            <w:proofErr w:type="spellEnd"/>
            <w:r w:rsidRPr="005E2655">
              <w:rPr>
                <w:rFonts w:ascii="Arial" w:hAnsi="Arial" w:cs="Arial"/>
                <w:color w:val="000000"/>
                <w:sz w:val="20"/>
                <w:szCs w:val="20"/>
              </w:rPr>
              <w:t xml:space="preserve">, G. (2019) ‘A self-attentive model for knowledge tracing’, </w:t>
            </w:r>
            <w:proofErr w:type="spellStart"/>
            <w:r w:rsidRPr="005E2655">
              <w:rPr>
                <w:rFonts w:ascii="Arial" w:hAnsi="Arial" w:cs="Arial"/>
                <w:color w:val="000000"/>
                <w:sz w:val="20"/>
                <w:szCs w:val="20"/>
              </w:rPr>
              <w:t>arXiv</w:t>
            </w:r>
            <w:proofErr w:type="spellEnd"/>
            <w:r w:rsidRPr="005E2655">
              <w:rPr>
                <w:rFonts w:ascii="Arial" w:hAnsi="Arial" w:cs="Arial"/>
                <w:color w:val="000000"/>
                <w:sz w:val="20"/>
                <w:szCs w:val="20"/>
              </w:rPr>
              <w:t xml:space="preserve"> preprint arXiv:1907.06837. Available at: https://arxiv.org/abs/1907.06837</w:t>
            </w:r>
          </w:p>
          <w:p w14:paraId="69618560" w14:textId="77777777"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 xml:space="preserve">Piech, C., Bassen, J., Huang, J., Ganguli, S., </w:t>
            </w:r>
            <w:proofErr w:type="spellStart"/>
            <w:r w:rsidRPr="005E2655">
              <w:rPr>
                <w:rFonts w:ascii="Arial" w:hAnsi="Arial" w:cs="Arial"/>
                <w:color w:val="000000"/>
                <w:sz w:val="20"/>
                <w:szCs w:val="20"/>
              </w:rPr>
              <w:t>Sahami</w:t>
            </w:r>
            <w:proofErr w:type="spellEnd"/>
            <w:r w:rsidRPr="005E2655">
              <w:rPr>
                <w:rFonts w:ascii="Arial" w:hAnsi="Arial" w:cs="Arial"/>
                <w:color w:val="000000"/>
                <w:sz w:val="20"/>
                <w:szCs w:val="20"/>
              </w:rPr>
              <w:t>, M., Guibas, L. and Sohl-Dickstein, J. (2015) ‘Deep knowledge tracing’, in Advances in Neural Information Processing Systems 28 (NIPS 2015). Available at: https://proceedings.neurips.cc/paper/2015/hash/bac9162b47c56fc8a4d2a519803d51b3-Abstract.html</w:t>
            </w:r>
          </w:p>
          <w:p w14:paraId="5D469B20" w14:textId="77777777" w:rsidR="007E0DB6" w:rsidRPr="005E2655" w:rsidRDefault="007E0DB6" w:rsidP="007E0DB6">
            <w:pPr>
              <w:pStyle w:val="NormalWeb"/>
              <w:spacing w:before="0" w:beforeAutospacing="0" w:after="120" w:afterAutospacing="0"/>
              <w:jc w:val="both"/>
              <w:rPr>
                <w:rFonts w:ascii="Arial" w:hAnsi="Arial" w:cs="Arial"/>
              </w:rPr>
            </w:pPr>
            <w:proofErr w:type="spellStart"/>
            <w:r w:rsidRPr="005E2655">
              <w:rPr>
                <w:rFonts w:ascii="Arial" w:hAnsi="Arial" w:cs="Arial"/>
                <w:color w:val="000000"/>
                <w:sz w:val="20"/>
                <w:szCs w:val="20"/>
              </w:rPr>
              <w:t>Riiid</w:t>
            </w:r>
            <w:proofErr w:type="spellEnd"/>
            <w:r w:rsidRPr="005E2655">
              <w:rPr>
                <w:rFonts w:ascii="Arial" w:hAnsi="Arial" w:cs="Arial"/>
                <w:color w:val="000000"/>
                <w:sz w:val="20"/>
                <w:szCs w:val="20"/>
              </w:rPr>
              <w:t xml:space="preserve"> (2020) </w:t>
            </w:r>
            <w:proofErr w:type="spellStart"/>
            <w:r w:rsidRPr="005E2655">
              <w:rPr>
                <w:rFonts w:ascii="Arial" w:hAnsi="Arial" w:cs="Arial"/>
                <w:color w:val="000000"/>
                <w:sz w:val="20"/>
                <w:szCs w:val="20"/>
              </w:rPr>
              <w:t>EdNet</w:t>
            </w:r>
            <w:proofErr w:type="spellEnd"/>
            <w:r w:rsidRPr="005E2655">
              <w:rPr>
                <w:rFonts w:ascii="Arial" w:hAnsi="Arial" w:cs="Arial"/>
                <w:color w:val="000000"/>
                <w:sz w:val="20"/>
                <w:szCs w:val="20"/>
              </w:rPr>
              <w:t xml:space="preserve"> dataset. Available at: https://github.com/riiid/ednet (Accessed: March 2026).</w:t>
            </w:r>
          </w:p>
          <w:p w14:paraId="78BA0000" w14:textId="77777777" w:rsidR="007E0DB6" w:rsidRPr="005E2655" w:rsidRDefault="007E0DB6" w:rsidP="007E0DB6">
            <w:pPr>
              <w:pStyle w:val="NormalWeb"/>
              <w:spacing w:before="0" w:beforeAutospacing="0" w:after="120" w:afterAutospacing="0"/>
              <w:jc w:val="both"/>
              <w:rPr>
                <w:rFonts w:ascii="Arial" w:hAnsi="Arial" w:cs="Arial"/>
              </w:rPr>
            </w:pPr>
            <w:proofErr w:type="spellStart"/>
            <w:r w:rsidRPr="005E2655">
              <w:rPr>
                <w:rFonts w:ascii="Arial" w:hAnsi="Arial" w:cs="Arial"/>
                <w:color w:val="000000"/>
                <w:sz w:val="20"/>
                <w:szCs w:val="20"/>
              </w:rPr>
              <w:t>VanLehn</w:t>
            </w:r>
            <w:proofErr w:type="spellEnd"/>
            <w:r w:rsidRPr="005E2655">
              <w:rPr>
                <w:rFonts w:ascii="Arial" w:hAnsi="Arial" w:cs="Arial"/>
                <w:color w:val="000000"/>
                <w:sz w:val="20"/>
                <w:szCs w:val="20"/>
              </w:rPr>
              <w:t>, K. (2011) ‘The relative effectiveness of human tutoring, intelligent tutoring systems, and other tutoring systems’, Educational Psychologist, 46(4), pp. 197–221. Available at: https://doi.org/10.1080/00461520.2011.611369</w:t>
            </w:r>
          </w:p>
          <w:p w14:paraId="3008A9CD" w14:textId="063337B6" w:rsidR="007E0DB6" w:rsidRPr="005E2655" w:rsidRDefault="007E0DB6" w:rsidP="007E0DB6">
            <w:pPr>
              <w:pStyle w:val="NormalWeb"/>
              <w:spacing w:before="0" w:beforeAutospacing="0" w:after="120" w:afterAutospacing="0"/>
              <w:jc w:val="both"/>
              <w:rPr>
                <w:rFonts w:ascii="Arial" w:hAnsi="Arial" w:cs="Arial"/>
              </w:rPr>
            </w:pPr>
            <w:r w:rsidRPr="005E2655">
              <w:rPr>
                <w:rFonts w:ascii="Arial" w:hAnsi="Arial" w:cs="Arial"/>
                <w:color w:val="000000"/>
                <w:sz w:val="20"/>
                <w:szCs w:val="20"/>
              </w:rPr>
              <w:t>Zhang, J., Shi, X., King, I. and Yeung, D.Y. (2017) ‘Dynamic key-value memory networks for knowledge tracing’, in Proceedings of the 26th International Conference on World Wide Web. Geneva: IW3C2, pp. 765–774. Available at: https://doi.org/10.1145/3038912.3052580</w:t>
            </w:r>
          </w:p>
        </w:tc>
      </w:tr>
      <w:tr w:rsidR="007E0DB6" w:rsidRPr="005E2655" w14:paraId="391BF116" w14:textId="77777777" w:rsidTr="007E0DB6">
        <w:tc>
          <w:tcPr>
            <w:tcW w:w="1824" w:type="dxa"/>
          </w:tcPr>
          <w:p w14:paraId="787226E6" w14:textId="77777777" w:rsidR="007E0DB6" w:rsidRPr="005E2655" w:rsidRDefault="007E0DB6" w:rsidP="007E0DB6">
            <w:pPr>
              <w:rPr>
                <w:rFonts w:ascii="Arial" w:hAnsi="Arial" w:cs="Arial"/>
                <w:b/>
                <w:bCs/>
              </w:rPr>
            </w:pPr>
            <w:r w:rsidRPr="005E2655">
              <w:rPr>
                <w:rFonts w:ascii="Arial" w:hAnsi="Arial" w:cs="Arial"/>
                <w:b/>
                <w:bCs/>
              </w:rPr>
              <w:lastRenderedPageBreak/>
              <w:t>Testing and Evaluation:</w:t>
            </w:r>
          </w:p>
        </w:tc>
        <w:tc>
          <w:tcPr>
            <w:tcW w:w="8632" w:type="dxa"/>
          </w:tcPr>
          <w:p w14:paraId="3CC80E2C" w14:textId="0BC04B44" w:rsidR="007E0DB6" w:rsidRPr="005E2655" w:rsidRDefault="007E0DB6" w:rsidP="007E0DB6">
            <w:pPr>
              <w:pStyle w:val="NormalWeb"/>
              <w:spacing w:before="240" w:beforeAutospacing="0" w:after="240" w:afterAutospacing="0"/>
              <w:jc w:val="both"/>
              <w:rPr>
                <w:rFonts w:ascii="Arial" w:hAnsi="Arial" w:cs="Arial"/>
              </w:rPr>
            </w:pPr>
            <w:r w:rsidRPr="005E2655">
              <w:rPr>
                <w:rFonts w:ascii="Arial" w:hAnsi="Arial" w:cs="Arial"/>
                <w:color w:val="000000"/>
                <w:sz w:val="22"/>
                <w:szCs w:val="22"/>
              </w:rPr>
              <w:t xml:space="preserve">The platform </w:t>
            </w:r>
            <w:r w:rsidR="00072EC9" w:rsidRPr="005E2655">
              <w:rPr>
                <w:rFonts w:ascii="Arial" w:hAnsi="Arial" w:cs="Arial"/>
                <w:color w:val="000000"/>
                <w:sz w:val="22"/>
                <w:szCs w:val="22"/>
              </w:rPr>
              <w:t>will be</w:t>
            </w:r>
            <w:r w:rsidRPr="005E2655">
              <w:rPr>
                <w:rFonts w:ascii="Arial" w:hAnsi="Arial" w:cs="Arial"/>
                <w:color w:val="000000"/>
                <w:sz w:val="22"/>
                <w:szCs w:val="22"/>
              </w:rPr>
              <w:t xml:space="preserve"> implemented as a decoupled two-tier web application. The frontend </w:t>
            </w:r>
            <w:r w:rsidR="00072EC9" w:rsidRPr="005E2655">
              <w:rPr>
                <w:rFonts w:ascii="Arial" w:hAnsi="Arial" w:cs="Arial"/>
                <w:color w:val="000000"/>
                <w:sz w:val="22"/>
                <w:szCs w:val="22"/>
              </w:rPr>
              <w:t>will be</w:t>
            </w:r>
            <w:r w:rsidRPr="005E2655">
              <w:rPr>
                <w:rFonts w:ascii="Arial" w:hAnsi="Arial" w:cs="Arial"/>
                <w:color w:val="000000"/>
                <w:sz w:val="22"/>
                <w:szCs w:val="22"/>
              </w:rPr>
              <w:t xml:space="preserve"> built using </w:t>
            </w:r>
            <w:proofErr w:type="spellStart"/>
            <w:r w:rsidRPr="005E2655">
              <w:rPr>
                <w:rFonts w:ascii="Arial" w:hAnsi="Arial" w:cs="Arial"/>
                <w:color w:val="000000"/>
                <w:sz w:val="22"/>
                <w:szCs w:val="22"/>
              </w:rPr>
              <w:t>React</w:t>
            </w:r>
            <w:r w:rsidR="00B0398A" w:rsidRPr="005E2655">
              <w:rPr>
                <w:rFonts w:ascii="Arial" w:hAnsi="Arial" w:cs="Arial"/>
                <w:color w:val="000000"/>
                <w:sz w:val="22"/>
                <w:szCs w:val="22"/>
              </w:rPr>
              <w:t>Js</w:t>
            </w:r>
            <w:proofErr w:type="spellEnd"/>
            <w:r w:rsidRPr="005E2655">
              <w:rPr>
                <w:rFonts w:ascii="Arial" w:hAnsi="Arial" w:cs="Arial"/>
                <w:color w:val="000000"/>
                <w:sz w:val="22"/>
                <w:szCs w:val="22"/>
              </w:rPr>
              <w:t xml:space="preserve">, chosen for its component-based architecture, which enables modular construction of the question interface, progress dashboard, and knowledge state visualisation as independently maintainable units. </w:t>
            </w:r>
            <w:proofErr w:type="spellStart"/>
            <w:r w:rsidRPr="005E2655">
              <w:rPr>
                <w:rFonts w:ascii="Arial" w:hAnsi="Arial" w:cs="Arial"/>
                <w:color w:val="000000"/>
                <w:sz w:val="22"/>
                <w:szCs w:val="22"/>
              </w:rPr>
              <w:t>React's</w:t>
            </w:r>
            <w:proofErr w:type="spellEnd"/>
            <w:r w:rsidRPr="005E2655">
              <w:rPr>
                <w:rFonts w:ascii="Arial" w:hAnsi="Arial" w:cs="Arial"/>
                <w:color w:val="000000"/>
                <w:sz w:val="22"/>
                <w:szCs w:val="22"/>
              </w:rPr>
              <w:t xml:space="preserve"> virtual DOM rendering is particularly suited to the real-time update requirements of an adaptive interface, where question selection and mastery estimates must refresh without full-page reloads.</w:t>
            </w:r>
          </w:p>
          <w:p w14:paraId="61D48859" w14:textId="1F5E1112" w:rsidR="007E0DB6" w:rsidRPr="005E2655" w:rsidRDefault="007E0DB6" w:rsidP="007E0DB6">
            <w:pPr>
              <w:pStyle w:val="NormalWeb"/>
              <w:spacing w:before="240" w:beforeAutospacing="0" w:after="240" w:afterAutospacing="0"/>
              <w:jc w:val="both"/>
              <w:rPr>
                <w:rFonts w:ascii="Arial" w:hAnsi="Arial" w:cs="Arial"/>
              </w:rPr>
            </w:pPr>
            <w:r w:rsidRPr="005E2655">
              <w:rPr>
                <w:rFonts w:ascii="Arial" w:hAnsi="Arial" w:cs="Arial"/>
                <w:color w:val="000000"/>
                <w:sz w:val="22"/>
                <w:szCs w:val="22"/>
              </w:rPr>
              <w:t xml:space="preserve">The backend </w:t>
            </w:r>
            <w:r w:rsidR="00072EC9" w:rsidRPr="005E2655">
              <w:rPr>
                <w:rFonts w:ascii="Arial" w:hAnsi="Arial" w:cs="Arial"/>
                <w:color w:val="000000"/>
                <w:sz w:val="22"/>
                <w:szCs w:val="22"/>
              </w:rPr>
              <w:t>will be</w:t>
            </w:r>
            <w:r w:rsidRPr="005E2655">
              <w:rPr>
                <w:rFonts w:ascii="Arial" w:hAnsi="Arial" w:cs="Arial"/>
                <w:color w:val="000000"/>
                <w:sz w:val="22"/>
                <w:szCs w:val="22"/>
              </w:rPr>
              <w:t xml:space="preserve"> implemented using </w:t>
            </w:r>
            <w:proofErr w:type="spellStart"/>
            <w:r w:rsidRPr="005E2655">
              <w:rPr>
                <w:rFonts w:ascii="Arial" w:hAnsi="Arial" w:cs="Arial"/>
                <w:color w:val="000000"/>
                <w:sz w:val="22"/>
                <w:szCs w:val="22"/>
              </w:rPr>
              <w:t>FastAPI</w:t>
            </w:r>
            <w:proofErr w:type="spellEnd"/>
            <w:r w:rsidRPr="005E2655">
              <w:rPr>
                <w:rFonts w:ascii="Arial" w:hAnsi="Arial" w:cs="Arial"/>
                <w:color w:val="000000"/>
                <w:sz w:val="22"/>
                <w:szCs w:val="22"/>
              </w:rPr>
              <w:t xml:space="preserve"> (Python), selected because the DKT model </w:t>
            </w:r>
            <w:r w:rsidR="00072EC9" w:rsidRPr="005E2655">
              <w:rPr>
                <w:rFonts w:ascii="Arial" w:hAnsi="Arial" w:cs="Arial"/>
                <w:color w:val="000000"/>
                <w:sz w:val="22"/>
                <w:szCs w:val="22"/>
              </w:rPr>
              <w:t>will be</w:t>
            </w:r>
            <w:r w:rsidRPr="005E2655">
              <w:rPr>
                <w:rFonts w:ascii="Arial" w:hAnsi="Arial" w:cs="Arial"/>
                <w:color w:val="000000"/>
                <w:sz w:val="22"/>
                <w:szCs w:val="22"/>
              </w:rPr>
              <w:t xml:space="preserve"> trained in Python using </w:t>
            </w:r>
            <w:proofErr w:type="spellStart"/>
            <w:r w:rsidRPr="005E2655">
              <w:rPr>
                <w:rFonts w:ascii="Arial" w:hAnsi="Arial" w:cs="Arial"/>
                <w:color w:val="000000"/>
                <w:sz w:val="22"/>
                <w:szCs w:val="22"/>
              </w:rPr>
              <w:t>PyTorch</w:t>
            </w:r>
            <w:proofErr w:type="spellEnd"/>
            <w:r w:rsidRPr="005E2655">
              <w:rPr>
                <w:rFonts w:ascii="Arial" w:hAnsi="Arial" w:cs="Arial"/>
                <w:color w:val="000000"/>
                <w:sz w:val="22"/>
                <w:szCs w:val="22"/>
              </w:rPr>
              <w:t xml:space="preserve">, and </w:t>
            </w:r>
            <w:proofErr w:type="spellStart"/>
            <w:r w:rsidRPr="005E2655">
              <w:rPr>
                <w:rFonts w:ascii="Arial" w:hAnsi="Arial" w:cs="Arial"/>
                <w:color w:val="000000"/>
                <w:sz w:val="22"/>
                <w:szCs w:val="22"/>
              </w:rPr>
              <w:t>FastAPI</w:t>
            </w:r>
            <w:proofErr w:type="spellEnd"/>
            <w:r w:rsidRPr="005E2655">
              <w:rPr>
                <w:rFonts w:ascii="Arial" w:hAnsi="Arial" w:cs="Arial"/>
                <w:color w:val="000000"/>
                <w:sz w:val="22"/>
                <w:szCs w:val="22"/>
              </w:rPr>
              <w:t xml:space="preserve"> enables direct model inference within the same runtime environment without requiring a separate model-serving layer. </w:t>
            </w:r>
            <w:proofErr w:type="spellStart"/>
            <w:r w:rsidRPr="005E2655">
              <w:rPr>
                <w:rFonts w:ascii="Arial" w:hAnsi="Arial" w:cs="Arial"/>
                <w:color w:val="000000"/>
                <w:sz w:val="22"/>
                <w:szCs w:val="22"/>
              </w:rPr>
              <w:t>FastAPI's</w:t>
            </w:r>
            <w:proofErr w:type="spellEnd"/>
            <w:r w:rsidRPr="005E2655">
              <w:rPr>
                <w:rFonts w:ascii="Arial" w:hAnsi="Arial" w:cs="Arial"/>
                <w:color w:val="000000"/>
                <w:sz w:val="22"/>
                <w:szCs w:val="22"/>
              </w:rPr>
              <w:t xml:space="preserve"> asynchronous request handling supports concurrent prediction calls, and its automatic </w:t>
            </w:r>
            <w:proofErr w:type="spellStart"/>
            <w:r w:rsidRPr="005E2655">
              <w:rPr>
                <w:rFonts w:ascii="Arial" w:hAnsi="Arial" w:cs="Arial"/>
                <w:color w:val="000000"/>
                <w:sz w:val="22"/>
                <w:szCs w:val="22"/>
              </w:rPr>
              <w:t>OpenAPI</w:t>
            </w:r>
            <w:proofErr w:type="spellEnd"/>
            <w:r w:rsidRPr="005E2655">
              <w:rPr>
                <w:rFonts w:ascii="Arial" w:hAnsi="Arial" w:cs="Arial"/>
                <w:color w:val="000000"/>
                <w:sz w:val="22"/>
                <w:szCs w:val="22"/>
              </w:rPr>
              <w:t xml:space="preserve"> schema generation enforces the clean interface contract between the content layer and the algorithmic engine. This separation is architecturally significant: the JSON content schema is consumed by the backend, which passes knowledge component identifiers to the DKT model and returns next-question recommendations to the frontend, meaning no algorithmic code is modified when the platform is reconfigured for a new domain.</w:t>
            </w:r>
          </w:p>
          <w:p w14:paraId="26D77365" w14:textId="5088ECF9" w:rsidR="007E0DB6" w:rsidRPr="005E2655" w:rsidRDefault="007E0DB6" w:rsidP="007E0DB6">
            <w:pPr>
              <w:pStyle w:val="NormalWeb"/>
              <w:spacing w:before="240" w:beforeAutospacing="0" w:after="240" w:afterAutospacing="0"/>
              <w:jc w:val="both"/>
              <w:rPr>
                <w:rFonts w:ascii="Arial" w:hAnsi="Arial" w:cs="Arial"/>
              </w:rPr>
            </w:pPr>
            <w:r w:rsidRPr="005E2655">
              <w:rPr>
                <w:rFonts w:ascii="Arial" w:hAnsi="Arial" w:cs="Arial"/>
                <w:color w:val="000000"/>
                <w:sz w:val="22"/>
                <w:szCs w:val="22"/>
              </w:rPr>
              <w:t xml:space="preserve">The DKT model </w:t>
            </w:r>
            <w:r w:rsidR="008C0BAC" w:rsidRPr="005E2655">
              <w:rPr>
                <w:rFonts w:ascii="Arial" w:hAnsi="Arial" w:cs="Arial"/>
                <w:color w:val="000000"/>
                <w:sz w:val="22"/>
                <w:szCs w:val="22"/>
              </w:rPr>
              <w:t>will be</w:t>
            </w:r>
            <w:r w:rsidRPr="005E2655">
              <w:rPr>
                <w:rFonts w:ascii="Arial" w:hAnsi="Arial" w:cs="Arial"/>
                <w:color w:val="000000"/>
                <w:sz w:val="22"/>
                <w:szCs w:val="22"/>
              </w:rPr>
              <w:t xml:space="preserve"> implemented using </w:t>
            </w:r>
            <w:proofErr w:type="spellStart"/>
            <w:r w:rsidRPr="005E2655">
              <w:rPr>
                <w:rFonts w:ascii="Arial" w:hAnsi="Arial" w:cs="Arial"/>
                <w:color w:val="000000"/>
                <w:sz w:val="22"/>
                <w:szCs w:val="22"/>
              </w:rPr>
              <w:t>PyTorch</w:t>
            </w:r>
            <w:proofErr w:type="spellEnd"/>
            <w:r w:rsidRPr="005E2655">
              <w:rPr>
                <w:rFonts w:ascii="Arial" w:hAnsi="Arial" w:cs="Arial"/>
                <w:color w:val="000000"/>
                <w:sz w:val="22"/>
                <w:szCs w:val="22"/>
              </w:rPr>
              <w:t xml:space="preserve">, with data preprocessing handled via pandas and NumPy. The EDNet-KT1 dataset is stored locally during training; the trained model weights are serialised and loaded into the </w:t>
            </w:r>
            <w:proofErr w:type="spellStart"/>
            <w:r w:rsidRPr="005E2655">
              <w:rPr>
                <w:rFonts w:ascii="Arial" w:hAnsi="Arial" w:cs="Arial"/>
                <w:color w:val="000000"/>
                <w:sz w:val="22"/>
                <w:szCs w:val="22"/>
              </w:rPr>
              <w:t>FastAPI</w:t>
            </w:r>
            <w:proofErr w:type="spellEnd"/>
            <w:r w:rsidRPr="005E2655">
              <w:rPr>
                <w:rFonts w:ascii="Arial" w:hAnsi="Arial" w:cs="Arial"/>
                <w:color w:val="000000"/>
                <w:sz w:val="22"/>
                <w:szCs w:val="22"/>
              </w:rPr>
              <w:t xml:space="preserve"> application at runtime. All platform components are containerised using Docker to ensure reproducibility of the development and evaluation environment.</w:t>
            </w:r>
          </w:p>
          <w:p w14:paraId="4E4B4827" w14:textId="7474A809" w:rsidR="007E0DB6" w:rsidRPr="005E2655" w:rsidRDefault="007E0DB6" w:rsidP="007E0DB6">
            <w:pPr>
              <w:pStyle w:val="NormalWeb"/>
              <w:spacing w:before="0" w:beforeAutospacing="0" w:after="160" w:afterAutospacing="0"/>
              <w:jc w:val="both"/>
              <w:rPr>
                <w:rFonts w:ascii="Arial" w:hAnsi="Arial" w:cs="Arial"/>
              </w:rPr>
            </w:pPr>
            <w:r w:rsidRPr="005E2655">
              <w:rPr>
                <w:rFonts w:ascii="Arial" w:hAnsi="Arial" w:cs="Arial"/>
                <w:color w:val="000000"/>
                <w:sz w:val="22"/>
                <w:szCs w:val="22"/>
              </w:rPr>
              <w:t>The adaptive engine will be evaluated algorithmically using the held-out EDNet-KT1 test split: the primary metric is AUC on next-question correctness prediction, with a BKT baseline for comparison; an AUC above 0.7</w:t>
            </w:r>
            <w:r w:rsidR="0067118A" w:rsidRPr="005E2655">
              <w:rPr>
                <w:rFonts w:ascii="Arial" w:hAnsi="Arial" w:cs="Arial"/>
                <w:color w:val="000000"/>
                <w:sz w:val="22"/>
                <w:szCs w:val="22"/>
              </w:rPr>
              <w:t>2</w:t>
            </w:r>
            <w:r w:rsidRPr="005E2655">
              <w:rPr>
                <w:rFonts w:ascii="Arial" w:hAnsi="Arial" w:cs="Arial"/>
                <w:color w:val="000000"/>
                <w:sz w:val="22"/>
                <w:szCs w:val="22"/>
              </w:rPr>
              <w:t xml:space="preserve"> will be considered a pass threshold consistent with the knowledge tracing literature (Abdelrahman, Wang and Nunes, 2023). Platform functionality will be verified through automated integration tests covering the question delivery loop, response recording, and knowledge state update pipeline. Configurability will be demonstrated by successfully deploying the platform with a mapped content schema for the target course and documenting the steps taken, providing evidence that the architecture generalises beyond the </w:t>
            </w:r>
            <w:proofErr w:type="spellStart"/>
            <w:r w:rsidRPr="005E2655">
              <w:rPr>
                <w:rFonts w:ascii="Arial" w:hAnsi="Arial" w:cs="Arial"/>
                <w:color w:val="000000"/>
                <w:sz w:val="22"/>
                <w:szCs w:val="22"/>
              </w:rPr>
              <w:t>EDNet</w:t>
            </w:r>
            <w:proofErr w:type="spellEnd"/>
            <w:r w:rsidRPr="005E2655">
              <w:rPr>
                <w:rFonts w:ascii="Arial" w:hAnsi="Arial" w:cs="Arial"/>
                <w:color w:val="000000"/>
                <w:sz w:val="22"/>
                <w:szCs w:val="22"/>
              </w:rPr>
              <w:t xml:space="preserve"> domain.</w:t>
            </w:r>
          </w:p>
        </w:tc>
      </w:tr>
      <w:tr w:rsidR="007E0DB6" w:rsidRPr="005E2655" w14:paraId="75808C2A" w14:textId="77777777" w:rsidTr="007E0DB6">
        <w:tc>
          <w:tcPr>
            <w:tcW w:w="1824" w:type="dxa"/>
          </w:tcPr>
          <w:p w14:paraId="7FFCA890" w14:textId="77777777" w:rsidR="007E0DB6" w:rsidRPr="005E2655" w:rsidRDefault="007E0DB6" w:rsidP="007E0DB6">
            <w:pPr>
              <w:rPr>
                <w:rFonts w:ascii="Arial" w:hAnsi="Arial" w:cs="Arial"/>
                <w:b/>
                <w:bCs/>
              </w:rPr>
            </w:pPr>
            <w:r w:rsidRPr="005E2655">
              <w:rPr>
                <w:rFonts w:ascii="Arial" w:hAnsi="Arial" w:cs="Arial"/>
                <w:b/>
                <w:bCs/>
              </w:rPr>
              <w:t>Ethical considerations:</w:t>
            </w:r>
          </w:p>
        </w:tc>
        <w:tc>
          <w:tcPr>
            <w:tcW w:w="8632" w:type="dxa"/>
          </w:tcPr>
          <w:p w14:paraId="38EFB34C" w14:textId="5EBE3FE0" w:rsidR="009667AA" w:rsidRPr="005E2655" w:rsidRDefault="009667AA" w:rsidP="009667AA">
            <w:pPr>
              <w:rPr>
                <w:rFonts w:ascii="Arial" w:hAnsi="Arial" w:cs="Arial"/>
                <w:iCs/>
                <w:sz w:val="22"/>
                <w:szCs w:val="21"/>
              </w:rPr>
            </w:pPr>
            <w:r w:rsidRPr="005E2655">
              <w:rPr>
                <w:rFonts w:ascii="Arial" w:hAnsi="Arial" w:cs="Arial"/>
                <w:iCs/>
                <w:sz w:val="22"/>
                <w:szCs w:val="21"/>
              </w:rPr>
              <w:t>This project will not recruit human participants or collect primary data. It will use EDNet-KT1, a publicly available dataset released for research under a Creative Commons Attribution-</w:t>
            </w:r>
            <w:proofErr w:type="spellStart"/>
            <w:r w:rsidRPr="005E2655">
              <w:rPr>
                <w:rFonts w:ascii="Arial" w:hAnsi="Arial" w:cs="Arial"/>
                <w:iCs/>
                <w:sz w:val="22"/>
                <w:szCs w:val="21"/>
              </w:rPr>
              <w:t>NonCommercial</w:t>
            </w:r>
            <w:proofErr w:type="spellEnd"/>
            <w:r w:rsidRPr="005E2655">
              <w:rPr>
                <w:rFonts w:ascii="Arial" w:hAnsi="Arial" w:cs="Arial"/>
                <w:iCs/>
                <w:sz w:val="22"/>
                <w:szCs w:val="21"/>
              </w:rPr>
              <w:t xml:space="preserve"> 4.0 International licence. Because the data came from real learners, I will still treat it as sensitive: I will not attempt re-identification, will not combine it with other datasets, and will report only aggregate model performance. The dataset will be stored locally in the project workspace, excluded from public repositories, and removed or archived according to university data-management guidance at the end of the project.</w:t>
            </w:r>
          </w:p>
          <w:p w14:paraId="5AF84D7A" w14:textId="77777777" w:rsidR="009667AA" w:rsidRPr="005E2655" w:rsidRDefault="009667AA" w:rsidP="009667AA">
            <w:pPr>
              <w:rPr>
                <w:rFonts w:ascii="Arial" w:hAnsi="Arial" w:cs="Arial"/>
                <w:iCs/>
                <w:sz w:val="22"/>
                <w:szCs w:val="21"/>
              </w:rPr>
            </w:pPr>
            <w:r w:rsidRPr="005E2655">
              <w:rPr>
                <w:rFonts w:ascii="Arial" w:hAnsi="Arial" w:cs="Arial"/>
                <w:iCs/>
                <w:sz w:val="22"/>
                <w:szCs w:val="21"/>
              </w:rPr>
              <w:t xml:space="preserve">The use of </w:t>
            </w:r>
            <w:proofErr w:type="spellStart"/>
            <w:r w:rsidRPr="005E2655">
              <w:rPr>
                <w:rFonts w:ascii="Arial" w:hAnsi="Arial" w:cs="Arial"/>
                <w:iCs/>
                <w:sz w:val="22"/>
                <w:szCs w:val="21"/>
              </w:rPr>
              <w:t>EDNet</w:t>
            </w:r>
            <w:proofErr w:type="spellEnd"/>
            <w:r w:rsidRPr="005E2655">
              <w:rPr>
                <w:rFonts w:ascii="Arial" w:hAnsi="Arial" w:cs="Arial"/>
                <w:iCs/>
                <w:sz w:val="22"/>
                <w:szCs w:val="21"/>
              </w:rPr>
              <w:t xml:space="preserve"> will remain non-commercial and appropriately attributed to </w:t>
            </w:r>
            <w:proofErr w:type="spellStart"/>
            <w:r w:rsidRPr="005E2655">
              <w:rPr>
                <w:rFonts w:ascii="Arial" w:hAnsi="Arial" w:cs="Arial"/>
                <w:iCs/>
                <w:sz w:val="22"/>
                <w:szCs w:val="21"/>
              </w:rPr>
              <w:t>Riiid</w:t>
            </w:r>
            <w:proofErr w:type="spellEnd"/>
            <w:r w:rsidRPr="005E2655">
              <w:rPr>
                <w:rFonts w:ascii="Arial" w:hAnsi="Arial" w:cs="Arial"/>
                <w:iCs/>
                <w:sz w:val="22"/>
                <w:szCs w:val="21"/>
              </w:rPr>
              <w:t xml:space="preserve"> and Choi et al. (2020). Any target-course questions used for the configurability demonstration will either be newly written, openly licensed, or paraphrased from permitted sources; copyrighted teaching materials will not be copied into the public artefact without permission.</w:t>
            </w:r>
          </w:p>
          <w:p w14:paraId="39E71BA9" w14:textId="77777777" w:rsidR="009667AA" w:rsidRPr="005E2655" w:rsidRDefault="009667AA" w:rsidP="009667AA">
            <w:pPr>
              <w:rPr>
                <w:rFonts w:ascii="Arial" w:hAnsi="Arial" w:cs="Arial"/>
                <w:iCs/>
                <w:sz w:val="22"/>
                <w:szCs w:val="21"/>
              </w:rPr>
            </w:pPr>
            <w:r w:rsidRPr="005E2655">
              <w:rPr>
                <w:rFonts w:ascii="Arial" w:hAnsi="Arial" w:cs="Arial"/>
                <w:iCs/>
                <w:sz w:val="22"/>
                <w:szCs w:val="21"/>
              </w:rPr>
              <w:t xml:space="preserve">A key ethical risk is that </w:t>
            </w:r>
            <w:proofErr w:type="spellStart"/>
            <w:r w:rsidRPr="005E2655">
              <w:rPr>
                <w:rFonts w:ascii="Arial" w:hAnsi="Arial" w:cs="Arial"/>
                <w:iCs/>
                <w:sz w:val="22"/>
                <w:szCs w:val="21"/>
              </w:rPr>
              <w:t>EDNet</w:t>
            </w:r>
            <w:proofErr w:type="spellEnd"/>
            <w:r w:rsidRPr="005E2655">
              <w:rPr>
                <w:rFonts w:ascii="Arial" w:hAnsi="Arial" w:cs="Arial"/>
                <w:iCs/>
                <w:sz w:val="22"/>
                <w:szCs w:val="21"/>
              </w:rPr>
              <w:t xml:space="preserve"> may reflect the behaviour, curriculum structure, language, platform design and learner population of the Santa tutoring system rather than the needs of students in the target undergraduate module. A model trained on this data may therefore encode dataset bias and may not perform equally well for all learners or domains. To reduce this risk, I will describe the dataset limitations clearly, evaluate only offline predictive performance, avoid claims that the model is fair or educationally effective in a new context, and make the knowledge-component mapping transparent so that future users can review or change it</w:t>
            </w:r>
          </w:p>
          <w:p w14:paraId="1C99ECEA" w14:textId="77777777" w:rsidR="009667AA" w:rsidRPr="005E2655" w:rsidRDefault="009667AA" w:rsidP="009667AA">
            <w:pPr>
              <w:rPr>
                <w:rFonts w:ascii="Arial" w:hAnsi="Arial" w:cs="Arial"/>
                <w:iCs/>
                <w:sz w:val="22"/>
                <w:szCs w:val="21"/>
              </w:rPr>
            </w:pPr>
            <w:r w:rsidRPr="005E2655">
              <w:rPr>
                <w:rFonts w:ascii="Arial" w:hAnsi="Arial" w:cs="Arial"/>
                <w:iCs/>
                <w:sz w:val="22"/>
                <w:szCs w:val="21"/>
              </w:rPr>
              <w:t xml:space="preserve">I also recognise my own potential bias as the designer and evaluator of the system. I may unintentionally choose mappings, examples, evaluation thresholds or interpretations that make the platform appear more successful than it is. To avoid this, I will define evaluation criteria before testing, compare the DKT model with a </w:t>
            </w:r>
            <w:r w:rsidRPr="005E2655">
              <w:rPr>
                <w:rFonts w:ascii="Arial" w:hAnsi="Arial" w:cs="Arial"/>
                <w:iCs/>
                <w:sz w:val="22"/>
                <w:szCs w:val="21"/>
              </w:rPr>
              <w:lastRenderedPageBreak/>
              <w:t>BKT baseline, keep a decision log for preprocessing and mapping choices, report negative or inconclusive results, and separate subjective design reflections from quantitative model outcomes.</w:t>
            </w:r>
          </w:p>
          <w:p w14:paraId="1ADB98C5" w14:textId="6A9EE7A1" w:rsidR="009667AA" w:rsidRPr="005E2655" w:rsidRDefault="009667AA" w:rsidP="009667AA">
            <w:pPr>
              <w:rPr>
                <w:rFonts w:ascii="Arial" w:hAnsi="Arial" w:cs="Arial"/>
                <w:iCs/>
                <w:sz w:val="22"/>
                <w:szCs w:val="21"/>
              </w:rPr>
            </w:pPr>
            <w:r w:rsidRPr="005E2655">
              <w:rPr>
                <w:rFonts w:ascii="Arial" w:hAnsi="Arial" w:cs="Arial"/>
                <w:iCs/>
                <w:sz w:val="22"/>
                <w:szCs w:val="21"/>
              </w:rPr>
              <w:t>Further issues considered include over-reliance on automated recommendations, lack of transparency for learners, accessibility of the interface, and academic-integrity concerns if the system is used for assessment practice. The MVP will therefore be presented as a support and research artefact rather than a replacement for teacher judgement; learner-facing outputs will be framed as estimated mastery rather than definitive ability; the interface will use clear feedback and basic accessibility checks; and no high-stakes decisions will be made from the model during this project.</w:t>
            </w:r>
          </w:p>
        </w:tc>
      </w:tr>
      <w:tr w:rsidR="007E0DB6" w:rsidRPr="005E2655" w14:paraId="53FA7237" w14:textId="77777777" w:rsidTr="007E0DB6">
        <w:tc>
          <w:tcPr>
            <w:tcW w:w="1824" w:type="dxa"/>
          </w:tcPr>
          <w:p w14:paraId="5F8E15DA" w14:textId="77777777" w:rsidR="007E0DB6" w:rsidRPr="005E2655" w:rsidRDefault="007E0DB6" w:rsidP="007E0DB6">
            <w:pPr>
              <w:rPr>
                <w:rFonts w:ascii="Arial" w:hAnsi="Arial" w:cs="Arial"/>
                <w:b/>
                <w:bCs/>
              </w:rPr>
            </w:pPr>
            <w:r w:rsidRPr="005E2655">
              <w:rPr>
                <w:rFonts w:ascii="Arial" w:hAnsi="Arial" w:cs="Arial"/>
                <w:b/>
                <w:bCs/>
              </w:rPr>
              <w:lastRenderedPageBreak/>
              <w:t>Project plan:</w:t>
            </w:r>
          </w:p>
        </w:tc>
        <w:tc>
          <w:tcPr>
            <w:tcW w:w="8632" w:type="dxa"/>
          </w:tcPr>
          <w:p w14:paraId="5CD52B6A" w14:textId="77777777" w:rsidR="00E40DF2" w:rsidRPr="005E2655" w:rsidRDefault="00E40DF2">
            <w:pPr>
              <w:rPr>
                <w:rFonts w:ascii="Arial" w:hAnsi="Arial" w:cs="Arial"/>
              </w:rPr>
            </w:pPr>
          </w:p>
          <w:tbl>
            <w:tblPr>
              <w:tblW w:w="8406" w:type="dxa"/>
              <w:tblCellMar>
                <w:top w:w="15" w:type="dxa"/>
                <w:left w:w="15" w:type="dxa"/>
                <w:bottom w:w="15" w:type="dxa"/>
                <w:right w:w="15" w:type="dxa"/>
              </w:tblCellMar>
              <w:tblLook w:val="04A0" w:firstRow="1" w:lastRow="0" w:firstColumn="1" w:lastColumn="0" w:noHBand="0" w:noVBand="1"/>
            </w:tblPr>
            <w:tblGrid>
              <w:gridCol w:w="3922"/>
              <w:gridCol w:w="740"/>
              <w:gridCol w:w="650"/>
              <w:gridCol w:w="755"/>
              <w:gridCol w:w="665"/>
              <w:gridCol w:w="828"/>
              <w:gridCol w:w="846"/>
            </w:tblGrid>
            <w:tr w:rsidR="007E0DB6" w:rsidRPr="005E2655" w14:paraId="08155CE6"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2E4057"/>
                  <w:tcMar>
                    <w:top w:w="60" w:type="dxa"/>
                    <w:left w:w="100" w:type="dxa"/>
                    <w:bottom w:w="60" w:type="dxa"/>
                    <w:right w:w="100" w:type="dxa"/>
                  </w:tcMar>
                  <w:hideMark/>
                </w:tcPr>
                <w:p w14:paraId="1BDAF1AC"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Task</w:t>
                  </w:r>
                </w:p>
              </w:tc>
              <w:tc>
                <w:tcPr>
                  <w:tcW w:w="0" w:type="auto"/>
                  <w:tcBorders>
                    <w:top w:val="single" w:sz="4" w:space="0" w:color="CCCCCC"/>
                    <w:left w:val="single" w:sz="4" w:space="0" w:color="CCCCCC"/>
                    <w:bottom w:val="single" w:sz="4" w:space="0" w:color="CCCCCC"/>
                    <w:right w:val="single" w:sz="4" w:space="0" w:color="CCCCCC"/>
                  </w:tcBorders>
                  <w:shd w:val="clear" w:color="auto" w:fill="2E4057"/>
                  <w:tcMar>
                    <w:top w:w="60" w:type="dxa"/>
                    <w:left w:w="40" w:type="dxa"/>
                    <w:bottom w:w="60" w:type="dxa"/>
                    <w:right w:w="40" w:type="dxa"/>
                  </w:tcMar>
                  <w:hideMark/>
                </w:tcPr>
                <w:p w14:paraId="39760251"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April</w:t>
                  </w:r>
                </w:p>
              </w:tc>
              <w:tc>
                <w:tcPr>
                  <w:tcW w:w="0" w:type="auto"/>
                  <w:tcBorders>
                    <w:top w:val="single" w:sz="4" w:space="0" w:color="CCCCCC"/>
                    <w:left w:val="single" w:sz="4" w:space="0" w:color="CCCCCC"/>
                    <w:bottom w:val="single" w:sz="4" w:space="0" w:color="CCCCCC"/>
                    <w:right w:val="single" w:sz="4" w:space="0" w:color="CCCCCC"/>
                  </w:tcBorders>
                  <w:shd w:val="clear" w:color="auto" w:fill="2E4057"/>
                  <w:tcMar>
                    <w:top w:w="60" w:type="dxa"/>
                    <w:left w:w="40" w:type="dxa"/>
                    <w:bottom w:w="60" w:type="dxa"/>
                    <w:right w:w="40" w:type="dxa"/>
                  </w:tcMar>
                  <w:hideMark/>
                </w:tcPr>
                <w:p w14:paraId="7F43A50E"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May</w:t>
                  </w:r>
                </w:p>
              </w:tc>
              <w:tc>
                <w:tcPr>
                  <w:tcW w:w="0" w:type="auto"/>
                  <w:tcBorders>
                    <w:top w:val="single" w:sz="4" w:space="0" w:color="CCCCCC"/>
                    <w:left w:val="single" w:sz="4" w:space="0" w:color="CCCCCC"/>
                    <w:bottom w:val="single" w:sz="4" w:space="0" w:color="CCCCCC"/>
                    <w:right w:val="single" w:sz="4" w:space="0" w:color="CCCCCC"/>
                  </w:tcBorders>
                  <w:shd w:val="clear" w:color="auto" w:fill="2E4057"/>
                  <w:tcMar>
                    <w:top w:w="60" w:type="dxa"/>
                    <w:left w:w="40" w:type="dxa"/>
                    <w:bottom w:w="60" w:type="dxa"/>
                    <w:right w:w="40" w:type="dxa"/>
                  </w:tcMar>
                  <w:hideMark/>
                </w:tcPr>
                <w:p w14:paraId="611FFCCD"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June</w:t>
                  </w:r>
                </w:p>
              </w:tc>
              <w:tc>
                <w:tcPr>
                  <w:tcW w:w="0" w:type="auto"/>
                  <w:tcBorders>
                    <w:top w:val="single" w:sz="4" w:space="0" w:color="CCCCCC"/>
                    <w:left w:val="single" w:sz="4" w:space="0" w:color="CCCCCC"/>
                    <w:bottom w:val="single" w:sz="4" w:space="0" w:color="CCCCCC"/>
                    <w:right w:val="single" w:sz="4" w:space="0" w:color="CCCCCC"/>
                  </w:tcBorders>
                  <w:shd w:val="clear" w:color="auto" w:fill="2E4057"/>
                  <w:tcMar>
                    <w:top w:w="60" w:type="dxa"/>
                    <w:left w:w="40" w:type="dxa"/>
                    <w:bottom w:w="60" w:type="dxa"/>
                    <w:right w:w="40" w:type="dxa"/>
                  </w:tcMar>
                  <w:hideMark/>
                </w:tcPr>
                <w:p w14:paraId="233221E9"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July</w:t>
                  </w:r>
                </w:p>
              </w:tc>
              <w:tc>
                <w:tcPr>
                  <w:tcW w:w="828" w:type="dxa"/>
                  <w:tcBorders>
                    <w:top w:val="single" w:sz="4" w:space="0" w:color="CCCCCC"/>
                    <w:left w:val="single" w:sz="4" w:space="0" w:color="CCCCCC"/>
                    <w:bottom w:val="single" w:sz="4" w:space="0" w:color="CCCCCC"/>
                    <w:right w:val="single" w:sz="4" w:space="0" w:color="CCCCCC"/>
                  </w:tcBorders>
                  <w:shd w:val="clear" w:color="auto" w:fill="2E4057"/>
                  <w:tcMar>
                    <w:top w:w="60" w:type="dxa"/>
                    <w:left w:w="40" w:type="dxa"/>
                    <w:bottom w:w="60" w:type="dxa"/>
                    <w:right w:w="40" w:type="dxa"/>
                  </w:tcMar>
                  <w:hideMark/>
                </w:tcPr>
                <w:p w14:paraId="554BAE87"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August</w:t>
                  </w:r>
                </w:p>
              </w:tc>
              <w:tc>
                <w:tcPr>
                  <w:tcW w:w="846" w:type="dxa"/>
                  <w:tcBorders>
                    <w:top w:val="single" w:sz="4" w:space="0" w:color="CCCCCC"/>
                    <w:left w:val="single" w:sz="4" w:space="0" w:color="CCCCCC"/>
                    <w:bottom w:val="single" w:sz="4" w:space="0" w:color="CCCCCC"/>
                    <w:right w:val="single" w:sz="4" w:space="0" w:color="CCCCCC"/>
                  </w:tcBorders>
                  <w:shd w:val="clear" w:color="auto" w:fill="2E4057"/>
                  <w:tcMar>
                    <w:top w:w="60" w:type="dxa"/>
                    <w:left w:w="40" w:type="dxa"/>
                    <w:bottom w:w="60" w:type="dxa"/>
                    <w:right w:w="40" w:type="dxa"/>
                  </w:tcMar>
                  <w:hideMark/>
                </w:tcPr>
                <w:p w14:paraId="53734470"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b/>
                      <w:bCs/>
                      <w:color w:val="FFFFFF"/>
                      <w:sz w:val="18"/>
                      <w:szCs w:val="18"/>
                    </w:rPr>
                    <w:t>Sep</w:t>
                  </w:r>
                </w:p>
              </w:tc>
            </w:tr>
            <w:tr w:rsidR="007E0DB6" w:rsidRPr="005E2655" w14:paraId="093F6425"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hideMark/>
                </w:tcPr>
                <w:p w14:paraId="36999FB9"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Literature review &amp; refinement</w:t>
                  </w: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3E915094"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67CD0578"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3F57C647"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255E6B09"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323CF88F"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681859F1" w14:textId="77777777" w:rsidR="007E0DB6" w:rsidRPr="005E2655" w:rsidRDefault="007E0DB6" w:rsidP="007E0DB6">
                  <w:pPr>
                    <w:rPr>
                      <w:rFonts w:ascii="Arial" w:hAnsi="Arial" w:cs="Arial"/>
                    </w:rPr>
                  </w:pPr>
                </w:p>
              </w:tc>
            </w:tr>
            <w:tr w:rsidR="007E0DB6" w:rsidRPr="005E2655" w14:paraId="6B61271D"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5FF1A101"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Ethics approval</w:t>
                  </w: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53BA7ABB"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340329D5"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7868984F"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5FA7F6EC"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49B8AF0C"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4D204E1A" w14:textId="77777777" w:rsidR="007E0DB6" w:rsidRPr="005E2655" w:rsidRDefault="007E0DB6" w:rsidP="007E0DB6">
                  <w:pPr>
                    <w:rPr>
                      <w:rFonts w:ascii="Arial" w:hAnsi="Arial" w:cs="Arial"/>
                    </w:rPr>
                  </w:pPr>
                </w:p>
              </w:tc>
            </w:tr>
            <w:tr w:rsidR="007E0DB6" w:rsidRPr="005E2655" w14:paraId="43CD6338"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hideMark/>
                </w:tcPr>
                <w:p w14:paraId="0926846A" w14:textId="77777777" w:rsidR="007E0DB6" w:rsidRPr="005E2655" w:rsidRDefault="007E0DB6" w:rsidP="007E0DB6">
                  <w:pPr>
                    <w:pStyle w:val="NormalWeb"/>
                    <w:spacing w:before="0" w:beforeAutospacing="0" w:after="0" w:afterAutospacing="0"/>
                    <w:jc w:val="both"/>
                    <w:rPr>
                      <w:rFonts w:ascii="Arial" w:hAnsi="Arial" w:cs="Arial"/>
                    </w:rPr>
                  </w:pPr>
                  <w:proofErr w:type="spellStart"/>
                  <w:r w:rsidRPr="005E2655">
                    <w:rPr>
                      <w:rFonts w:ascii="Arial" w:hAnsi="Arial" w:cs="Arial"/>
                      <w:color w:val="000000"/>
                      <w:sz w:val="18"/>
                      <w:szCs w:val="18"/>
                    </w:rPr>
                    <w:t>EDNet</w:t>
                  </w:r>
                  <w:proofErr w:type="spellEnd"/>
                  <w:r w:rsidRPr="005E2655">
                    <w:rPr>
                      <w:rFonts w:ascii="Arial" w:hAnsi="Arial" w:cs="Arial"/>
                      <w:color w:val="000000"/>
                      <w:sz w:val="18"/>
                      <w:szCs w:val="18"/>
                    </w:rPr>
                    <w:t xml:space="preserve"> data preprocessing</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25B29A2C"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4FD13E49"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294F481E"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618E7951"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31D11123"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3C8B3718" w14:textId="77777777" w:rsidR="007E0DB6" w:rsidRPr="005E2655" w:rsidRDefault="007E0DB6" w:rsidP="007E0DB6">
                  <w:pPr>
                    <w:rPr>
                      <w:rFonts w:ascii="Arial" w:hAnsi="Arial" w:cs="Arial"/>
                    </w:rPr>
                  </w:pPr>
                </w:p>
              </w:tc>
            </w:tr>
            <w:tr w:rsidR="007E0DB6" w:rsidRPr="005E2655" w14:paraId="2C507342"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39642A78"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DKT model training &amp; tuning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52BE103D"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6081DB69"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70CB3085"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3E11554E"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3A0255E5"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06A613C0" w14:textId="77777777" w:rsidR="007E0DB6" w:rsidRPr="005E2655" w:rsidRDefault="007E0DB6" w:rsidP="007E0DB6">
                  <w:pPr>
                    <w:rPr>
                      <w:rFonts w:ascii="Arial" w:hAnsi="Arial" w:cs="Arial"/>
                    </w:rPr>
                  </w:pPr>
                </w:p>
              </w:tc>
            </w:tr>
            <w:tr w:rsidR="007E0DB6" w:rsidRPr="005E2655" w14:paraId="441E398D"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hideMark/>
                </w:tcPr>
                <w:p w14:paraId="256281E5"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MVP platform development</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4F1DFCA4"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4C72003C"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4C7FE3C6"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615204EF"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22943525"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2AC78AA2" w14:textId="77777777" w:rsidR="007E0DB6" w:rsidRPr="005E2655" w:rsidRDefault="007E0DB6" w:rsidP="007E0DB6">
                  <w:pPr>
                    <w:rPr>
                      <w:rFonts w:ascii="Arial" w:hAnsi="Arial" w:cs="Arial"/>
                    </w:rPr>
                  </w:pPr>
                </w:p>
              </w:tc>
            </w:tr>
            <w:tr w:rsidR="007E0DB6" w:rsidRPr="005E2655" w14:paraId="76A3F42B"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5692A1C0"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Platform + model integration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5254202F"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00639853"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07D75530"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6AEBCC48"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7308D710"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352F678A" w14:textId="77777777" w:rsidR="007E0DB6" w:rsidRPr="005E2655" w:rsidRDefault="007E0DB6" w:rsidP="007E0DB6">
                  <w:pPr>
                    <w:rPr>
                      <w:rFonts w:ascii="Arial" w:hAnsi="Arial" w:cs="Arial"/>
                    </w:rPr>
                  </w:pPr>
                </w:p>
              </w:tc>
            </w:tr>
            <w:tr w:rsidR="007E0DB6" w:rsidRPr="005E2655" w14:paraId="058AE7A9" w14:textId="77777777" w:rsidTr="005A70F8">
              <w:trPr>
                <w:trHeight w:val="237"/>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hideMark/>
                </w:tcPr>
                <w:p w14:paraId="0ADB0A10"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Evaluation &amp; testing</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101DC5A2"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613385B5"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109D50E4"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60" w:type="dxa"/>
                    <w:left w:w="40" w:type="dxa"/>
                    <w:bottom w:w="60" w:type="dxa"/>
                    <w:right w:w="40" w:type="dxa"/>
                  </w:tcMar>
                  <w:hideMark/>
                </w:tcPr>
                <w:p w14:paraId="7E34F006"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4FE91508"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3BD8C1AD" w14:textId="77777777" w:rsidR="007E0DB6" w:rsidRPr="005E2655" w:rsidRDefault="007E0DB6" w:rsidP="007E0DB6">
                  <w:pPr>
                    <w:rPr>
                      <w:rFonts w:ascii="Arial" w:hAnsi="Arial" w:cs="Arial"/>
                    </w:rPr>
                  </w:pPr>
                </w:p>
              </w:tc>
            </w:tr>
            <w:tr w:rsidR="007E0DB6" w:rsidRPr="005E2655" w14:paraId="1DEC0966" w14:textId="77777777" w:rsidTr="005A70F8">
              <w:trPr>
                <w:trHeight w:val="252"/>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hideMark/>
                </w:tcPr>
                <w:p w14:paraId="3CE601C1" w14:textId="77777777" w:rsidR="007E0DB6" w:rsidRPr="005E2655" w:rsidRDefault="007E0DB6" w:rsidP="007E0DB6">
                  <w:pPr>
                    <w:pStyle w:val="NormalWeb"/>
                    <w:spacing w:before="0" w:beforeAutospacing="0" w:after="0" w:afterAutospacing="0"/>
                    <w:jc w:val="both"/>
                    <w:rPr>
                      <w:rFonts w:ascii="Arial" w:hAnsi="Arial" w:cs="Arial"/>
                    </w:rPr>
                  </w:pPr>
                  <w:r w:rsidRPr="005E2655">
                    <w:rPr>
                      <w:rFonts w:ascii="Arial" w:hAnsi="Arial" w:cs="Arial"/>
                      <w:color w:val="000000"/>
                      <w:sz w:val="18"/>
                      <w:szCs w:val="18"/>
                    </w:rPr>
                    <w:t>Write-up &amp; submission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5EDE2E44"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0CA1C8CA"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35A097F1" w14:textId="77777777" w:rsidR="007E0DB6" w:rsidRPr="005E2655" w:rsidRDefault="007E0DB6" w:rsidP="007E0DB6">
                  <w:pPr>
                    <w:rPr>
                      <w:rFonts w:ascii="Arial" w:hAnsi="Arial" w:cs="Arial"/>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6CF1D8FB" w14:textId="77777777" w:rsidR="007E0DB6" w:rsidRPr="005E2655" w:rsidRDefault="007E0DB6" w:rsidP="007E0DB6">
                  <w:pPr>
                    <w:rPr>
                      <w:rFonts w:ascii="Arial" w:hAnsi="Arial" w:cs="Arial"/>
                    </w:rPr>
                  </w:pPr>
                </w:p>
              </w:tc>
              <w:tc>
                <w:tcPr>
                  <w:tcW w:w="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hideMark/>
                </w:tcPr>
                <w:p w14:paraId="151E0C9F" w14:textId="77777777" w:rsidR="007E0DB6" w:rsidRPr="005E2655" w:rsidRDefault="007E0DB6" w:rsidP="007E0DB6">
                  <w:pPr>
                    <w:rPr>
                      <w:rFonts w:ascii="Arial" w:hAnsi="Arial" w:cs="Arial"/>
                    </w:rPr>
                  </w:pPr>
                </w:p>
              </w:tc>
              <w:tc>
                <w:tcPr>
                  <w:tcW w:w="846" w:type="dxa"/>
                  <w:tcBorders>
                    <w:top w:val="single" w:sz="4" w:space="0" w:color="CCCCCC"/>
                    <w:left w:val="single" w:sz="4" w:space="0" w:color="CCCCCC"/>
                    <w:bottom w:val="single" w:sz="4" w:space="0" w:color="CCCCCC"/>
                    <w:right w:val="single" w:sz="4" w:space="0" w:color="CCCCCC"/>
                  </w:tcBorders>
                  <w:shd w:val="clear" w:color="auto" w:fill="4A90D9"/>
                  <w:tcMar>
                    <w:top w:w="60" w:type="dxa"/>
                    <w:left w:w="40" w:type="dxa"/>
                    <w:bottom w:w="60" w:type="dxa"/>
                    <w:right w:w="40" w:type="dxa"/>
                  </w:tcMar>
                  <w:hideMark/>
                </w:tcPr>
                <w:p w14:paraId="3CD6F7C5" w14:textId="77777777" w:rsidR="007E0DB6" w:rsidRPr="005E2655" w:rsidRDefault="007E0DB6" w:rsidP="007E0DB6">
                  <w:pPr>
                    <w:rPr>
                      <w:rFonts w:ascii="Arial" w:hAnsi="Arial" w:cs="Arial"/>
                    </w:rPr>
                  </w:pPr>
                </w:p>
              </w:tc>
            </w:tr>
          </w:tbl>
          <w:p w14:paraId="68E929EE" w14:textId="2FC84B76" w:rsidR="007E0DB6" w:rsidRPr="005E2655" w:rsidRDefault="007E0DB6" w:rsidP="007E0DB6">
            <w:pPr>
              <w:rPr>
                <w:rFonts w:ascii="Arial" w:hAnsi="Arial" w:cs="Arial"/>
                <w:i/>
              </w:rPr>
            </w:pPr>
          </w:p>
        </w:tc>
      </w:tr>
      <w:tr w:rsidR="007E0DB6" w:rsidRPr="005E2655" w14:paraId="0B45BA3D" w14:textId="77777777" w:rsidTr="007E0DB6">
        <w:tc>
          <w:tcPr>
            <w:tcW w:w="1824" w:type="dxa"/>
          </w:tcPr>
          <w:p w14:paraId="49FC9141" w14:textId="77777777" w:rsidR="007E0DB6" w:rsidRPr="005E2655" w:rsidRDefault="007E0DB6" w:rsidP="007E0DB6">
            <w:pPr>
              <w:rPr>
                <w:rFonts w:ascii="Arial" w:hAnsi="Arial" w:cs="Arial"/>
                <w:b/>
                <w:bCs/>
              </w:rPr>
            </w:pPr>
            <w:r w:rsidRPr="005E2655">
              <w:rPr>
                <w:rFonts w:ascii="Arial" w:hAnsi="Arial" w:cs="Arial"/>
                <w:b/>
                <w:bCs/>
              </w:rPr>
              <w:t>Signature:</w:t>
            </w:r>
          </w:p>
        </w:tc>
        <w:tc>
          <w:tcPr>
            <w:tcW w:w="8632" w:type="dxa"/>
          </w:tcPr>
          <w:p w14:paraId="7BF58EC0" w14:textId="222B2E40" w:rsidR="007E0DB6" w:rsidRPr="005E2655" w:rsidRDefault="007E0DB6" w:rsidP="007E0DB6">
            <w:pPr>
              <w:rPr>
                <w:rFonts w:ascii="Arial" w:hAnsi="Arial" w:cs="Arial"/>
                <w:i/>
              </w:rPr>
            </w:pPr>
            <w:r w:rsidRPr="005E2655">
              <w:rPr>
                <w:rFonts w:ascii="Arial" w:hAnsi="Arial" w:cs="Arial"/>
                <w:i/>
              </w:rPr>
              <w:t>Tolulope David Soetan</w:t>
            </w:r>
          </w:p>
          <w:p w14:paraId="795D4C51" w14:textId="56B5150E" w:rsidR="007E0DB6" w:rsidRPr="005E2655" w:rsidRDefault="007E0DB6" w:rsidP="007E0DB6">
            <w:pPr>
              <w:rPr>
                <w:rFonts w:ascii="Arial" w:hAnsi="Arial" w:cs="Arial"/>
                <w:i/>
              </w:rPr>
            </w:pPr>
          </w:p>
        </w:tc>
      </w:tr>
    </w:tbl>
    <w:p w14:paraId="0D065E8D" w14:textId="77777777" w:rsidR="00D02A08" w:rsidRPr="005E2655" w:rsidRDefault="00D02A08" w:rsidP="00D02A08">
      <w:pPr>
        <w:rPr>
          <w:rFonts w:ascii="Arial" w:hAnsi="Arial" w:cs="Arial"/>
        </w:rPr>
      </w:pPr>
    </w:p>
    <w:sectPr w:rsidR="00D02A08" w:rsidRPr="005E2655" w:rsidSect="006727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4461"/>
    <w:multiLevelType w:val="multilevel"/>
    <w:tmpl w:val="F71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9A73E1"/>
    <w:multiLevelType w:val="multilevel"/>
    <w:tmpl w:val="AEA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03416">
    <w:abstractNumId w:val="0"/>
  </w:num>
  <w:num w:numId="2" w16cid:durableId="177296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7A5"/>
    <w:rsid w:val="00001A3F"/>
    <w:rsid w:val="000078BC"/>
    <w:rsid w:val="00017966"/>
    <w:rsid w:val="00020295"/>
    <w:rsid w:val="00020F6E"/>
    <w:rsid w:val="000224A7"/>
    <w:rsid w:val="00040C8B"/>
    <w:rsid w:val="00040F19"/>
    <w:rsid w:val="0005233C"/>
    <w:rsid w:val="000529E1"/>
    <w:rsid w:val="00052B06"/>
    <w:rsid w:val="000711F5"/>
    <w:rsid w:val="00072BB5"/>
    <w:rsid w:val="00072EC9"/>
    <w:rsid w:val="000759A1"/>
    <w:rsid w:val="00075F7E"/>
    <w:rsid w:val="00081A6E"/>
    <w:rsid w:val="0009083C"/>
    <w:rsid w:val="000A6C8B"/>
    <w:rsid w:val="000B0EB6"/>
    <w:rsid w:val="000B1EE2"/>
    <w:rsid w:val="000B319E"/>
    <w:rsid w:val="000B4E63"/>
    <w:rsid w:val="000C47BC"/>
    <w:rsid w:val="000C47E4"/>
    <w:rsid w:val="000C58F4"/>
    <w:rsid w:val="000D5206"/>
    <w:rsid w:val="000D5E0F"/>
    <w:rsid w:val="000E2523"/>
    <w:rsid w:val="000E5932"/>
    <w:rsid w:val="000F5E8E"/>
    <w:rsid w:val="000F78D1"/>
    <w:rsid w:val="00100FD9"/>
    <w:rsid w:val="00101187"/>
    <w:rsid w:val="00102F30"/>
    <w:rsid w:val="0010422E"/>
    <w:rsid w:val="00105930"/>
    <w:rsid w:val="00105E88"/>
    <w:rsid w:val="00106727"/>
    <w:rsid w:val="00126B8B"/>
    <w:rsid w:val="00140777"/>
    <w:rsid w:val="001518CF"/>
    <w:rsid w:val="001519F2"/>
    <w:rsid w:val="00156D9B"/>
    <w:rsid w:val="00160188"/>
    <w:rsid w:val="00182221"/>
    <w:rsid w:val="00183751"/>
    <w:rsid w:val="001960F3"/>
    <w:rsid w:val="0019614A"/>
    <w:rsid w:val="001B110C"/>
    <w:rsid w:val="001B33FE"/>
    <w:rsid w:val="001B37B5"/>
    <w:rsid w:val="001C2918"/>
    <w:rsid w:val="001C298D"/>
    <w:rsid w:val="001E00B0"/>
    <w:rsid w:val="001E6885"/>
    <w:rsid w:val="001E725A"/>
    <w:rsid w:val="001F1820"/>
    <w:rsid w:val="001F7EEE"/>
    <w:rsid w:val="00203068"/>
    <w:rsid w:val="002133F5"/>
    <w:rsid w:val="00214ACC"/>
    <w:rsid w:val="0021790A"/>
    <w:rsid w:val="002220FB"/>
    <w:rsid w:val="002339BE"/>
    <w:rsid w:val="00237462"/>
    <w:rsid w:val="00241C86"/>
    <w:rsid w:val="0024449E"/>
    <w:rsid w:val="00260863"/>
    <w:rsid w:val="002613D5"/>
    <w:rsid w:val="00275914"/>
    <w:rsid w:val="00283E73"/>
    <w:rsid w:val="00284EFA"/>
    <w:rsid w:val="00287F1C"/>
    <w:rsid w:val="00290AE5"/>
    <w:rsid w:val="00296B32"/>
    <w:rsid w:val="002A031D"/>
    <w:rsid w:val="002B1825"/>
    <w:rsid w:val="002C2AA8"/>
    <w:rsid w:val="002C464D"/>
    <w:rsid w:val="002D15EA"/>
    <w:rsid w:val="002D5CD0"/>
    <w:rsid w:val="002D7646"/>
    <w:rsid w:val="002D76BE"/>
    <w:rsid w:val="002E1836"/>
    <w:rsid w:val="002E5351"/>
    <w:rsid w:val="002E5A2A"/>
    <w:rsid w:val="002F0D60"/>
    <w:rsid w:val="002F1EB9"/>
    <w:rsid w:val="002F50D1"/>
    <w:rsid w:val="00303C2A"/>
    <w:rsid w:val="00305195"/>
    <w:rsid w:val="003215A5"/>
    <w:rsid w:val="00330EF2"/>
    <w:rsid w:val="00335774"/>
    <w:rsid w:val="003447FE"/>
    <w:rsid w:val="003451E9"/>
    <w:rsid w:val="00353783"/>
    <w:rsid w:val="003631B4"/>
    <w:rsid w:val="00364588"/>
    <w:rsid w:val="003742D5"/>
    <w:rsid w:val="003763B0"/>
    <w:rsid w:val="00380CE9"/>
    <w:rsid w:val="00381E01"/>
    <w:rsid w:val="00392C48"/>
    <w:rsid w:val="003974AE"/>
    <w:rsid w:val="003A2E90"/>
    <w:rsid w:val="003A3B18"/>
    <w:rsid w:val="003A4ADB"/>
    <w:rsid w:val="003A5BC4"/>
    <w:rsid w:val="003A6335"/>
    <w:rsid w:val="003A7D19"/>
    <w:rsid w:val="003B77FB"/>
    <w:rsid w:val="003C21B1"/>
    <w:rsid w:val="003C6F35"/>
    <w:rsid w:val="003D648B"/>
    <w:rsid w:val="003D7799"/>
    <w:rsid w:val="003E05C4"/>
    <w:rsid w:val="003E42B5"/>
    <w:rsid w:val="003E5942"/>
    <w:rsid w:val="003F1CF2"/>
    <w:rsid w:val="003F5142"/>
    <w:rsid w:val="00402985"/>
    <w:rsid w:val="00403A87"/>
    <w:rsid w:val="00403AB6"/>
    <w:rsid w:val="00403B82"/>
    <w:rsid w:val="00411CFB"/>
    <w:rsid w:val="00412DEB"/>
    <w:rsid w:val="004145E7"/>
    <w:rsid w:val="00414E5D"/>
    <w:rsid w:val="00420547"/>
    <w:rsid w:val="00425A96"/>
    <w:rsid w:val="00426CD6"/>
    <w:rsid w:val="004434B1"/>
    <w:rsid w:val="00444230"/>
    <w:rsid w:val="00450564"/>
    <w:rsid w:val="00455D59"/>
    <w:rsid w:val="00470E64"/>
    <w:rsid w:val="00472A1E"/>
    <w:rsid w:val="00475C81"/>
    <w:rsid w:val="00484843"/>
    <w:rsid w:val="00491027"/>
    <w:rsid w:val="004A1EB6"/>
    <w:rsid w:val="004B0869"/>
    <w:rsid w:val="004B3209"/>
    <w:rsid w:val="004B49B6"/>
    <w:rsid w:val="004C2C45"/>
    <w:rsid w:val="004C50DB"/>
    <w:rsid w:val="004C6B21"/>
    <w:rsid w:val="004C7F5A"/>
    <w:rsid w:val="004D1CF6"/>
    <w:rsid w:val="004D66EA"/>
    <w:rsid w:val="004D6D2C"/>
    <w:rsid w:val="004E67B4"/>
    <w:rsid w:val="004F5FD3"/>
    <w:rsid w:val="004F6097"/>
    <w:rsid w:val="004F7F13"/>
    <w:rsid w:val="005024EA"/>
    <w:rsid w:val="00502C54"/>
    <w:rsid w:val="005042F6"/>
    <w:rsid w:val="00504362"/>
    <w:rsid w:val="0050524D"/>
    <w:rsid w:val="00505842"/>
    <w:rsid w:val="005075AC"/>
    <w:rsid w:val="005160CC"/>
    <w:rsid w:val="0051781A"/>
    <w:rsid w:val="00524265"/>
    <w:rsid w:val="0053009F"/>
    <w:rsid w:val="00534F08"/>
    <w:rsid w:val="005400E4"/>
    <w:rsid w:val="005418DC"/>
    <w:rsid w:val="0055656C"/>
    <w:rsid w:val="0055742A"/>
    <w:rsid w:val="00565AAD"/>
    <w:rsid w:val="00567A44"/>
    <w:rsid w:val="0059209A"/>
    <w:rsid w:val="00597EEB"/>
    <w:rsid w:val="005A1967"/>
    <w:rsid w:val="005A70F8"/>
    <w:rsid w:val="005B1B4A"/>
    <w:rsid w:val="005C4956"/>
    <w:rsid w:val="005C5BAD"/>
    <w:rsid w:val="005C6464"/>
    <w:rsid w:val="005D0844"/>
    <w:rsid w:val="005D2D59"/>
    <w:rsid w:val="005D3735"/>
    <w:rsid w:val="005D3A85"/>
    <w:rsid w:val="005E2655"/>
    <w:rsid w:val="005E3571"/>
    <w:rsid w:val="005E399B"/>
    <w:rsid w:val="005E3EC9"/>
    <w:rsid w:val="005E4AE3"/>
    <w:rsid w:val="005E4C06"/>
    <w:rsid w:val="005F0F75"/>
    <w:rsid w:val="005F10F4"/>
    <w:rsid w:val="005F15B9"/>
    <w:rsid w:val="005F387F"/>
    <w:rsid w:val="005F52D1"/>
    <w:rsid w:val="005F6B31"/>
    <w:rsid w:val="006012E8"/>
    <w:rsid w:val="00603A49"/>
    <w:rsid w:val="00610BE3"/>
    <w:rsid w:val="006230F7"/>
    <w:rsid w:val="0063379B"/>
    <w:rsid w:val="0063488F"/>
    <w:rsid w:val="0065388D"/>
    <w:rsid w:val="00660851"/>
    <w:rsid w:val="006668B7"/>
    <w:rsid w:val="0066764D"/>
    <w:rsid w:val="0067118A"/>
    <w:rsid w:val="006727C6"/>
    <w:rsid w:val="006745D3"/>
    <w:rsid w:val="00676198"/>
    <w:rsid w:val="00676E7B"/>
    <w:rsid w:val="0068157E"/>
    <w:rsid w:val="0069278D"/>
    <w:rsid w:val="0069542A"/>
    <w:rsid w:val="006A0052"/>
    <w:rsid w:val="006A0245"/>
    <w:rsid w:val="006A4268"/>
    <w:rsid w:val="006B29B7"/>
    <w:rsid w:val="006B4710"/>
    <w:rsid w:val="006C10C0"/>
    <w:rsid w:val="006D1207"/>
    <w:rsid w:val="006D6125"/>
    <w:rsid w:val="0070532F"/>
    <w:rsid w:val="0073471A"/>
    <w:rsid w:val="00737582"/>
    <w:rsid w:val="0074640C"/>
    <w:rsid w:val="0075052D"/>
    <w:rsid w:val="00754713"/>
    <w:rsid w:val="0076282E"/>
    <w:rsid w:val="0076569D"/>
    <w:rsid w:val="00775D76"/>
    <w:rsid w:val="007862F8"/>
    <w:rsid w:val="00794839"/>
    <w:rsid w:val="00795259"/>
    <w:rsid w:val="007D2FF9"/>
    <w:rsid w:val="007D3574"/>
    <w:rsid w:val="007E0DB6"/>
    <w:rsid w:val="00804E54"/>
    <w:rsid w:val="008124F1"/>
    <w:rsid w:val="00814788"/>
    <w:rsid w:val="00820130"/>
    <w:rsid w:val="008212CC"/>
    <w:rsid w:val="00821DC8"/>
    <w:rsid w:val="00821F7E"/>
    <w:rsid w:val="00822C14"/>
    <w:rsid w:val="00823955"/>
    <w:rsid w:val="00827B19"/>
    <w:rsid w:val="0083538D"/>
    <w:rsid w:val="00845EEE"/>
    <w:rsid w:val="00850D8D"/>
    <w:rsid w:val="00851074"/>
    <w:rsid w:val="00854652"/>
    <w:rsid w:val="00860CB5"/>
    <w:rsid w:val="008728B8"/>
    <w:rsid w:val="008741E7"/>
    <w:rsid w:val="00885F4D"/>
    <w:rsid w:val="0089211E"/>
    <w:rsid w:val="008B395A"/>
    <w:rsid w:val="008C0BAC"/>
    <w:rsid w:val="008C4DC8"/>
    <w:rsid w:val="008D1745"/>
    <w:rsid w:val="008E1F8B"/>
    <w:rsid w:val="008E308A"/>
    <w:rsid w:val="008F63ED"/>
    <w:rsid w:val="008F7162"/>
    <w:rsid w:val="009026E3"/>
    <w:rsid w:val="009039C1"/>
    <w:rsid w:val="009409E6"/>
    <w:rsid w:val="00950939"/>
    <w:rsid w:val="00957B36"/>
    <w:rsid w:val="009613AC"/>
    <w:rsid w:val="009630E0"/>
    <w:rsid w:val="009667AA"/>
    <w:rsid w:val="009743C3"/>
    <w:rsid w:val="00976FE2"/>
    <w:rsid w:val="009848BD"/>
    <w:rsid w:val="00985814"/>
    <w:rsid w:val="00996FC4"/>
    <w:rsid w:val="00997BEF"/>
    <w:rsid w:val="009A7F66"/>
    <w:rsid w:val="009B078D"/>
    <w:rsid w:val="009C38FF"/>
    <w:rsid w:val="009C7415"/>
    <w:rsid w:val="009D0F59"/>
    <w:rsid w:val="009F2D7F"/>
    <w:rsid w:val="00A10C06"/>
    <w:rsid w:val="00A127FD"/>
    <w:rsid w:val="00A22D86"/>
    <w:rsid w:val="00A34819"/>
    <w:rsid w:val="00A374A8"/>
    <w:rsid w:val="00A42B65"/>
    <w:rsid w:val="00A46CA0"/>
    <w:rsid w:val="00A479C7"/>
    <w:rsid w:val="00A53D34"/>
    <w:rsid w:val="00A70F6C"/>
    <w:rsid w:val="00A71E7C"/>
    <w:rsid w:val="00A72D69"/>
    <w:rsid w:val="00A83B15"/>
    <w:rsid w:val="00A85A7A"/>
    <w:rsid w:val="00A90127"/>
    <w:rsid w:val="00A916A3"/>
    <w:rsid w:val="00AB3056"/>
    <w:rsid w:val="00AB4505"/>
    <w:rsid w:val="00AB4C7D"/>
    <w:rsid w:val="00AC0834"/>
    <w:rsid w:val="00AC697C"/>
    <w:rsid w:val="00AD4646"/>
    <w:rsid w:val="00AD6120"/>
    <w:rsid w:val="00AE02AE"/>
    <w:rsid w:val="00AE0534"/>
    <w:rsid w:val="00B0142B"/>
    <w:rsid w:val="00B0398A"/>
    <w:rsid w:val="00B26C0A"/>
    <w:rsid w:val="00B3146E"/>
    <w:rsid w:val="00B32307"/>
    <w:rsid w:val="00B32B84"/>
    <w:rsid w:val="00B35273"/>
    <w:rsid w:val="00B368FB"/>
    <w:rsid w:val="00B427A5"/>
    <w:rsid w:val="00B46C01"/>
    <w:rsid w:val="00B52359"/>
    <w:rsid w:val="00B52AE3"/>
    <w:rsid w:val="00B54BAF"/>
    <w:rsid w:val="00B60192"/>
    <w:rsid w:val="00B638ED"/>
    <w:rsid w:val="00B6401A"/>
    <w:rsid w:val="00B71C50"/>
    <w:rsid w:val="00B73563"/>
    <w:rsid w:val="00B75139"/>
    <w:rsid w:val="00B80BEA"/>
    <w:rsid w:val="00B81542"/>
    <w:rsid w:val="00B876CA"/>
    <w:rsid w:val="00B92B62"/>
    <w:rsid w:val="00BA0798"/>
    <w:rsid w:val="00BA3979"/>
    <w:rsid w:val="00BA62D5"/>
    <w:rsid w:val="00BA6D43"/>
    <w:rsid w:val="00BB3953"/>
    <w:rsid w:val="00BC3EBA"/>
    <w:rsid w:val="00BC7DC4"/>
    <w:rsid w:val="00BD0A1B"/>
    <w:rsid w:val="00BD4543"/>
    <w:rsid w:val="00BD5760"/>
    <w:rsid w:val="00BD5E61"/>
    <w:rsid w:val="00BE0EFA"/>
    <w:rsid w:val="00BE52AC"/>
    <w:rsid w:val="00BF3F0E"/>
    <w:rsid w:val="00BF41C7"/>
    <w:rsid w:val="00C00A02"/>
    <w:rsid w:val="00C06BDB"/>
    <w:rsid w:val="00C0736C"/>
    <w:rsid w:val="00C1142B"/>
    <w:rsid w:val="00C11F75"/>
    <w:rsid w:val="00C14827"/>
    <w:rsid w:val="00C17B8A"/>
    <w:rsid w:val="00C229B4"/>
    <w:rsid w:val="00C234D7"/>
    <w:rsid w:val="00C26B69"/>
    <w:rsid w:val="00C34633"/>
    <w:rsid w:val="00C36578"/>
    <w:rsid w:val="00C374C1"/>
    <w:rsid w:val="00C46938"/>
    <w:rsid w:val="00C46DD9"/>
    <w:rsid w:val="00C51E5B"/>
    <w:rsid w:val="00C52196"/>
    <w:rsid w:val="00C53B87"/>
    <w:rsid w:val="00C56F09"/>
    <w:rsid w:val="00C57F69"/>
    <w:rsid w:val="00C61168"/>
    <w:rsid w:val="00C64C87"/>
    <w:rsid w:val="00C65B9B"/>
    <w:rsid w:val="00C65C42"/>
    <w:rsid w:val="00C848D4"/>
    <w:rsid w:val="00C86FFA"/>
    <w:rsid w:val="00C93B63"/>
    <w:rsid w:val="00CA0BBE"/>
    <w:rsid w:val="00CA75BD"/>
    <w:rsid w:val="00CC2796"/>
    <w:rsid w:val="00CC681C"/>
    <w:rsid w:val="00CC7803"/>
    <w:rsid w:val="00CD414D"/>
    <w:rsid w:val="00CD4A30"/>
    <w:rsid w:val="00CD7542"/>
    <w:rsid w:val="00CE0AF7"/>
    <w:rsid w:val="00CE4060"/>
    <w:rsid w:val="00CF3138"/>
    <w:rsid w:val="00CF410E"/>
    <w:rsid w:val="00CF68E2"/>
    <w:rsid w:val="00D02A08"/>
    <w:rsid w:val="00D10AAF"/>
    <w:rsid w:val="00D12DFD"/>
    <w:rsid w:val="00D16979"/>
    <w:rsid w:val="00D2554B"/>
    <w:rsid w:val="00D40C8D"/>
    <w:rsid w:val="00D4655A"/>
    <w:rsid w:val="00D55D15"/>
    <w:rsid w:val="00D646CA"/>
    <w:rsid w:val="00D6576F"/>
    <w:rsid w:val="00D674B4"/>
    <w:rsid w:val="00D6771F"/>
    <w:rsid w:val="00D67AE3"/>
    <w:rsid w:val="00D92E79"/>
    <w:rsid w:val="00DA4BAE"/>
    <w:rsid w:val="00DB17AC"/>
    <w:rsid w:val="00DC15CE"/>
    <w:rsid w:val="00DC16EF"/>
    <w:rsid w:val="00DC4954"/>
    <w:rsid w:val="00DC60E3"/>
    <w:rsid w:val="00DD5D95"/>
    <w:rsid w:val="00DE267B"/>
    <w:rsid w:val="00DE39DA"/>
    <w:rsid w:val="00DE4F5D"/>
    <w:rsid w:val="00DE6C1C"/>
    <w:rsid w:val="00DF3E25"/>
    <w:rsid w:val="00DF4173"/>
    <w:rsid w:val="00DF52A6"/>
    <w:rsid w:val="00E05687"/>
    <w:rsid w:val="00E05C44"/>
    <w:rsid w:val="00E06E26"/>
    <w:rsid w:val="00E06EAB"/>
    <w:rsid w:val="00E07249"/>
    <w:rsid w:val="00E156A4"/>
    <w:rsid w:val="00E31BFC"/>
    <w:rsid w:val="00E357B0"/>
    <w:rsid w:val="00E40DF2"/>
    <w:rsid w:val="00E60F3D"/>
    <w:rsid w:val="00E745CF"/>
    <w:rsid w:val="00E75FF5"/>
    <w:rsid w:val="00E76976"/>
    <w:rsid w:val="00E80046"/>
    <w:rsid w:val="00E80FAB"/>
    <w:rsid w:val="00E850D3"/>
    <w:rsid w:val="00E8680F"/>
    <w:rsid w:val="00E90B74"/>
    <w:rsid w:val="00E93CB8"/>
    <w:rsid w:val="00E93E17"/>
    <w:rsid w:val="00E9500D"/>
    <w:rsid w:val="00E959EE"/>
    <w:rsid w:val="00E97409"/>
    <w:rsid w:val="00E97872"/>
    <w:rsid w:val="00EA1F9E"/>
    <w:rsid w:val="00EB339A"/>
    <w:rsid w:val="00EB4273"/>
    <w:rsid w:val="00EC0483"/>
    <w:rsid w:val="00EC6B06"/>
    <w:rsid w:val="00ED3272"/>
    <w:rsid w:val="00ED591E"/>
    <w:rsid w:val="00EE06FD"/>
    <w:rsid w:val="00EE7A67"/>
    <w:rsid w:val="00EF32B4"/>
    <w:rsid w:val="00F02A22"/>
    <w:rsid w:val="00F04CD1"/>
    <w:rsid w:val="00F10710"/>
    <w:rsid w:val="00F25294"/>
    <w:rsid w:val="00F26C95"/>
    <w:rsid w:val="00F32207"/>
    <w:rsid w:val="00F34713"/>
    <w:rsid w:val="00F35DC3"/>
    <w:rsid w:val="00F4580C"/>
    <w:rsid w:val="00F45FAB"/>
    <w:rsid w:val="00F5077F"/>
    <w:rsid w:val="00F609BE"/>
    <w:rsid w:val="00F670FE"/>
    <w:rsid w:val="00F7249D"/>
    <w:rsid w:val="00F72D6B"/>
    <w:rsid w:val="00F83474"/>
    <w:rsid w:val="00F86184"/>
    <w:rsid w:val="00F8688D"/>
    <w:rsid w:val="00F86F45"/>
    <w:rsid w:val="00F87DB7"/>
    <w:rsid w:val="00F92A1D"/>
    <w:rsid w:val="00F96A71"/>
    <w:rsid w:val="00FA7218"/>
    <w:rsid w:val="00FB3228"/>
    <w:rsid w:val="00FB3A8D"/>
    <w:rsid w:val="00FB71D9"/>
    <w:rsid w:val="00FC2287"/>
    <w:rsid w:val="00FC28CE"/>
    <w:rsid w:val="00FC402D"/>
    <w:rsid w:val="00FD6B09"/>
    <w:rsid w:val="00FE1612"/>
    <w:rsid w:val="00FF2E6E"/>
    <w:rsid w:val="00FF719A"/>
    <w:rsid w:val="00FF7B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751B"/>
  <w15:chartTrackingRefBased/>
  <w15:docId w15:val="{2777EE48-C119-48DE-ABC0-22783F79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08"/>
    <w:rPr>
      <w:sz w:val="24"/>
    </w:rPr>
  </w:style>
  <w:style w:type="paragraph" w:styleId="Heading1">
    <w:name w:val="heading 1"/>
    <w:basedOn w:val="Normal"/>
    <w:next w:val="Normal"/>
    <w:link w:val="Heading1Char"/>
    <w:uiPriority w:val="9"/>
    <w:qFormat/>
    <w:rsid w:val="00D02A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2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2A0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FB71D9"/>
    <w:pPr>
      <w:spacing w:before="100" w:beforeAutospacing="1" w:after="100" w:afterAutospacing="1" w:line="240" w:lineRule="auto"/>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7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495DC29F69DA41B831D7985DDEFF7A" ma:contentTypeVersion="15" ma:contentTypeDescription="Create a new document." ma:contentTypeScope="" ma:versionID="f94218d29e14df73854b1f4e429decfd">
  <xsd:schema xmlns:xsd="http://www.w3.org/2001/XMLSchema" xmlns:xs="http://www.w3.org/2001/XMLSchema" xmlns:p="http://schemas.microsoft.com/office/2006/metadata/properties" xmlns:ns3="da5da9df-85e1-4e4b-b319-af1e48434c21" xmlns:ns4="f6569699-ae44-4c85-9383-dd5a41d3d471" targetNamespace="http://schemas.microsoft.com/office/2006/metadata/properties" ma:root="true" ma:fieldsID="c943ec009bac7416480c4a6046bea101" ns3:_="" ns4:_="">
    <xsd:import namespace="da5da9df-85e1-4e4b-b319-af1e48434c21"/>
    <xsd:import namespace="f6569699-ae44-4c85-9383-dd5a41d3d4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da9df-85e1-4e4b-b319-af1e48434c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69699-ae44-4c85-9383-dd5a41d3d47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6569699-ae44-4c85-9383-dd5a41d3d471" xsi:nil="true"/>
  </documentManagement>
</p:properties>
</file>

<file path=customXml/itemProps1.xml><?xml version="1.0" encoding="utf-8"?>
<ds:datastoreItem xmlns:ds="http://schemas.openxmlformats.org/officeDocument/2006/customXml" ds:itemID="{95C5EE5F-8AE7-4337-830A-DCC696A50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da9df-85e1-4e4b-b319-af1e48434c21"/>
    <ds:schemaRef ds:uri="f6569699-ae44-4c85-9383-dd5a41d3d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CDBB6F-63C4-4343-971F-C7864E0135F0}">
  <ds:schemaRefs>
    <ds:schemaRef ds:uri="http://schemas.microsoft.com/sharepoint/v3/contenttype/forms"/>
  </ds:schemaRefs>
</ds:datastoreItem>
</file>

<file path=customXml/itemProps3.xml><?xml version="1.0" encoding="utf-8"?>
<ds:datastoreItem xmlns:ds="http://schemas.openxmlformats.org/officeDocument/2006/customXml" ds:itemID="{F51E4ED4-C1E7-4ABF-8B32-5E700C24ED6B}">
  <ds:schemaRefs>
    <ds:schemaRef ds:uri="http://schemas.microsoft.com/office/2006/metadata/properties"/>
    <ds:schemaRef ds:uri="http://schemas.microsoft.com/office/infopath/2007/PartnerControls"/>
    <ds:schemaRef ds:uri="f6569699-ae44-4c85-9383-dd5a41d3d471"/>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2603</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the West of England</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Deirdre Toher</dc:creator>
  <cp:keywords/>
  <dc:description/>
  <cp:lastModifiedBy>Tolulope Soetan (Student)</cp:lastModifiedBy>
  <cp:revision>12</cp:revision>
  <dcterms:created xsi:type="dcterms:W3CDTF">2026-04-20T12:23:00Z</dcterms:created>
  <dcterms:modified xsi:type="dcterms:W3CDTF">2026-05-07T17:43:00Z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0x0101001C495DC29F69DA41B831D7985DDEFF7A</vt:lpwstr>
  </property>
</Properties>
</file>