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EB4F" w14:textId="77777777" w:rsidR="008F159E" w:rsidRPr="008F159E" w:rsidRDefault="008F159E" w:rsidP="00760E0C">
      <w:pPr>
        <w:jc w:val="both"/>
        <w:rPr>
          <w:b/>
          <w:bCs/>
          <w:sz w:val="24"/>
          <w:szCs w:val="24"/>
        </w:rPr>
      </w:pPr>
      <w:r w:rsidRPr="008F159E">
        <w:rPr>
          <w:b/>
          <w:bCs/>
          <w:sz w:val="24"/>
          <w:szCs w:val="24"/>
        </w:rPr>
        <w:t>Brain Tumor Distribution Analysis Report</w:t>
      </w:r>
    </w:p>
    <w:p w14:paraId="3F10396C" w14:textId="77777777" w:rsidR="008F159E" w:rsidRPr="008F159E" w:rsidRDefault="008F159E" w:rsidP="00760E0C">
      <w:pPr>
        <w:jc w:val="both"/>
        <w:rPr>
          <w:b/>
          <w:bCs/>
          <w:sz w:val="24"/>
          <w:szCs w:val="24"/>
        </w:rPr>
      </w:pPr>
      <w:r w:rsidRPr="008F159E">
        <w:rPr>
          <w:b/>
          <w:bCs/>
          <w:sz w:val="24"/>
          <w:szCs w:val="24"/>
        </w:rPr>
        <w:t>Executive Summary</w:t>
      </w:r>
    </w:p>
    <w:p w14:paraId="6C77CAA9" w14:textId="77777777" w:rsidR="008F159E" w:rsidRPr="008F159E" w:rsidRDefault="008F159E" w:rsidP="00760E0C">
      <w:pPr>
        <w:jc w:val="both"/>
        <w:rPr>
          <w:sz w:val="24"/>
          <w:szCs w:val="24"/>
        </w:rPr>
      </w:pPr>
      <w:r w:rsidRPr="008F159E">
        <w:rPr>
          <w:sz w:val="24"/>
          <w:szCs w:val="24"/>
        </w:rPr>
        <w:t>This report presents a comprehensive analysis of brain tumor data from 10,000 patients diagnosed between 2015 and 2025. The dataset includes key details such as patient age, tumor type, grade, size, affected brain region, and histological confirmation status (confirmed via tissue analysis or unconfirmed, likely based on imaging). The analysis focuses on four tumor grades, ranging from Grade 1 (typically benign and slow-growing) to Grade 4 (highly aggressive and malignant). Key performance indicators (KPIs) and visualizations reveal patterns in tumor distribution, patient demographics, and trends over time.</w:t>
      </w:r>
    </w:p>
    <w:p w14:paraId="4AA69AD9" w14:textId="77777777" w:rsidR="008F159E" w:rsidRPr="008F159E" w:rsidRDefault="008F159E" w:rsidP="00760E0C">
      <w:pPr>
        <w:jc w:val="both"/>
        <w:rPr>
          <w:sz w:val="24"/>
          <w:szCs w:val="24"/>
        </w:rPr>
      </w:pPr>
      <w:r w:rsidRPr="008F159E">
        <w:rPr>
          <w:sz w:val="24"/>
          <w:szCs w:val="24"/>
        </w:rPr>
        <w:t>Overall, Grade 4 tumors represent the largest share of cases (40.81% of total patients), highlighting a significant burden on healthcare systems due to their severity. Lower-grade tumors are more common in older adults, while higher-grade tumors show varied age impacts, often affecting younger groups or having bimodal distributions. Confirmed cases dominate the dataset (78.2% of total), suggesting robust diagnostic practices, but unconfirmed cases may indicate opportunities for improved access to biopsy procedures.</w:t>
      </w:r>
    </w:p>
    <w:p w14:paraId="748F4E92" w14:textId="77777777" w:rsidR="008F159E" w:rsidRPr="008F159E" w:rsidRDefault="008F159E" w:rsidP="00760E0C">
      <w:pPr>
        <w:jc w:val="both"/>
        <w:rPr>
          <w:sz w:val="24"/>
          <w:szCs w:val="24"/>
        </w:rPr>
      </w:pPr>
      <w:r w:rsidRPr="008F159E">
        <w:rPr>
          <w:sz w:val="24"/>
          <w:szCs w:val="24"/>
        </w:rPr>
        <w:t>Findings suggest implications for public health, including targeted screening for at-risk age groups, resource prioritization for high-grade tumor treatments, and awareness campaigns to promote early detection. This could reduce mortality rates and improve quality of life in affected populations.</w:t>
      </w:r>
    </w:p>
    <w:p w14:paraId="38C62BC7" w14:textId="77777777" w:rsidR="008F159E" w:rsidRPr="008F159E" w:rsidRDefault="008F159E" w:rsidP="00760E0C">
      <w:pPr>
        <w:jc w:val="both"/>
        <w:rPr>
          <w:b/>
          <w:bCs/>
          <w:sz w:val="24"/>
          <w:szCs w:val="24"/>
        </w:rPr>
      </w:pPr>
      <w:r w:rsidRPr="008F159E">
        <w:rPr>
          <w:b/>
          <w:bCs/>
          <w:sz w:val="24"/>
          <w:szCs w:val="24"/>
        </w:rPr>
        <w:t>Methodology</w:t>
      </w:r>
    </w:p>
    <w:p w14:paraId="258A4B22" w14:textId="77777777" w:rsidR="008F159E" w:rsidRPr="008F159E" w:rsidRDefault="008F159E" w:rsidP="00760E0C">
      <w:pPr>
        <w:jc w:val="both"/>
        <w:rPr>
          <w:sz w:val="24"/>
          <w:szCs w:val="24"/>
        </w:rPr>
      </w:pPr>
      <w:r w:rsidRPr="008F159E">
        <w:rPr>
          <w:sz w:val="24"/>
          <w:szCs w:val="24"/>
        </w:rPr>
        <w:t xml:space="preserve">The analysis was conducted using </w:t>
      </w:r>
      <w:proofErr w:type="spellStart"/>
      <w:r w:rsidRPr="008F159E">
        <w:rPr>
          <w:sz w:val="24"/>
          <w:szCs w:val="24"/>
        </w:rPr>
        <w:t>PowerBI</w:t>
      </w:r>
      <w:proofErr w:type="spellEnd"/>
      <w:r w:rsidRPr="008F159E">
        <w:rPr>
          <w:sz w:val="24"/>
          <w:szCs w:val="24"/>
        </w:rPr>
        <w:t>, with data sourced from a CSV file containing patient records. Custom measures (DAX formulas) were used to calculate KPIs, including:</w:t>
      </w:r>
    </w:p>
    <w:p w14:paraId="45712906" w14:textId="77777777" w:rsidR="008F159E" w:rsidRPr="008F159E" w:rsidRDefault="008F159E" w:rsidP="00760E0C">
      <w:pPr>
        <w:numPr>
          <w:ilvl w:val="0"/>
          <w:numId w:val="1"/>
        </w:numPr>
        <w:jc w:val="both"/>
        <w:rPr>
          <w:sz w:val="24"/>
          <w:szCs w:val="24"/>
        </w:rPr>
      </w:pPr>
      <w:r w:rsidRPr="008F159E">
        <w:rPr>
          <w:b/>
          <w:bCs/>
          <w:sz w:val="24"/>
          <w:szCs w:val="24"/>
        </w:rPr>
        <w:t>Total Patients</w:t>
      </w:r>
      <w:r w:rsidRPr="008F159E">
        <w:rPr>
          <w:sz w:val="24"/>
          <w:szCs w:val="24"/>
        </w:rPr>
        <w:t>: Count of unique patients.</w:t>
      </w:r>
    </w:p>
    <w:p w14:paraId="213FA492" w14:textId="77777777" w:rsidR="008F159E" w:rsidRPr="008F159E" w:rsidRDefault="008F159E" w:rsidP="00760E0C">
      <w:pPr>
        <w:numPr>
          <w:ilvl w:val="0"/>
          <w:numId w:val="1"/>
        </w:numPr>
        <w:jc w:val="both"/>
        <w:rPr>
          <w:sz w:val="24"/>
          <w:szCs w:val="24"/>
        </w:rPr>
      </w:pPr>
      <w:r w:rsidRPr="008F159E">
        <w:rPr>
          <w:b/>
          <w:bCs/>
          <w:sz w:val="24"/>
          <w:szCs w:val="24"/>
        </w:rPr>
        <w:t>Average Intake per Year</w:t>
      </w:r>
      <w:r w:rsidRPr="008F159E">
        <w:rPr>
          <w:sz w:val="24"/>
          <w:szCs w:val="24"/>
        </w:rPr>
        <w:t>: Total patients divided by the number of years (11 years: 2015–2025).</w:t>
      </w:r>
    </w:p>
    <w:p w14:paraId="21994344" w14:textId="77777777" w:rsidR="008F159E" w:rsidRPr="008F159E" w:rsidRDefault="008F159E" w:rsidP="00760E0C">
      <w:pPr>
        <w:numPr>
          <w:ilvl w:val="0"/>
          <w:numId w:val="1"/>
        </w:numPr>
        <w:jc w:val="both"/>
        <w:rPr>
          <w:sz w:val="24"/>
          <w:szCs w:val="24"/>
        </w:rPr>
      </w:pPr>
      <w:r w:rsidRPr="008F159E">
        <w:rPr>
          <w:b/>
          <w:bCs/>
          <w:sz w:val="24"/>
          <w:szCs w:val="24"/>
        </w:rPr>
        <w:t>vs. Overall Average Intake</w:t>
      </w:r>
      <w:r w:rsidRPr="008F159E">
        <w:rPr>
          <w:sz w:val="24"/>
          <w:szCs w:val="24"/>
        </w:rPr>
        <w:t>: Comparison of the group's average annual intake to the overall average (909.1 patients/year), indicated by an arrow (↑ for above, ↓ for below) and the value.</w:t>
      </w:r>
    </w:p>
    <w:p w14:paraId="0FB65375" w14:textId="77777777" w:rsidR="008F159E" w:rsidRPr="008F159E" w:rsidRDefault="008F159E" w:rsidP="00760E0C">
      <w:pPr>
        <w:numPr>
          <w:ilvl w:val="0"/>
          <w:numId w:val="1"/>
        </w:numPr>
        <w:jc w:val="both"/>
        <w:rPr>
          <w:sz w:val="24"/>
          <w:szCs w:val="24"/>
        </w:rPr>
      </w:pPr>
      <w:r w:rsidRPr="008F159E">
        <w:rPr>
          <w:b/>
          <w:bCs/>
          <w:sz w:val="24"/>
          <w:szCs w:val="24"/>
        </w:rPr>
        <w:t>Average Age</w:t>
      </w:r>
      <w:r w:rsidRPr="008F159E">
        <w:rPr>
          <w:sz w:val="24"/>
          <w:szCs w:val="24"/>
        </w:rPr>
        <w:t>: Mean patient age at diagnosis.</w:t>
      </w:r>
    </w:p>
    <w:p w14:paraId="60AC7B7B" w14:textId="77777777" w:rsidR="008F159E" w:rsidRPr="008F159E" w:rsidRDefault="008F159E" w:rsidP="00760E0C">
      <w:pPr>
        <w:numPr>
          <w:ilvl w:val="0"/>
          <w:numId w:val="1"/>
        </w:numPr>
        <w:jc w:val="both"/>
        <w:rPr>
          <w:sz w:val="24"/>
          <w:szCs w:val="24"/>
        </w:rPr>
      </w:pPr>
      <w:r w:rsidRPr="008F159E">
        <w:rPr>
          <w:b/>
          <w:bCs/>
          <w:sz w:val="24"/>
          <w:szCs w:val="24"/>
        </w:rPr>
        <w:t>Average Tumor Size</w:t>
      </w:r>
      <w:r w:rsidRPr="008F159E">
        <w:rPr>
          <w:sz w:val="24"/>
          <w:szCs w:val="24"/>
        </w:rPr>
        <w:t>: Mean tumor size in centimeters.</w:t>
      </w:r>
    </w:p>
    <w:p w14:paraId="5409FE91" w14:textId="77777777" w:rsidR="008F159E" w:rsidRPr="008F159E" w:rsidRDefault="008F159E" w:rsidP="00760E0C">
      <w:pPr>
        <w:numPr>
          <w:ilvl w:val="0"/>
          <w:numId w:val="1"/>
        </w:numPr>
        <w:jc w:val="both"/>
        <w:rPr>
          <w:sz w:val="24"/>
          <w:szCs w:val="24"/>
        </w:rPr>
      </w:pPr>
      <w:r w:rsidRPr="008F159E">
        <w:rPr>
          <w:b/>
          <w:bCs/>
          <w:sz w:val="24"/>
          <w:szCs w:val="24"/>
        </w:rPr>
        <w:t>Most Affected Age Group</w:t>
      </w:r>
      <w:r w:rsidRPr="008F159E">
        <w:rPr>
          <w:sz w:val="24"/>
          <w:szCs w:val="24"/>
        </w:rPr>
        <w:t>: Age bracket with the highest patient count (categorized as 0–10, 11–20, 21–30, 31–40, 41–50, 51–60, or 60+).</w:t>
      </w:r>
    </w:p>
    <w:p w14:paraId="1E77D533" w14:textId="77777777" w:rsidR="008F159E" w:rsidRPr="008F159E" w:rsidRDefault="008F159E" w:rsidP="00760E0C">
      <w:pPr>
        <w:numPr>
          <w:ilvl w:val="0"/>
          <w:numId w:val="1"/>
        </w:numPr>
        <w:jc w:val="both"/>
        <w:rPr>
          <w:sz w:val="24"/>
          <w:szCs w:val="24"/>
        </w:rPr>
      </w:pPr>
      <w:r w:rsidRPr="008F159E">
        <w:rPr>
          <w:b/>
          <w:bCs/>
          <w:sz w:val="24"/>
          <w:szCs w:val="24"/>
        </w:rPr>
        <w:t>Most Affected Brain Region (MABR)</w:t>
      </w:r>
      <w:r w:rsidRPr="008F159E">
        <w:rPr>
          <w:sz w:val="24"/>
          <w:szCs w:val="24"/>
        </w:rPr>
        <w:t>: The brain area with the most cases, including its percentage of total patients in the group.</w:t>
      </w:r>
    </w:p>
    <w:p w14:paraId="763AB4CE" w14:textId="77777777" w:rsidR="008F159E" w:rsidRPr="008F159E" w:rsidRDefault="008F159E" w:rsidP="00760E0C">
      <w:pPr>
        <w:jc w:val="both"/>
        <w:rPr>
          <w:sz w:val="24"/>
          <w:szCs w:val="24"/>
        </w:rPr>
      </w:pPr>
      <w:r w:rsidRPr="008F159E">
        <w:rPr>
          <w:sz w:val="24"/>
          <w:szCs w:val="24"/>
        </w:rPr>
        <w:t>Visualizations included:</w:t>
      </w:r>
    </w:p>
    <w:p w14:paraId="45373447" w14:textId="77777777" w:rsidR="008F159E" w:rsidRPr="008F159E" w:rsidRDefault="008F159E" w:rsidP="00760E0C">
      <w:pPr>
        <w:numPr>
          <w:ilvl w:val="0"/>
          <w:numId w:val="2"/>
        </w:numPr>
        <w:jc w:val="both"/>
        <w:rPr>
          <w:sz w:val="24"/>
          <w:szCs w:val="24"/>
        </w:rPr>
      </w:pPr>
      <w:r w:rsidRPr="008F159E">
        <w:rPr>
          <w:sz w:val="24"/>
          <w:szCs w:val="24"/>
        </w:rPr>
        <w:t>Pie charts for tumor type distribution.</w:t>
      </w:r>
    </w:p>
    <w:p w14:paraId="71DD61EE" w14:textId="77777777" w:rsidR="008F159E" w:rsidRPr="008F159E" w:rsidRDefault="008F159E" w:rsidP="00760E0C">
      <w:pPr>
        <w:numPr>
          <w:ilvl w:val="0"/>
          <w:numId w:val="2"/>
        </w:numPr>
        <w:jc w:val="both"/>
        <w:rPr>
          <w:sz w:val="24"/>
          <w:szCs w:val="24"/>
        </w:rPr>
      </w:pPr>
      <w:r w:rsidRPr="008F159E">
        <w:rPr>
          <w:sz w:val="24"/>
          <w:szCs w:val="24"/>
        </w:rPr>
        <w:lastRenderedPageBreak/>
        <w:t>Bar charts for top affected brain regions and age groups.</w:t>
      </w:r>
    </w:p>
    <w:p w14:paraId="5502D501" w14:textId="77777777" w:rsidR="008F159E" w:rsidRPr="008F159E" w:rsidRDefault="008F159E" w:rsidP="00760E0C">
      <w:pPr>
        <w:numPr>
          <w:ilvl w:val="0"/>
          <w:numId w:val="2"/>
        </w:numPr>
        <w:jc w:val="both"/>
        <w:rPr>
          <w:sz w:val="24"/>
          <w:szCs w:val="24"/>
        </w:rPr>
      </w:pPr>
      <w:r w:rsidRPr="008F159E">
        <w:rPr>
          <w:sz w:val="24"/>
          <w:szCs w:val="24"/>
        </w:rPr>
        <w:t>Line charts for annual diagnoses trends.</w:t>
      </w:r>
    </w:p>
    <w:p w14:paraId="68B276C8" w14:textId="77777777" w:rsidR="008F159E" w:rsidRPr="008F159E" w:rsidRDefault="008F159E" w:rsidP="00760E0C">
      <w:pPr>
        <w:numPr>
          <w:ilvl w:val="0"/>
          <w:numId w:val="2"/>
        </w:numPr>
        <w:jc w:val="both"/>
        <w:rPr>
          <w:sz w:val="24"/>
          <w:szCs w:val="24"/>
        </w:rPr>
      </w:pPr>
      <w:r w:rsidRPr="008F159E">
        <w:rPr>
          <w:sz w:val="24"/>
          <w:szCs w:val="24"/>
        </w:rPr>
        <w:t>Slicers to filter by histological confirmation (Confirmed vs. Unconfirmed).</w:t>
      </w:r>
    </w:p>
    <w:p w14:paraId="2183B452" w14:textId="77777777" w:rsidR="008F159E" w:rsidRPr="008F159E" w:rsidRDefault="008F159E" w:rsidP="00760E0C">
      <w:pPr>
        <w:jc w:val="both"/>
        <w:rPr>
          <w:sz w:val="24"/>
          <w:szCs w:val="24"/>
        </w:rPr>
      </w:pPr>
      <w:r w:rsidRPr="008F159E">
        <w:rPr>
          <w:sz w:val="24"/>
          <w:szCs w:val="24"/>
        </w:rPr>
        <w:t>Dashboards were created for each tumor grade, with screenshots provided for reference. Trends show fluctuations in annual diagnoses, potentially influenced by factors like improved diagnostics or population changes, though no consistent upward or downward pattern emerges across all groups.</w:t>
      </w:r>
    </w:p>
    <w:p w14:paraId="54A96336" w14:textId="77777777" w:rsidR="008F159E" w:rsidRPr="008F159E" w:rsidRDefault="008F159E" w:rsidP="00760E0C">
      <w:pPr>
        <w:jc w:val="both"/>
        <w:rPr>
          <w:b/>
          <w:bCs/>
          <w:sz w:val="24"/>
          <w:szCs w:val="24"/>
        </w:rPr>
      </w:pPr>
      <w:r w:rsidRPr="008F159E">
        <w:rPr>
          <w:b/>
          <w:bCs/>
          <w:sz w:val="24"/>
          <w:szCs w:val="24"/>
        </w:rPr>
        <w:t>Key Findings by Tumor Grade</w:t>
      </w:r>
    </w:p>
    <w:p w14:paraId="014FFC04" w14:textId="77777777" w:rsidR="008F159E" w:rsidRPr="008F159E" w:rsidRDefault="008F159E" w:rsidP="00760E0C">
      <w:pPr>
        <w:jc w:val="both"/>
        <w:rPr>
          <w:sz w:val="24"/>
          <w:szCs w:val="24"/>
        </w:rPr>
      </w:pPr>
      <w:r w:rsidRPr="008F159E">
        <w:rPr>
          <w:sz w:val="24"/>
          <w:szCs w:val="24"/>
        </w:rPr>
        <w:t>Brain tumors are classified by grade based on aggressiveness: Grade 1 tumors are often non-cancerous and treatable, while Grade 4 tumors are life-threatening and require intensive intervention. Below is a summary for each grade, differentiated by confirmation status where differences are notable. Tables highlight KPIs, and insights describe distributions and trends.</w:t>
      </w:r>
    </w:p>
    <w:p w14:paraId="7483E06B" w14:textId="77777777" w:rsidR="008F159E" w:rsidRPr="008F159E" w:rsidRDefault="008F159E" w:rsidP="00760E0C">
      <w:pPr>
        <w:jc w:val="both"/>
        <w:rPr>
          <w:b/>
          <w:bCs/>
          <w:sz w:val="24"/>
          <w:szCs w:val="24"/>
        </w:rPr>
      </w:pPr>
      <w:r w:rsidRPr="008F159E">
        <w:rPr>
          <w:b/>
          <w:bCs/>
          <w:sz w:val="24"/>
          <w:szCs w:val="24"/>
        </w:rPr>
        <w:t>Grade 1 Tumors (Low-Grade, Often Benign)</w:t>
      </w:r>
    </w:p>
    <w:p w14:paraId="02456735" w14:textId="77777777" w:rsidR="008F159E" w:rsidRPr="008F159E" w:rsidRDefault="008F159E" w:rsidP="00760E0C">
      <w:pPr>
        <w:jc w:val="both"/>
        <w:rPr>
          <w:sz w:val="24"/>
          <w:szCs w:val="24"/>
        </w:rPr>
      </w:pPr>
      <w:r w:rsidRPr="008F159E">
        <w:rPr>
          <w:sz w:val="24"/>
          <w:szCs w:val="24"/>
        </w:rPr>
        <w:t>These tumors account for 40.16% of all cases (4,016 patients total). They are smaller, occur in older adults, and are dominated by meningiomas (non-invasive tumors arising from brain coverings).</w:t>
      </w:r>
    </w:p>
    <w:tbl>
      <w:tblPr>
        <w:tblStyle w:val="TableGrid"/>
        <w:tblW w:w="9360" w:type="dxa"/>
        <w:tblInd w:w="85" w:type="dxa"/>
        <w:tblLook w:val="04A0" w:firstRow="1" w:lastRow="0" w:firstColumn="1" w:lastColumn="0" w:noHBand="0" w:noVBand="1"/>
      </w:tblPr>
      <w:tblGrid>
        <w:gridCol w:w="2880"/>
        <w:gridCol w:w="3240"/>
        <w:gridCol w:w="3240"/>
      </w:tblGrid>
      <w:tr w:rsidR="00760E0C" w:rsidRPr="00760E0C" w14:paraId="7329B0D9" w14:textId="77777777" w:rsidTr="00760E0C">
        <w:tc>
          <w:tcPr>
            <w:tcW w:w="2880" w:type="dxa"/>
          </w:tcPr>
          <w:p w14:paraId="69206FA7" w14:textId="77777777" w:rsidR="00760E0C" w:rsidRPr="00760E0C" w:rsidRDefault="00760E0C" w:rsidP="0004624D">
            <w:pPr>
              <w:jc w:val="both"/>
              <w:rPr>
                <w:b/>
                <w:bCs/>
                <w:sz w:val="24"/>
                <w:szCs w:val="24"/>
              </w:rPr>
            </w:pPr>
            <w:r w:rsidRPr="00760E0C">
              <w:rPr>
                <w:b/>
                <w:bCs/>
                <w:sz w:val="24"/>
                <w:szCs w:val="24"/>
              </w:rPr>
              <w:t>KPI</w:t>
            </w:r>
          </w:p>
        </w:tc>
        <w:tc>
          <w:tcPr>
            <w:tcW w:w="3240" w:type="dxa"/>
          </w:tcPr>
          <w:p w14:paraId="1C685527" w14:textId="77777777" w:rsidR="00760E0C" w:rsidRPr="00760E0C" w:rsidRDefault="00760E0C" w:rsidP="0004624D">
            <w:pPr>
              <w:jc w:val="both"/>
              <w:rPr>
                <w:b/>
                <w:bCs/>
                <w:sz w:val="24"/>
                <w:szCs w:val="24"/>
              </w:rPr>
            </w:pPr>
            <w:r w:rsidRPr="00760E0C">
              <w:rPr>
                <w:b/>
                <w:bCs/>
                <w:sz w:val="24"/>
                <w:szCs w:val="24"/>
              </w:rPr>
              <w:t>Confirmed (2,428 patients)</w:t>
            </w:r>
          </w:p>
        </w:tc>
        <w:tc>
          <w:tcPr>
            <w:tcW w:w="3240" w:type="dxa"/>
          </w:tcPr>
          <w:p w14:paraId="699779D4" w14:textId="77777777" w:rsidR="00760E0C" w:rsidRPr="00760E0C" w:rsidRDefault="00760E0C" w:rsidP="0004624D">
            <w:pPr>
              <w:jc w:val="both"/>
              <w:rPr>
                <w:b/>
                <w:bCs/>
                <w:sz w:val="24"/>
                <w:szCs w:val="24"/>
              </w:rPr>
            </w:pPr>
            <w:r w:rsidRPr="00760E0C">
              <w:rPr>
                <w:b/>
                <w:bCs/>
                <w:sz w:val="24"/>
                <w:szCs w:val="24"/>
              </w:rPr>
              <w:t>Unconfirmed (1,588 patients)</w:t>
            </w:r>
          </w:p>
        </w:tc>
      </w:tr>
      <w:tr w:rsidR="00760E0C" w:rsidRPr="00760E0C" w14:paraId="440F1F2F" w14:textId="77777777" w:rsidTr="00760E0C">
        <w:tc>
          <w:tcPr>
            <w:tcW w:w="2880" w:type="dxa"/>
          </w:tcPr>
          <w:p w14:paraId="2172782F" w14:textId="77777777" w:rsidR="00760E0C" w:rsidRPr="00760E0C" w:rsidRDefault="00760E0C" w:rsidP="0004624D">
            <w:pPr>
              <w:jc w:val="both"/>
              <w:rPr>
                <w:sz w:val="24"/>
                <w:szCs w:val="24"/>
              </w:rPr>
            </w:pPr>
            <w:r w:rsidRPr="00760E0C">
              <w:rPr>
                <w:sz w:val="24"/>
                <w:szCs w:val="24"/>
              </w:rPr>
              <w:t>Average Age</w:t>
            </w:r>
          </w:p>
        </w:tc>
        <w:tc>
          <w:tcPr>
            <w:tcW w:w="3240" w:type="dxa"/>
          </w:tcPr>
          <w:p w14:paraId="3F796696" w14:textId="77777777" w:rsidR="00760E0C" w:rsidRPr="00760E0C" w:rsidRDefault="00760E0C" w:rsidP="0004624D">
            <w:pPr>
              <w:jc w:val="both"/>
              <w:rPr>
                <w:sz w:val="24"/>
                <w:szCs w:val="24"/>
              </w:rPr>
            </w:pPr>
            <w:r w:rsidRPr="00760E0C">
              <w:rPr>
                <w:sz w:val="24"/>
                <w:szCs w:val="24"/>
              </w:rPr>
              <w:t>51.15</w:t>
            </w:r>
          </w:p>
        </w:tc>
        <w:tc>
          <w:tcPr>
            <w:tcW w:w="3240" w:type="dxa"/>
          </w:tcPr>
          <w:p w14:paraId="2F615538" w14:textId="77777777" w:rsidR="00760E0C" w:rsidRPr="00760E0C" w:rsidRDefault="00760E0C" w:rsidP="0004624D">
            <w:pPr>
              <w:jc w:val="both"/>
              <w:rPr>
                <w:sz w:val="24"/>
                <w:szCs w:val="24"/>
              </w:rPr>
            </w:pPr>
            <w:r w:rsidRPr="00760E0C">
              <w:rPr>
                <w:sz w:val="24"/>
                <w:szCs w:val="24"/>
              </w:rPr>
              <w:t>51.55</w:t>
            </w:r>
          </w:p>
        </w:tc>
      </w:tr>
      <w:tr w:rsidR="00760E0C" w:rsidRPr="00760E0C" w14:paraId="2B98AD12" w14:textId="77777777" w:rsidTr="00760E0C">
        <w:tc>
          <w:tcPr>
            <w:tcW w:w="2880" w:type="dxa"/>
          </w:tcPr>
          <w:p w14:paraId="132C1FC0" w14:textId="77777777" w:rsidR="00760E0C" w:rsidRPr="00760E0C" w:rsidRDefault="00760E0C" w:rsidP="0004624D">
            <w:pPr>
              <w:jc w:val="both"/>
              <w:rPr>
                <w:sz w:val="24"/>
                <w:szCs w:val="24"/>
              </w:rPr>
            </w:pPr>
            <w:r w:rsidRPr="00760E0C">
              <w:rPr>
                <w:sz w:val="24"/>
                <w:szCs w:val="24"/>
              </w:rPr>
              <w:t>Average Tumor Size (cm)</w:t>
            </w:r>
          </w:p>
        </w:tc>
        <w:tc>
          <w:tcPr>
            <w:tcW w:w="3240" w:type="dxa"/>
          </w:tcPr>
          <w:p w14:paraId="1ECABBC7" w14:textId="77777777" w:rsidR="00760E0C" w:rsidRPr="00760E0C" w:rsidRDefault="00760E0C" w:rsidP="0004624D">
            <w:pPr>
              <w:jc w:val="both"/>
              <w:rPr>
                <w:sz w:val="24"/>
                <w:szCs w:val="24"/>
              </w:rPr>
            </w:pPr>
            <w:r w:rsidRPr="00760E0C">
              <w:rPr>
                <w:sz w:val="24"/>
                <w:szCs w:val="24"/>
              </w:rPr>
              <w:t>1.99</w:t>
            </w:r>
          </w:p>
        </w:tc>
        <w:tc>
          <w:tcPr>
            <w:tcW w:w="3240" w:type="dxa"/>
          </w:tcPr>
          <w:p w14:paraId="62928F84" w14:textId="77777777" w:rsidR="00760E0C" w:rsidRPr="00760E0C" w:rsidRDefault="00760E0C" w:rsidP="0004624D">
            <w:pPr>
              <w:jc w:val="both"/>
              <w:rPr>
                <w:sz w:val="24"/>
                <w:szCs w:val="24"/>
              </w:rPr>
            </w:pPr>
            <w:r w:rsidRPr="00760E0C">
              <w:rPr>
                <w:sz w:val="24"/>
                <w:szCs w:val="24"/>
              </w:rPr>
              <w:t>2.03</w:t>
            </w:r>
          </w:p>
        </w:tc>
      </w:tr>
      <w:tr w:rsidR="00760E0C" w:rsidRPr="00760E0C" w14:paraId="063408FD" w14:textId="77777777" w:rsidTr="00760E0C">
        <w:tc>
          <w:tcPr>
            <w:tcW w:w="2880" w:type="dxa"/>
          </w:tcPr>
          <w:p w14:paraId="1B345785" w14:textId="77777777" w:rsidR="00760E0C" w:rsidRPr="00760E0C" w:rsidRDefault="00760E0C" w:rsidP="0004624D">
            <w:pPr>
              <w:jc w:val="both"/>
              <w:rPr>
                <w:sz w:val="24"/>
                <w:szCs w:val="24"/>
              </w:rPr>
            </w:pPr>
            <w:r w:rsidRPr="00760E0C">
              <w:rPr>
                <w:sz w:val="24"/>
                <w:szCs w:val="24"/>
              </w:rPr>
              <w:t>Average Intake per Year (vs. Overall)</w:t>
            </w:r>
          </w:p>
        </w:tc>
        <w:tc>
          <w:tcPr>
            <w:tcW w:w="3240" w:type="dxa"/>
          </w:tcPr>
          <w:p w14:paraId="420E43D6" w14:textId="77777777" w:rsidR="00760E0C" w:rsidRPr="00760E0C" w:rsidRDefault="00760E0C" w:rsidP="0004624D">
            <w:pPr>
              <w:jc w:val="both"/>
              <w:rPr>
                <w:sz w:val="24"/>
                <w:szCs w:val="24"/>
              </w:rPr>
            </w:pPr>
            <w:r w:rsidRPr="00760E0C">
              <w:rPr>
                <w:sz w:val="24"/>
                <w:szCs w:val="24"/>
              </w:rPr>
              <w:t>220.7 (↓)</w:t>
            </w:r>
          </w:p>
        </w:tc>
        <w:tc>
          <w:tcPr>
            <w:tcW w:w="3240" w:type="dxa"/>
          </w:tcPr>
          <w:p w14:paraId="384D3D43" w14:textId="77777777" w:rsidR="00760E0C" w:rsidRPr="00760E0C" w:rsidRDefault="00760E0C" w:rsidP="0004624D">
            <w:pPr>
              <w:jc w:val="both"/>
              <w:rPr>
                <w:sz w:val="24"/>
                <w:szCs w:val="24"/>
              </w:rPr>
            </w:pPr>
            <w:r w:rsidRPr="00760E0C">
              <w:rPr>
                <w:sz w:val="24"/>
                <w:szCs w:val="24"/>
              </w:rPr>
              <w:t>144.4 (↓)</w:t>
            </w:r>
          </w:p>
        </w:tc>
      </w:tr>
      <w:tr w:rsidR="00760E0C" w:rsidRPr="00760E0C" w14:paraId="3BB17697" w14:textId="77777777" w:rsidTr="00760E0C">
        <w:tc>
          <w:tcPr>
            <w:tcW w:w="2880" w:type="dxa"/>
          </w:tcPr>
          <w:p w14:paraId="154976A1" w14:textId="77777777" w:rsidR="00760E0C" w:rsidRPr="00760E0C" w:rsidRDefault="00760E0C" w:rsidP="0004624D">
            <w:pPr>
              <w:jc w:val="both"/>
              <w:rPr>
                <w:sz w:val="24"/>
                <w:szCs w:val="24"/>
              </w:rPr>
            </w:pPr>
            <w:r w:rsidRPr="00760E0C">
              <w:rPr>
                <w:sz w:val="24"/>
                <w:szCs w:val="24"/>
              </w:rPr>
              <w:t>Most Affected Age Group</w:t>
            </w:r>
          </w:p>
        </w:tc>
        <w:tc>
          <w:tcPr>
            <w:tcW w:w="3240" w:type="dxa"/>
          </w:tcPr>
          <w:p w14:paraId="3E58B21D" w14:textId="77777777" w:rsidR="00760E0C" w:rsidRPr="00760E0C" w:rsidRDefault="00760E0C" w:rsidP="0004624D">
            <w:pPr>
              <w:jc w:val="both"/>
              <w:rPr>
                <w:sz w:val="24"/>
                <w:szCs w:val="24"/>
              </w:rPr>
            </w:pPr>
            <w:r w:rsidRPr="00760E0C">
              <w:rPr>
                <w:sz w:val="24"/>
                <w:szCs w:val="24"/>
              </w:rPr>
              <w:t>41–50</w:t>
            </w:r>
          </w:p>
        </w:tc>
        <w:tc>
          <w:tcPr>
            <w:tcW w:w="3240" w:type="dxa"/>
          </w:tcPr>
          <w:p w14:paraId="6BB5E224" w14:textId="77777777" w:rsidR="00760E0C" w:rsidRPr="00760E0C" w:rsidRDefault="00760E0C" w:rsidP="0004624D">
            <w:pPr>
              <w:jc w:val="both"/>
              <w:rPr>
                <w:sz w:val="24"/>
                <w:szCs w:val="24"/>
              </w:rPr>
            </w:pPr>
            <w:r w:rsidRPr="00760E0C">
              <w:rPr>
                <w:sz w:val="24"/>
                <w:szCs w:val="24"/>
              </w:rPr>
              <w:t>41–50</w:t>
            </w:r>
          </w:p>
        </w:tc>
      </w:tr>
      <w:tr w:rsidR="00760E0C" w:rsidRPr="00760E0C" w14:paraId="15DDE9E2" w14:textId="77777777" w:rsidTr="00760E0C">
        <w:tc>
          <w:tcPr>
            <w:tcW w:w="2880" w:type="dxa"/>
          </w:tcPr>
          <w:p w14:paraId="221F4DE8" w14:textId="77777777" w:rsidR="00760E0C" w:rsidRPr="00760E0C" w:rsidRDefault="00760E0C" w:rsidP="0004624D">
            <w:pPr>
              <w:jc w:val="both"/>
              <w:rPr>
                <w:sz w:val="24"/>
                <w:szCs w:val="24"/>
              </w:rPr>
            </w:pPr>
            <w:r w:rsidRPr="00760E0C">
              <w:rPr>
                <w:sz w:val="24"/>
                <w:szCs w:val="24"/>
              </w:rPr>
              <w:t>MABR</w:t>
            </w:r>
          </w:p>
        </w:tc>
        <w:tc>
          <w:tcPr>
            <w:tcW w:w="3240" w:type="dxa"/>
          </w:tcPr>
          <w:p w14:paraId="25FC88F6" w14:textId="77777777" w:rsidR="00760E0C" w:rsidRPr="00760E0C" w:rsidRDefault="00760E0C" w:rsidP="0004624D">
            <w:pPr>
              <w:jc w:val="both"/>
              <w:rPr>
                <w:sz w:val="24"/>
                <w:szCs w:val="24"/>
              </w:rPr>
            </w:pPr>
            <w:r w:rsidRPr="00760E0C">
              <w:rPr>
                <w:sz w:val="24"/>
                <w:szCs w:val="24"/>
              </w:rPr>
              <w:t>Pituitary (24%)</w:t>
            </w:r>
          </w:p>
        </w:tc>
        <w:tc>
          <w:tcPr>
            <w:tcW w:w="3240" w:type="dxa"/>
          </w:tcPr>
          <w:p w14:paraId="641F0A60" w14:textId="77777777" w:rsidR="00760E0C" w:rsidRPr="00760E0C" w:rsidRDefault="00760E0C" w:rsidP="0004624D">
            <w:pPr>
              <w:jc w:val="both"/>
              <w:rPr>
                <w:sz w:val="24"/>
                <w:szCs w:val="24"/>
              </w:rPr>
            </w:pPr>
            <w:r w:rsidRPr="00760E0C">
              <w:rPr>
                <w:sz w:val="24"/>
                <w:szCs w:val="24"/>
              </w:rPr>
              <w:t>Pituitary (22%)</w:t>
            </w:r>
          </w:p>
        </w:tc>
      </w:tr>
      <w:tr w:rsidR="00760E0C" w:rsidRPr="00760E0C" w14:paraId="7515DCD2" w14:textId="77777777" w:rsidTr="00760E0C">
        <w:tc>
          <w:tcPr>
            <w:tcW w:w="2880" w:type="dxa"/>
          </w:tcPr>
          <w:p w14:paraId="7D6230E1" w14:textId="77777777" w:rsidR="00760E0C" w:rsidRPr="00760E0C" w:rsidRDefault="00760E0C" w:rsidP="0004624D">
            <w:pPr>
              <w:jc w:val="both"/>
              <w:rPr>
                <w:sz w:val="24"/>
                <w:szCs w:val="24"/>
              </w:rPr>
            </w:pPr>
            <w:r w:rsidRPr="00760E0C">
              <w:rPr>
                <w:sz w:val="24"/>
                <w:szCs w:val="24"/>
              </w:rPr>
              <w:t>Tumor Type Distribution</w:t>
            </w:r>
          </w:p>
        </w:tc>
        <w:tc>
          <w:tcPr>
            <w:tcW w:w="3240" w:type="dxa"/>
          </w:tcPr>
          <w:p w14:paraId="3AFA2744" w14:textId="77777777" w:rsidR="00760E0C" w:rsidRPr="00760E0C" w:rsidRDefault="00760E0C" w:rsidP="0004624D">
            <w:pPr>
              <w:jc w:val="both"/>
              <w:rPr>
                <w:sz w:val="24"/>
                <w:szCs w:val="24"/>
              </w:rPr>
            </w:pPr>
            <w:r w:rsidRPr="00760E0C">
              <w:rPr>
                <w:sz w:val="24"/>
                <w:szCs w:val="24"/>
              </w:rPr>
              <w:t>Meningioma: 68.45%, Pituitary Tumor: 23.72%, Glioma: 7.83%</w:t>
            </w:r>
          </w:p>
        </w:tc>
        <w:tc>
          <w:tcPr>
            <w:tcW w:w="3240" w:type="dxa"/>
          </w:tcPr>
          <w:p w14:paraId="29C13B8A" w14:textId="77777777" w:rsidR="00760E0C" w:rsidRPr="00760E0C" w:rsidRDefault="00760E0C" w:rsidP="0004624D">
            <w:pPr>
              <w:jc w:val="both"/>
              <w:rPr>
                <w:sz w:val="24"/>
                <w:szCs w:val="24"/>
              </w:rPr>
            </w:pPr>
            <w:r w:rsidRPr="00760E0C">
              <w:rPr>
                <w:sz w:val="24"/>
                <w:szCs w:val="24"/>
              </w:rPr>
              <w:t>Meningioma: 69.08%, Pituitary Tumor: 21.98%, Glioma: 8.94%</w:t>
            </w:r>
          </w:p>
        </w:tc>
      </w:tr>
    </w:tbl>
    <w:p w14:paraId="06B7E77A" w14:textId="77777777" w:rsidR="00760E0C" w:rsidRPr="00760E0C" w:rsidRDefault="00760E0C" w:rsidP="00760E0C">
      <w:pPr>
        <w:ind w:left="720"/>
        <w:jc w:val="both"/>
        <w:rPr>
          <w:sz w:val="24"/>
          <w:szCs w:val="24"/>
        </w:rPr>
      </w:pPr>
    </w:p>
    <w:p w14:paraId="39E7DA6A" w14:textId="69915006" w:rsidR="008F159E" w:rsidRPr="008F159E" w:rsidRDefault="008F159E" w:rsidP="00760E0C">
      <w:pPr>
        <w:numPr>
          <w:ilvl w:val="0"/>
          <w:numId w:val="3"/>
        </w:numPr>
        <w:jc w:val="both"/>
        <w:rPr>
          <w:sz w:val="24"/>
          <w:szCs w:val="24"/>
        </w:rPr>
      </w:pPr>
      <w:r w:rsidRPr="008F159E">
        <w:rPr>
          <w:b/>
          <w:bCs/>
          <w:sz w:val="24"/>
          <w:szCs w:val="24"/>
        </w:rPr>
        <w:t>Distributions and Trends</w:t>
      </w:r>
      <w:r w:rsidRPr="008F159E">
        <w:rPr>
          <w:sz w:val="24"/>
          <w:szCs w:val="24"/>
        </w:rPr>
        <w:t>: Meningiomas dominate (~69%), reflecting their common, slow-growing nature. The pituitary gland is most affected, often linked to hormonal issues or vision problems. Annual diagnoses fluctuate between 200–252 for confirmed cases, with no clear trend, suggesting stable incidence.</w:t>
      </w:r>
    </w:p>
    <w:p w14:paraId="0EB2E9EE" w14:textId="77777777" w:rsidR="008F159E" w:rsidRPr="008F159E" w:rsidRDefault="008F159E" w:rsidP="00760E0C">
      <w:pPr>
        <w:numPr>
          <w:ilvl w:val="0"/>
          <w:numId w:val="3"/>
        </w:numPr>
        <w:jc w:val="both"/>
        <w:rPr>
          <w:sz w:val="24"/>
          <w:szCs w:val="24"/>
        </w:rPr>
      </w:pPr>
      <w:r w:rsidRPr="008F159E">
        <w:rPr>
          <w:b/>
          <w:bCs/>
          <w:sz w:val="24"/>
          <w:szCs w:val="24"/>
        </w:rPr>
        <w:t>Confirmed vs. Unconfirmed</w:t>
      </w:r>
      <w:r w:rsidRPr="008F159E">
        <w:rPr>
          <w:sz w:val="24"/>
          <w:szCs w:val="24"/>
        </w:rPr>
        <w:t>: Similar patterns, but unconfirmed cases have slightly fewer pituitary tumors, possibly due to diagnostic challenges in that region.</w:t>
      </w:r>
    </w:p>
    <w:p w14:paraId="00C505A3" w14:textId="77777777" w:rsidR="008F159E" w:rsidRPr="008F159E" w:rsidRDefault="008F159E" w:rsidP="00760E0C">
      <w:pPr>
        <w:jc w:val="both"/>
        <w:rPr>
          <w:b/>
          <w:bCs/>
          <w:sz w:val="24"/>
          <w:szCs w:val="24"/>
        </w:rPr>
      </w:pPr>
      <w:r w:rsidRPr="008F159E">
        <w:rPr>
          <w:b/>
          <w:bCs/>
          <w:sz w:val="24"/>
          <w:szCs w:val="24"/>
        </w:rPr>
        <w:t>Grade 2 Tumors (Low-to-Moderate Malignancy)</w:t>
      </w:r>
    </w:p>
    <w:p w14:paraId="2175FE35" w14:textId="77777777" w:rsidR="008F159E" w:rsidRPr="008F159E" w:rsidRDefault="008F159E" w:rsidP="00760E0C">
      <w:pPr>
        <w:jc w:val="both"/>
        <w:rPr>
          <w:sz w:val="24"/>
          <w:szCs w:val="24"/>
        </w:rPr>
      </w:pPr>
      <w:r w:rsidRPr="008F159E">
        <w:rPr>
          <w:sz w:val="24"/>
          <w:szCs w:val="24"/>
        </w:rPr>
        <w:t>Representing 11.21% of cases (1,121 patients total), these tumors are larger than Grade 1 and show a shift toward more diverse types, including ependymomas (arising from cells lining brain ventricles).</w:t>
      </w:r>
    </w:p>
    <w:tbl>
      <w:tblPr>
        <w:tblStyle w:val="TableGrid"/>
        <w:tblW w:w="9360" w:type="dxa"/>
        <w:tblLook w:val="04A0" w:firstRow="1" w:lastRow="0" w:firstColumn="1" w:lastColumn="0" w:noHBand="0" w:noVBand="1"/>
      </w:tblPr>
      <w:tblGrid>
        <w:gridCol w:w="3240"/>
        <w:gridCol w:w="3060"/>
        <w:gridCol w:w="3060"/>
      </w:tblGrid>
      <w:tr w:rsidR="00760E0C" w:rsidRPr="00760E0C" w14:paraId="5415CE79" w14:textId="77777777" w:rsidTr="00760E0C">
        <w:tc>
          <w:tcPr>
            <w:tcW w:w="3240" w:type="dxa"/>
          </w:tcPr>
          <w:p w14:paraId="073D8E2E" w14:textId="77777777" w:rsidR="00760E0C" w:rsidRPr="00760E0C" w:rsidRDefault="00760E0C" w:rsidP="007A2FD4">
            <w:pPr>
              <w:jc w:val="both"/>
              <w:rPr>
                <w:b/>
                <w:bCs/>
                <w:sz w:val="24"/>
                <w:szCs w:val="24"/>
              </w:rPr>
            </w:pPr>
            <w:r w:rsidRPr="00760E0C">
              <w:rPr>
                <w:b/>
                <w:bCs/>
                <w:sz w:val="24"/>
                <w:szCs w:val="24"/>
              </w:rPr>
              <w:lastRenderedPageBreak/>
              <w:t>KPI</w:t>
            </w:r>
          </w:p>
        </w:tc>
        <w:tc>
          <w:tcPr>
            <w:tcW w:w="3060" w:type="dxa"/>
          </w:tcPr>
          <w:p w14:paraId="5F843D52" w14:textId="77777777" w:rsidR="00760E0C" w:rsidRPr="00760E0C" w:rsidRDefault="00760E0C" w:rsidP="007A2FD4">
            <w:pPr>
              <w:jc w:val="both"/>
              <w:rPr>
                <w:b/>
                <w:bCs/>
                <w:sz w:val="24"/>
                <w:szCs w:val="24"/>
              </w:rPr>
            </w:pPr>
            <w:r w:rsidRPr="00760E0C">
              <w:rPr>
                <w:b/>
                <w:bCs/>
                <w:sz w:val="24"/>
                <w:szCs w:val="24"/>
              </w:rPr>
              <w:t>Confirmed (680 patients)</w:t>
            </w:r>
          </w:p>
        </w:tc>
        <w:tc>
          <w:tcPr>
            <w:tcW w:w="3060" w:type="dxa"/>
          </w:tcPr>
          <w:p w14:paraId="6F315EFC" w14:textId="77777777" w:rsidR="00760E0C" w:rsidRPr="00760E0C" w:rsidRDefault="00760E0C" w:rsidP="007A2FD4">
            <w:pPr>
              <w:jc w:val="both"/>
              <w:rPr>
                <w:b/>
                <w:bCs/>
                <w:sz w:val="24"/>
                <w:szCs w:val="24"/>
              </w:rPr>
            </w:pPr>
            <w:r w:rsidRPr="00760E0C">
              <w:rPr>
                <w:b/>
                <w:bCs/>
                <w:sz w:val="24"/>
                <w:szCs w:val="24"/>
              </w:rPr>
              <w:t>Unconfirmed (441 patients)</w:t>
            </w:r>
          </w:p>
        </w:tc>
      </w:tr>
      <w:tr w:rsidR="00760E0C" w:rsidRPr="00760E0C" w14:paraId="45DE7A56" w14:textId="77777777" w:rsidTr="00760E0C">
        <w:tc>
          <w:tcPr>
            <w:tcW w:w="3240" w:type="dxa"/>
          </w:tcPr>
          <w:p w14:paraId="639EEB92" w14:textId="77777777" w:rsidR="00760E0C" w:rsidRPr="00760E0C" w:rsidRDefault="00760E0C" w:rsidP="007A2FD4">
            <w:pPr>
              <w:jc w:val="both"/>
              <w:rPr>
                <w:sz w:val="24"/>
                <w:szCs w:val="24"/>
              </w:rPr>
            </w:pPr>
            <w:r w:rsidRPr="00760E0C">
              <w:rPr>
                <w:sz w:val="24"/>
                <w:szCs w:val="24"/>
              </w:rPr>
              <w:t>Average Age</w:t>
            </w:r>
          </w:p>
        </w:tc>
        <w:tc>
          <w:tcPr>
            <w:tcW w:w="3060" w:type="dxa"/>
          </w:tcPr>
          <w:p w14:paraId="62C0244B" w14:textId="77777777" w:rsidR="00760E0C" w:rsidRPr="00760E0C" w:rsidRDefault="00760E0C" w:rsidP="007A2FD4">
            <w:pPr>
              <w:jc w:val="both"/>
              <w:rPr>
                <w:sz w:val="24"/>
                <w:szCs w:val="24"/>
              </w:rPr>
            </w:pPr>
            <w:r w:rsidRPr="00760E0C">
              <w:rPr>
                <w:sz w:val="24"/>
                <w:szCs w:val="24"/>
              </w:rPr>
              <w:t>42.35</w:t>
            </w:r>
          </w:p>
        </w:tc>
        <w:tc>
          <w:tcPr>
            <w:tcW w:w="3060" w:type="dxa"/>
          </w:tcPr>
          <w:p w14:paraId="003D2C70" w14:textId="77777777" w:rsidR="00760E0C" w:rsidRPr="00760E0C" w:rsidRDefault="00760E0C" w:rsidP="007A2FD4">
            <w:pPr>
              <w:jc w:val="both"/>
              <w:rPr>
                <w:sz w:val="24"/>
                <w:szCs w:val="24"/>
              </w:rPr>
            </w:pPr>
            <w:r w:rsidRPr="00760E0C">
              <w:rPr>
                <w:sz w:val="24"/>
                <w:szCs w:val="24"/>
              </w:rPr>
              <w:t>43.05</w:t>
            </w:r>
          </w:p>
        </w:tc>
      </w:tr>
      <w:tr w:rsidR="00760E0C" w:rsidRPr="00760E0C" w14:paraId="2C9536B3" w14:textId="77777777" w:rsidTr="00760E0C">
        <w:tc>
          <w:tcPr>
            <w:tcW w:w="3240" w:type="dxa"/>
          </w:tcPr>
          <w:p w14:paraId="0308112F" w14:textId="77777777" w:rsidR="00760E0C" w:rsidRPr="00760E0C" w:rsidRDefault="00760E0C" w:rsidP="007A2FD4">
            <w:pPr>
              <w:jc w:val="both"/>
              <w:rPr>
                <w:sz w:val="24"/>
                <w:szCs w:val="24"/>
              </w:rPr>
            </w:pPr>
            <w:r w:rsidRPr="00760E0C">
              <w:rPr>
                <w:sz w:val="24"/>
                <w:szCs w:val="24"/>
              </w:rPr>
              <w:t>Average Tumor Size (cm)</w:t>
            </w:r>
          </w:p>
        </w:tc>
        <w:tc>
          <w:tcPr>
            <w:tcW w:w="3060" w:type="dxa"/>
          </w:tcPr>
          <w:p w14:paraId="6787F510" w14:textId="77777777" w:rsidR="00760E0C" w:rsidRPr="00760E0C" w:rsidRDefault="00760E0C" w:rsidP="007A2FD4">
            <w:pPr>
              <w:jc w:val="both"/>
              <w:rPr>
                <w:sz w:val="24"/>
                <w:szCs w:val="24"/>
              </w:rPr>
            </w:pPr>
            <w:r w:rsidRPr="00760E0C">
              <w:rPr>
                <w:sz w:val="24"/>
                <w:szCs w:val="24"/>
              </w:rPr>
              <w:t>4.01</w:t>
            </w:r>
          </w:p>
        </w:tc>
        <w:tc>
          <w:tcPr>
            <w:tcW w:w="3060" w:type="dxa"/>
          </w:tcPr>
          <w:p w14:paraId="65D16178" w14:textId="77777777" w:rsidR="00760E0C" w:rsidRPr="00760E0C" w:rsidRDefault="00760E0C" w:rsidP="007A2FD4">
            <w:pPr>
              <w:jc w:val="both"/>
              <w:rPr>
                <w:sz w:val="24"/>
                <w:szCs w:val="24"/>
              </w:rPr>
            </w:pPr>
            <w:r w:rsidRPr="00760E0C">
              <w:rPr>
                <w:sz w:val="24"/>
                <w:szCs w:val="24"/>
              </w:rPr>
              <w:t>4.08</w:t>
            </w:r>
          </w:p>
        </w:tc>
      </w:tr>
      <w:tr w:rsidR="00760E0C" w:rsidRPr="00760E0C" w14:paraId="75ED12C8" w14:textId="77777777" w:rsidTr="00760E0C">
        <w:tc>
          <w:tcPr>
            <w:tcW w:w="3240" w:type="dxa"/>
          </w:tcPr>
          <w:p w14:paraId="73603F66" w14:textId="77777777" w:rsidR="00760E0C" w:rsidRPr="00760E0C" w:rsidRDefault="00760E0C" w:rsidP="007A2FD4">
            <w:pPr>
              <w:jc w:val="both"/>
              <w:rPr>
                <w:sz w:val="24"/>
                <w:szCs w:val="24"/>
              </w:rPr>
            </w:pPr>
            <w:r w:rsidRPr="00760E0C">
              <w:rPr>
                <w:sz w:val="24"/>
                <w:szCs w:val="24"/>
              </w:rPr>
              <w:t>Average Intake per Year (vs. Overall)</w:t>
            </w:r>
          </w:p>
        </w:tc>
        <w:tc>
          <w:tcPr>
            <w:tcW w:w="3060" w:type="dxa"/>
          </w:tcPr>
          <w:p w14:paraId="4E6D2C1B" w14:textId="77777777" w:rsidR="00760E0C" w:rsidRPr="00760E0C" w:rsidRDefault="00760E0C" w:rsidP="007A2FD4">
            <w:pPr>
              <w:jc w:val="both"/>
              <w:rPr>
                <w:sz w:val="24"/>
                <w:szCs w:val="24"/>
              </w:rPr>
            </w:pPr>
            <w:r w:rsidRPr="00760E0C">
              <w:rPr>
                <w:sz w:val="24"/>
                <w:szCs w:val="24"/>
              </w:rPr>
              <w:t>61.8 (↓)</w:t>
            </w:r>
          </w:p>
        </w:tc>
        <w:tc>
          <w:tcPr>
            <w:tcW w:w="3060" w:type="dxa"/>
          </w:tcPr>
          <w:p w14:paraId="4D41F1FB" w14:textId="77777777" w:rsidR="00760E0C" w:rsidRPr="00760E0C" w:rsidRDefault="00760E0C" w:rsidP="007A2FD4">
            <w:pPr>
              <w:jc w:val="both"/>
              <w:rPr>
                <w:sz w:val="24"/>
                <w:szCs w:val="24"/>
              </w:rPr>
            </w:pPr>
            <w:r w:rsidRPr="00760E0C">
              <w:rPr>
                <w:sz w:val="24"/>
                <w:szCs w:val="24"/>
              </w:rPr>
              <w:t>40.1 (↓)</w:t>
            </w:r>
          </w:p>
        </w:tc>
      </w:tr>
      <w:tr w:rsidR="00760E0C" w:rsidRPr="00760E0C" w14:paraId="5F3F272D" w14:textId="77777777" w:rsidTr="00760E0C">
        <w:tc>
          <w:tcPr>
            <w:tcW w:w="3240" w:type="dxa"/>
          </w:tcPr>
          <w:p w14:paraId="22F67260" w14:textId="77777777" w:rsidR="00760E0C" w:rsidRPr="00760E0C" w:rsidRDefault="00760E0C" w:rsidP="007A2FD4">
            <w:pPr>
              <w:jc w:val="both"/>
              <w:rPr>
                <w:sz w:val="24"/>
                <w:szCs w:val="24"/>
              </w:rPr>
            </w:pPr>
            <w:r w:rsidRPr="00760E0C">
              <w:rPr>
                <w:sz w:val="24"/>
                <w:szCs w:val="24"/>
              </w:rPr>
              <w:t>Most Affected Age Group</w:t>
            </w:r>
          </w:p>
        </w:tc>
        <w:tc>
          <w:tcPr>
            <w:tcW w:w="3060" w:type="dxa"/>
          </w:tcPr>
          <w:p w14:paraId="638EA01E" w14:textId="77777777" w:rsidR="00760E0C" w:rsidRPr="00760E0C" w:rsidRDefault="00760E0C" w:rsidP="007A2FD4">
            <w:pPr>
              <w:jc w:val="both"/>
              <w:rPr>
                <w:sz w:val="24"/>
                <w:szCs w:val="24"/>
              </w:rPr>
            </w:pPr>
            <w:r w:rsidRPr="00760E0C">
              <w:rPr>
                <w:sz w:val="24"/>
                <w:szCs w:val="24"/>
              </w:rPr>
              <w:t>41–50</w:t>
            </w:r>
          </w:p>
        </w:tc>
        <w:tc>
          <w:tcPr>
            <w:tcW w:w="3060" w:type="dxa"/>
          </w:tcPr>
          <w:p w14:paraId="71A19788" w14:textId="77777777" w:rsidR="00760E0C" w:rsidRPr="00760E0C" w:rsidRDefault="00760E0C" w:rsidP="007A2FD4">
            <w:pPr>
              <w:jc w:val="both"/>
              <w:rPr>
                <w:sz w:val="24"/>
                <w:szCs w:val="24"/>
              </w:rPr>
            </w:pPr>
            <w:r w:rsidRPr="00760E0C">
              <w:rPr>
                <w:sz w:val="24"/>
                <w:szCs w:val="24"/>
              </w:rPr>
              <w:t>41–50</w:t>
            </w:r>
          </w:p>
        </w:tc>
      </w:tr>
      <w:tr w:rsidR="00760E0C" w:rsidRPr="00760E0C" w14:paraId="717342B9" w14:textId="77777777" w:rsidTr="00760E0C">
        <w:tc>
          <w:tcPr>
            <w:tcW w:w="3240" w:type="dxa"/>
          </w:tcPr>
          <w:p w14:paraId="14CEE369" w14:textId="77777777" w:rsidR="00760E0C" w:rsidRPr="00760E0C" w:rsidRDefault="00760E0C" w:rsidP="007A2FD4">
            <w:pPr>
              <w:jc w:val="both"/>
              <w:rPr>
                <w:sz w:val="24"/>
                <w:szCs w:val="24"/>
              </w:rPr>
            </w:pPr>
            <w:r w:rsidRPr="00760E0C">
              <w:rPr>
                <w:sz w:val="24"/>
                <w:szCs w:val="24"/>
              </w:rPr>
              <w:t>MABR</w:t>
            </w:r>
          </w:p>
        </w:tc>
        <w:tc>
          <w:tcPr>
            <w:tcW w:w="3060" w:type="dxa"/>
          </w:tcPr>
          <w:p w14:paraId="5FF6E27F" w14:textId="77777777" w:rsidR="00760E0C" w:rsidRPr="00760E0C" w:rsidRDefault="00760E0C" w:rsidP="007A2FD4">
            <w:pPr>
              <w:jc w:val="both"/>
              <w:rPr>
                <w:sz w:val="24"/>
                <w:szCs w:val="24"/>
              </w:rPr>
            </w:pPr>
            <w:r w:rsidRPr="00760E0C">
              <w:rPr>
                <w:sz w:val="24"/>
                <w:szCs w:val="24"/>
              </w:rPr>
              <w:t>Brainstem (24%)</w:t>
            </w:r>
          </w:p>
        </w:tc>
        <w:tc>
          <w:tcPr>
            <w:tcW w:w="3060" w:type="dxa"/>
          </w:tcPr>
          <w:p w14:paraId="1D5C1A8D" w14:textId="77777777" w:rsidR="00760E0C" w:rsidRPr="00760E0C" w:rsidRDefault="00760E0C" w:rsidP="007A2FD4">
            <w:pPr>
              <w:jc w:val="both"/>
              <w:rPr>
                <w:sz w:val="24"/>
                <w:szCs w:val="24"/>
              </w:rPr>
            </w:pPr>
            <w:r w:rsidRPr="00760E0C">
              <w:rPr>
                <w:sz w:val="24"/>
                <w:szCs w:val="24"/>
              </w:rPr>
              <w:t>Cerebellum (24%)</w:t>
            </w:r>
          </w:p>
        </w:tc>
      </w:tr>
      <w:tr w:rsidR="00760E0C" w:rsidRPr="00760E0C" w14:paraId="27BFBF1E" w14:textId="77777777" w:rsidTr="00760E0C">
        <w:tc>
          <w:tcPr>
            <w:tcW w:w="3240" w:type="dxa"/>
          </w:tcPr>
          <w:p w14:paraId="6DD3B98D" w14:textId="77777777" w:rsidR="00760E0C" w:rsidRPr="00760E0C" w:rsidRDefault="00760E0C" w:rsidP="007A2FD4">
            <w:pPr>
              <w:jc w:val="both"/>
              <w:rPr>
                <w:sz w:val="24"/>
                <w:szCs w:val="24"/>
              </w:rPr>
            </w:pPr>
            <w:r w:rsidRPr="00760E0C">
              <w:rPr>
                <w:sz w:val="24"/>
                <w:szCs w:val="24"/>
              </w:rPr>
              <w:t>Tumor Type Distribution</w:t>
            </w:r>
          </w:p>
        </w:tc>
        <w:tc>
          <w:tcPr>
            <w:tcW w:w="3060" w:type="dxa"/>
          </w:tcPr>
          <w:p w14:paraId="6E824A49" w14:textId="77777777" w:rsidR="00760E0C" w:rsidRPr="00760E0C" w:rsidRDefault="00760E0C" w:rsidP="007A2FD4">
            <w:pPr>
              <w:jc w:val="both"/>
              <w:rPr>
                <w:sz w:val="24"/>
                <w:szCs w:val="24"/>
              </w:rPr>
            </w:pPr>
            <w:r w:rsidRPr="00760E0C">
              <w:rPr>
                <w:sz w:val="24"/>
                <w:szCs w:val="24"/>
              </w:rPr>
              <w:t>Ependymoma: 45.15%, Glioma: 28.97%, Meningioma: 25.88%</w:t>
            </w:r>
          </w:p>
        </w:tc>
        <w:tc>
          <w:tcPr>
            <w:tcW w:w="3060" w:type="dxa"/>
          </w:tcPr>
          <w:p w14:paraId="1768BA4C" w14:textId="77777777" w:rsidR="00760E0C" w:rsidRPr="00760E0C" w:rsidRDefault="00760E0C" w:rsidP="007A2FD4">
            <w:pPr>
              <w:jc w:val="both"/>
              <w:rPr>
                <w:sz w:val="24"/>
                <w:szCs w:val="24"/>
              </w:rPr>
            </w:pPr>
            <w:r w:rsidRPr="00760E0C">
              <w:rPr>
                <w:sz w:val="24"/>
                <w:szCs w:val="24"/>
              </w:rPr>
              <w:t>Ependymoma: 43.54%, Glioma: 29.25%, Meningioma: 27.21%</w:t>
            </w:r>
          </w:p>
        </w:tc>
      </w:tr>
    </w:tbl>
    <w:p w14:paraId="18EFCF5B" w14:textId="77777777" w:rsidR="00760E0C" w:rsidRPr="00760E0C" w:rsidRDefault="00760E0C" w:rsidP="00760E0C">
      <w:pPr>
        <w:ind w:left="720"/>
        <w:jc w:val="both"/>
        <w:rPr>
          <w:sz w:val="24"/>
          <w:szCs w:val="24"/>
        </w:rPr>
      </w:pPr>
    </w:p>
    <w:p w14:paraId="2F830342" w14:textId="7960FDA6" w:rsidR="008F159E" w:rsidRPr="008F159E" w:rsidRDefault="008F159E" w:rsidP="00760E0C">
      <w:pPr>
        <w:numPr>
          <w:ilvl w:val="0"/>
          <w:numId w:val="4"/>
        </w:numPr>
        <w:jc w:val="both"/>
        <w:rPr>
          <w:sz w:val="24"/>
          <w:szCs w:val="24"/>
        </w:rPr>
      </w:pPr>
      <w:r w:rsidRPr="008F159E">
        <w:rPr>
          <w:b/>
          <w:bCs/>
          <w:sz w:val="24"/>
          <w:szCs w:val="24"/>
        </w:rPr>
        <w:t>Distributions and Trends</w:t>
      </w:r>
      <w:r w:rsidRPr="008F159E">
        <w:rPr>
          <w:sz w:val="24"/>
          <w:szCs w:val="24"/>
        </w:rPr>
        <w:t>: Ependymomas are prominent (~44%), often affecting balance and coordination due to brainstem or cerebellum involvement. Top regions include brainstem and cerebellum. Annual cases range from 44–78 for confirmed, with mild peaks around 2019–2022, possibly due to better MRI access.</w:t>
      </w:r>
    </w:p>
    <w:p w14:paraId="5020B93E" w14:textId="77777777" w:rsidR="008F159E" w:rsidRPr="008F159E" w:rsidRDefault="008F159E" w:rsidP="00760E0C">
      <w:pPr>
        <w:numPr>
          <w:ilvl w:val="0"/>
          <w:numId w:val="4"/>
        </w:numPr>
        <w:jc w:val="both"/>
        <w:rPr>
          <w:sz w:val="24"/>
          <w:szCs w:val="24"/>
        </w:rPr>
      </w:pPr>
      <w:r w:rsidRPr="008F159E">
        <w:rPr>
          <w:b/>
          <w:bCs/>
          <w:sz w:val="24"/>
          <w:szCs w:val="24"/>
        </w:rPr>
        <w:t>Confirmed vs. Unconfirmed</w:t>
      </w:r>
      <w:r w:rsidRPr="008F159E">
        <w:rPr>
          <w:sz w:val="24"/>
          <w:szCs w:val="24"/>
        </w:rPr>
        <w:t>: Brainstem is more common in confirmed cases, while cerebellum leads in unconfirmed, hinting at biopsy feasibility differences.</w:t>
      </w:r>
    </w:p>
    <w:p w14:paraId="126F5731" w14:textId="77777777" w:rsidR="008F159E" w:rsidRPr="008F159E" w:rsidRDefault="008F159E" w:rsidP="00760E0C">
      <w:pPr>
        <w:jc w:val="both"/>
        <w:rPr>
          <w:b/>
          <w:bCs/>
          <w:sz w:val="24"/>
          <w:szCs w:val="24"/>
        </w:rPr>
      </w:pPr>
      <w:r w:rsidRPr="008F159E">
        <w:rPr>
          <w:b/>
          <w:bCs/>
          <w:sz w:val="24"/>
          <w:szCs w:val="24"/>
        </w:rPr>
        <w:t>Grade 3 Tumors (High Malignancy)</w:t>
      </w:r>
    </w:p>
    <w:p w14:paraId="5470BA35" w14:textId="77777777" w:rsidR="008F159E" w:rsidRPr="004E49BD" w:rsidRDefault="008F159E" w:rsidP="00760E0C">
      <w:pPr>
        <w:jc w:val="both"/>
        <w:rPr>
          <w:b/>
          <w:bCs/>
          <w:sz w:val="24"/>
          <w:szCs w:val="24"/>
        </w:rPr>
      </w:pPr>
      <w:r w:rsidRPr="008F159E">
        <w:rPr>
          <w:sz w:val="24"/>
          <w:szCs w:val="24"/>
        </w:rPr>
        <w:t>These account for 7.82% of cases (782 patients total), with larger tumors and younger average ages, indicating faster progression.</w:t>
      </w:r>
    </w:p>
    <w:tbl>
      <w:tblPr>
        <w:tblStyle w:val="TableGrid"/>
        <w:tblW w:w="0" w:type="auto"/>
        <w:tblLook w:val="04A0" w:firstRow="1" w:lastRow="0" w:firstColumn="1" w:lastColumn="0" w:noHBand="0" w:noVBand="1"/>
      </w:tblPr>
      <w:tblGrid>
        <w:gridCol w:w="3116"/>
        <w:gridCol w:w="3117"/>
        <w:gridCol w:w="3117"/>
      </w:tblGrid>
      <w:tr w:rsidR="004E49BD" w:rsidRPr="004E49BD" w14:paraId="66719162" w14:textId="77777777">
        <w:tc>
          <w:tcPr>
            <w:tcW w:w="3116" w:type="dxa"/>
          </w:tcPr>
          <w:p w14:paraId="36182244" w14:textId="77777777" w:rsidR="004E49BD" w:rsidRPr="004E49BD" w:rsidRDefault="004E49BD" w:rsidP="008A186D">
            <w:pPr>
              <w:jc w:val="both"/>
              <w:rPr>
                <w:b/>
                <w:bCs/>
                <w:sz w:val="24"/>
                <w:szCs w:val="24"/>
              </w:rPr>
            </w:pPr>
            <w:r w:rsidRPr="004E49BD">
              <w:rPr>
                <w:b/>
                <w:bCs/>
                <w:sz w:val="24"/>
                <w:szCs w:val="24"/>
              </w:rPr>
              <w:t>KPI</w:t>
            </w:r>
          </w:p>
        </w:tc>
        <w:tc>
          <w:tcPr>
            <w:tcW w:w="3117" w:type="dxa"/>
          </w:tcPr>
          <w:p w14:paraId="56E7618B" w14:textId="77777777" w:rsidR="004E49BD" w:rsidRPr="004E49BD" w:rsidRDefault="004E49BD" w:rsidP="008A186D">
            <w:pPr>
              <w:jc w:val="both"/>
              <w:rPr>
                <w:b/>
                <w:bCs/>
                <w:sz w:val="24"/>
                <w:szCs w:val="24"/>
              </w:rPr>
            </w:pPr>
            <w:r w:rsidRPr="004E49BD">
              <w:rPr>
                <w:b/>
                <w:bCs/>
                <w:sz w:val="24"/>
                <w:szCs w:val="24"/>
              </w:rPr>
              <w:t>Confirmed (698 patients)</w:t>
            </w:r>
          </w:p>
        </w:tc>
        <w:tc>
          <w:tcPr>
            <w:tcW w:w="3117" w:type="dxa"/>
          </w:tcPr>
          <w:p w14:paraId="0595FF58" w14:textId="77777777" w:rsidR="004E49BD" w:rsidRPr="004E49BD" w:rsidRDefault="004E49BD" w:rsidP="008A186D">
            <w:pPr>
              <w:jc w:val="both"/>
              <w:rPr>
                <w:b/>
                <w:bCs/>
                <w:sz w:val="24"/>
                <w:szCs w:val="24"/>
              </w:rPr>
            </w:pPr>
            <w:r w:rsidRPr="004E49BD">
              <w:rPr>
                <w:b/>
                <w:bCs/>
                <w:sz w:val="24"/>
                <w:szCs w:val="24"/>
              </w:rPr>
              <w:t>Unconfirmed (84 patients)</w:t>
            </w:r>
          </w:p>
        </w:tc>
      </w:tr>
      <w:tr w:rsidR="004E49BD" w:rsidRPr="004E49BD" w14:paraId="6F15C3A4" w14:textId="77777777">
        <w:tc>
          <w:tcPr>
            <w:tcW w:w="3116" w:type="dxa"/>
          </w:tcPr>
          <w:p w14:paraId="2DE34235" w14:textId="77777777" w:rsidR="004E49BD" w:rsidRPr="004E49BD" w:rsidRDefault="004E49BD" w:rsidP="008A186D">
            <w:pPr>
              <w:jc w:val="both"/>
              <w:rPr>
                <w:sz w:val="24"/>
                <w:szCs w:val="24"/>
              </w:rPr>
            </w:pPr>
            <w:r w:rsidRPr="004E49BD">
              <w:rPr>
                <w:sz w:val="24"/>
                <w:szCs w:val="24"/>
              </w:rPr>
              <w:t>Average Age</w:t>
            </w:r>
          </w:p>
        </w:tc>
        <w:tc>
          <w:tcPr>
            <w:tcW w:w="3117" w:type="dxa"/>
          </w:tcPr>
          <w:p w14:paraId="026FAA6C" w14:textId="77777777" w:rsidR="004E49BD" w:rsidRPr="004E49BD" w:rsidRDefault="004E49BD" w:rsidP="008A186D">
            <w:pPr>
              <w:jc w:val="both"/>
              <w:rPr>
                <w:sz w:val="24"/>
                <w:szCs w:val="24"/>
              </w:rPr>
            </w:pPr>
            <w:r w:rsidRPr="004E49BD">
              <w:rPr>
                <w:sz w:val="24"/>
                <w:szCs w:val="24"/>
              </w:rPr>
              <w:t>37.52</w:t>
            </w:r>
          </w:p>
        </w:tc>
        <w:tc>
          <w:tcPr>
            <w:tcW w:w="3117" w:type="dxa"/>
          </w:tcPr>
          <w:p w14:paraId="10E9A96F" w14:textId="77777777" w:rsidR="004E49BD" w:rsidRPr="004E49BD" w:rsidRDefault="004E49BD" w:rsidP="008A186D">
            <w:pPr>
              <w:jc w:val="both"/>
              <w:rPr>
                <w:sz w:val="24"/>
                <w:szCs w:val="24"/>
              </w:rPr>
            </w:pPr>
            <w:r w:rsidRPr="004E49BD">
              <w:rPr>
                <w:sz w:val="24"/>
                <w:szCs w:val="24"/>
              </w:rPr>
              <w:t>41.21</w:t>
            </w:r>
          </w:p>
        </w:tc>
      </w:tr>
      <w:tr w:rsidR="004E49BD" w:rsidRPr="004E49BD" w14:paraId="784828BD" w14:textId="77777777">
        <w:tc>
          <w:tcPr>
            <w:tcW w:w="3116" w:type="dxa"/>
          </w:tcPr>
          <w:p w14:paraId="30FF63E3" w14:textId="77777777" w:rsidR="004E49BD" w:rsidRPr="004E49BD" w:rsidRDefault="004E49BD" w:rsidP="008A186D">
            <w:pPr>
              <w:jc w:val="both"/>
              <w:rPr>
                <w:sz w:val="24"/>
                <w:szCs w:val="24"/>
              </w:rPr>
            </w:pPr>
            <w:r w:rsidRPr="004E49BD">
              <w:rPr>
                <w:sz w:val="24"/>
                <w:szCs w:val="24"/>
              </w:rPr>
              <w:t>Average Tumor Size (cm)</w:t>
            </w:r>
          </w:p>
        </w:tc>
        <w:tc>
          <w:tcPr>
            <w:tcW w:w="3117" w:type="dxa"/>
          </w:tcPr>
          <w:p w14:paraId="50A7D84D" w14:textId="77777777" w:rsidR="004E49BD" w:rsidRPr="004E49BD" w:rsidRDefault="004E49BD" w:rsidP="008A186D">
            <w:pPr>
              <w:jc w:val="both"/>
              <w:rPr>
                <w:sz w:val="24"/>
                <w:szCs w:val="24"/>
              </w:rPr>
            </w:pPr>
            <w:r w:rsidRPr="004E49BD">
              <w:rPr>
                <w:sz w:val="24"/>
                <w:szCs w:val="24"/>
              </w:rPr>
              <w:t>6.02</w:t>
            </w:r>
          </w:p>
        </w:tc>
        <w:tc>
          <w:tcPr>
            <w:tcW w:w="3117" w:type="dxa"/>
          </w:tcPr>
          <w:p w14:paraId="5221DDD5" w14:textId="77777777" w:rsidR="004E49BD" w:rsidRPr="004E49BD" w:rsidRDefault="004E49BD" w:rsidP="008A186D">
            <w:pPr>
              <w:jc w:val="both"/>
              <w:rPr>
                <w:sz w:val="24"/>
                <w:szCs w:val="24"/>
              </w:rPr>
            </w:pPr>
            <w:r w:rsidRPr="004E49BD">
              <w:rPr>
                <w:sz w:val="24"/>
                <w:szCs w:val="24"/>
              </w:rPr>
              <w:t>5.97</w:t>
            </w:r>
          </w:p>
        </w:tc>
      </w:tr>
      <w:tr w:rsidR="004E49BD" w:rsidRPr="004E49BD" w14:paraId="1E4A5A0C" w14:textId="77777777">
        <w:tc>
          <w:tcPr>
            <w:tcW w:w="3116" w:type="dxa"/>
          </w:tcPr>
          <w:p w14:paraId="034FDE3D" w14:textId="77777777" w:rsidR="004E49BD" w:rsidRPr="004E49BD" w:rsidRDefault="004E49BD" w:rsidP="008A186D">
            <w:pPr>
              <w:jc w:val="both"/>
              <w:rPr>
                <w:sz w:val="24"/>
                <w:szCs w:val="24"/>
              </w:rPr>
            </w:pPr>
            <w:r w:rsidRPr="004E49BD">
              <w:rPr>
                <w:sz w:val="24"/>
                <w:szCs w:val="24"/>
              </w:rPr>
              <w:t>Average Intake per Year (vs. Overall)</w:t>
            </w:r>
          </w:p>
        </w:tc>
        <w:tc>
          <w:tcPr>
            <w:tcW w:w="3117" w:type="dxa"/>
          </w:tcPr>
          <w:p w14:paraId="2A0D7C24" w14:textId="77777777" w:rsidR="004E49BD" w:rsidRPr="004E49BD" w:rsidRDefault="004E49BD" w:rsidP="008A186D">
            <w:pPr>
              <w:jc w:val="both"/>
              <w:rPr>
                <w:sz w:val="24"/>
                <w:szCs w:val="24"/>
              </w:rPr>
            </w:pPr>
            <w:r w:rsidRPr="004E49BD">
              <w:rPr>
                <w:sz w:val="24"/>
                <w:szCs w:val="24"/>
              </w:rPr>
              <w:t>63.5 (↓)</w:t>
            </w:r>
          </w:p>
        </w:tc>
        <w:tc>
          <w:tcPr>
            <w:tcW w:w="3117" w:type="dxa"/>
          </w:tcPr>
          <w:p w14:paraId="62602A79" w14:textId="77777777" w:rsidR="004E49BD" w:rsidRPr="004E49BD" w:rsidRDefault="004E49BD" w:rsidP="008A186D">
            <w:pPr>
              <w:jc w:val="both"/>
              <w:rPr>
                <w:sz w:val="24"/>
                <w:szCs w:val="24"/>
              </w:rPr>
            </w:pPr>
            <w:r w:rsidRPr="004E49BD">
              <w:rPr>
                <w:sz w:val="24"/>
                <w:szCs w:val="24"/>
              </w:rPr>
              <w:t>7.6 (↓)</w:t>
            </w:r>
          </w:p>
        </w:tc>
      </w:tr>
      <w:tr w:rsidR="004E49BD" w:rsidRPr="004E49BD" w14:paraId="3C2B005B" w14:textId="77777777">
        <w:tc>
          <w:tcPr>
            <w:tcW w:w="3116" w:type="dxa"/>
          </w:tcPr>
          <w:p w14:paraId="256D3C07" w14:textId="77777777" w:rsidR="004E49BD" w:rsidRPr="004E49BD" w:rsidRDefault="004E49BD" w:rsidP="008A186D">
            <w:pPr>
              <w:jc w:val="both"/>
              <w:rPr>
                <w:sz w:val="24"/>
                <w:szCs w:val="24"/>
              </w:rPr>
            </w:pPr>
            <w:r w:rsidRPr="004E49BD">
              <w:rPr>
                <w:sz w:val="24"/>
                <w:szCs w:val="24"/>
              </w:rPr>
              <w:t>Most Affected Age Group</w:t>
            </w:r>
          </w:p>
        </w:tc>
        <w:tc>
          <w:tcPr>
            <w:tcW w:w="3117" w:type="dxa"/>
          </w:tcPr>
          <w:p w14:paraId="6AA49ED3" w14:textId="77777777" w:rsidR="004E49BD" w:rsidRPr="004E49BD" w:rsidRDefault="004E49BD" w:rsidP="008A186D">
            <w:pPr>
              <w:jc w:val="both"/>
              <w:rPr>
                <w:sz w:val="24"/>
                <w:szCs w:val="24"/>
              </w:rPr>
            </w:pPr>
            <w:r w:rsidRPr="004E49BD">
              <w:rPr>
                <w:sz w:val="24"/>
                <w:szCs w:val="24"/>
              </w:rPr>
              <w:t>21–30</w:t>
            </w:r>
          </w:p>
        </w:tc>
        <w:tc>
          <w:tcPr>
            <w:tcW w:w="3117" w:type="dxa"/>
          </w:tcPr>
          <w:p w14:paraId="486DED07" w14:textId="77777777" w:rsidR="004E49BD" w:rsidRPr="004E49BD" w:rsidRDefault="004E49BD" w:rsidP="008A186D">
            <w:pPr>
              <w:jc w:val="both"/>
              <w:rPr>
                <w:sz w:val="24"/>
                <w:szCs w:val="24"/>
              </w:rPr>
            </w:pPr>
            <w:r w:rsidRPr="004E49BD">
              <w:rPr>
                <w:sz w:val="24"/>
                <w:szCs w:val="24"/>
              </w:rPr>
              <w:t>31–40</w:t>
            </w:r>
          </w:p>
        </w:tc>
      </w:tr>
      <w:tr w:rsidR="004E49BD" w:rsidRPr="004E49BD" w14:paraId="2F9A2B81" w14:textId="77777777">
        <w:tc>
          <w:tcPr>
            <w:tcW w:w="3116" w:type="dxa"/>
          </w:tcPr>
          <w:p w14:paraId="58B98297" w14:textId="77777777" w:rsidR="004E49BD" w:rsidRPr="004E49BD" w:rsidRDefault="004E49BD" w:rsidP="008A186D">
            <w:pPr>
              <w:jc w:val="both"/>
              <w:rPr>
                <w:sz w:val="24"/>
                <w:szCs w:val="24"/>
              </w:rPr>
            </w:pPr>
            <w:r w:rsidRPr="004E49BD">
              <w:rPr>
                <w:sz w:val="24"/>
                <w:szCs w:val="24"/>
              </w:rPr>
              <w:t>MABR</w:t>
            </w:r>
          </w:p>
        </w:tc>
        <w:tc>
          <w:tcPr>
            <w:tcW w:w="3117" w:type="dxa"/>
          </w:tcPr>
          <w:p w14:paraId="5FD3CB65" w14:textId="77777777" w:rsidR="004E49BD" w:rsidRPr="004E49BD" w:rsidRDefault="004E49BD" w:rsidP="008A186D">
            <w:pPr>
              <w:jc w:val="both"/>
              <w:rPr>
                <w:sz w:val="24"/>
                <w:szCs w:val="24"/>
              </w:rPr>
            </w:pPr>
            <w:r w:rsidRPr="004E49BD">
              <w:rPr>
                <w:sz w:val="24"/>
                <w:szCs w:val="24"/>
              </w:rPr>
              <w:t>Cerebellum (30%)</w:t>
            </w:r>
          </w:p>
        </w:tc>
        <w:tc>
          <w:tcPr>
            <w:tcW w:w="3117" w:type="dxa"/>
          </w:tcPr>
          <w:p w14:paraId="5B2EDB26" w14:textId="77777777" w:rsidR="004E49BD" w:rsidRPr="004E49BD" w:rsidRDefault="004E49BD" w:rsidP="008A186D">
            <w:pPr>
              <w:jc w:val="both"/>
              <w:rPr>
                <w:sz w:val="24"/>
                <w:szCs w:val="24"/>
              </w:rPr>
            </w:pPr>
            <w:r w:rsidRPr="004E49BD">
              <w:rPr>
                <w:sz w:val="24"/>
                <w:szCs w:val="24"/>
              </w:rPr>
              <w:t>Cerebellum (32%)</w:t>
            </w:r>
          </w:p>
        </w:tc>
      </w:tr>
      <w:tr w:rsidR="004E49BD" w:rsidRPr="008F159E" w14:paraId="7059BC6D" w14:textId="77777777">
        <w:tc>
          <w:tcPr>
            <w:tcW w:w="3116" w:type="dxa"/>
          </w:tcPr>
          <w:p w14:paraId="4883C084" w14:textId="77777777" w:rsidR="004E49BD" w:rsidRPr="004E49BD" w:rsidRDefault="004E49BD" w:rsidP="008A186D">
            <w:pPr>
              <w:jc w:val="both"/>
              <w:rPr>
                <w:sz w:val="24"/>
                <w:szCs w:val="24"/>
              </w:rPr>
            </w:pPr>
            <w:r w:rsidRPr="004E49BD">
              <w:rPr>
                <w:sz w:val="24"/>
                <w:szCs w:val="24"/>
              </w:rPr>
              <w:t>Tumor Type Distribution</w:t>
            </w:r>
          </w:p>
        </w:tc>
        <w:tc>
          <w:tcPr>
            <w:tcW w:w="3117" w:type="dxa"/>
          </w:tcPr>
          <w:p w14:paraId="017D5AD4" w14:textId="77777777" w:rsidR="004E49BD" w:rsidRPr="004E49BD" w:rsidRDefault="004E49BD" w:rsidP="008A186D">
            <w:pPr>
              <w:jc w:val="both"/>
              <w:rPr>
                <w:sz w:val="24"/>
                <w:szCs w:val="24"/>
              </w:rPr>
            </w:pPr>
            <w:r w:rsidRPr="004E49BD">
              <w:rPr>
                <w:sz w:val="24"/>
                <w:szCs w:val="24"/>
              </w:rPr>
              <w:t>Ependymoma: 59.17%, Glioma: 40.83%</w:t>
            </w:r>
          </w:p>
        </w:tc>
        <w:tc>
          <w:tcPr>
            <w:tcW w:w="3117" w:type="dxa"/>
          </w:tcPr>
          <w:p w14:paraId="41122672" w14:textId="77777777" w:rsidR="004E49BD" w:rsidRPr="008F159E" w:rsidRDefault="004E49BD" w:rsidP="008A186D">
            <w:pPr>
              <w:jc w:val="both"/>
              <w:rPr>
                <w:sz w:val="24"/>
                <w:szCs w:val="24"/>
              </w:rPr>
            </w:pPr>
            <w:r w:rsidRPr="004E49BD">
              <w:rPr>
                <w:sz w:val="24"/>
                <w:szCs w:val="24"/>
              </w:rPr>
              <w:t>Ependymoma: 58.33%, Glioma: 41.67%</w:t>
            </w:r>
          </w:p>
        </w:tc>
      </w:tr>
    </w:tbl>
    <w:p w14:paraId="1FCC4726" w14:textId="77777777" w:rsidR="004E49BD" w:rsidRPr="004E49BD" w:rsidRDefault="004E49BD" w:rsidP="004E49BD">
      <w:pPr>
        <w:ind w:left="720"/>
        <w:jc w:val="both"/>
        <w:rPr>
          <w:sz w:val="24"/>
          <w:szCs w:val="24"/>
        </w:rPr>
      </w:pPr>
    </w:p>
    <w:p w14:paraId="4003EB3E" w14:textId="18917899" w:rsidR="008F159E" w:rsidRPr="008F159E" w:rsidRDefault="008F159E" w:rsidP="00760E0C">
      <w:pPr>
        <w:numPr>
          <w:ilvl w:val="0"/>
          <w:numId w:val="5"/>
        </w:numPr>
        <w:jc w:val="both"/>
        <w:rPr>
          <w:sz w:val="24"/>
          <w:szCs w:val="24"/>
        </w:rPr>
      </w:pPr>
      <w:r w:rsidRPr="008F159E">
        <w:rPr>
          <w:b/>
          <w:bCs/>
          <w:sz w:val="24"/>
          <w:szCs w:val="24"/>
        </w:rPr>
        <w:t>Distributions and Trends</w:t>
      </w:r>
      <w:r w:rsidRPr="008F159E">
        <w:rPr>
          <w:sz w:val="24"/>
          <w:szCs w:val="24"/>
        </w:rPr>
        <w:t>: Ependymomas prevail (~59%), with gliomas (aggressive cell-growth tumors) close behind. Cerebellum is most affected, linked to symptoms like dizziness. Annual diagnoses for confirmed cases hover at 49–75, stable but low volume.</w:t>
      </w:r>
    </w:p>
    <w:p w14:paraId="7164842F" w14:textId="77777777" w:rsidR="008F159E" w:rsidRPr="008F159E" w:rsidRDefault="008F159E" w:rsidP="00760E0C">
      <w:pPr>
        <w:numPr>
          <w:ilvl w:val="0"/>
          <w:numId w:val="5"/>
        </w:numPr>
        <w:jc w:val="both"/>
        <w:rPr>
          <w:sz w:val="24"/>
          <w:szCs w:val="24"/>
        </w:rPr>
      </w:pPr>
      <w:r w:rsidRPr="008F159E">
        <w:rPr>
          <w:b/>
          <w:bCs/>
          <w:sz w:val="24"/>
          <w:szCs w:val="24"/>
        </w:rPr>
        <w:t>Confirmed vs. Unconfirmed</w:t>
      </w:r>
      <w:r w:rsidRPr="008F159E">
        <w:rPr>
          <w:sz w:val="24"/>
          <w:szCs w:val="24"/>
        </w:rPr>
        <w:t xml:space="preserve">: Unconfirmed cases are rare (only 84), suggesting most high-grade suspicions lead to biopsies. Younger </w:t>
      </w:r>
      <w:proofErr w:type="gramStart"/>
      <w:r w:rsidRPr="008F159E">
        <w:rPr>
          <w:sz w:val="24"/>
          <w:szCs w:val="24"/>
        </w:rPr>
        <w:t>skew</w:t>
      </w:r>
      <w:proofErr w:type="gramEnd"/>
      <w:r w:rsidRPr="008F159E">
        <w:rPr>
          <w:sz w:val="24"/>
          <w:szCs w:val="24"/>
        </w:rPr>
        <w:t xml:space="preserve"> in confirmed cases may reflect urgent diagnostics in youth.</w:t>
      </w:r>
    </w:p>
    <w:p w14:paraId="382FF709" w14:textId="77777777" w:rsidR="008F159E" w:rsidRPr="008F159E" w:rsidRDefault="008F159E" w:rsidP="00760E0C">
      <w:pPr>
        <w:jc w:val="both"/>
        <w:rPr>
          <w:b/>
          <w:bCs/>
          <w:sz w:val="24"/>
          <w:szCs w:val="24"/>
        </w:rPr>
      </w:pPr>
      <w:r w:rsidRPr="008F159E">
        <w:rPr>
          <w:b/>
          <w:bCs/>
          <w:sz w:val="24"/>
          <w:szCs w:val="24"/>
        </w:rPr>
        <w:t>Grade 4 Tumors (Highly Aggressive, Malignant)</w:t>
      </w:r>
    </w:p>
    <w:p w14:paraId="2324E6C5" w14:textId="77777777" w:rsidR="008F159E" w:rsidRPr="008F159E" w:rsidRDefault="008F159E" w:rsidP="00760E0C">
      <w:pPr>
        <w:jc w:val="both"/>
        <w:rPr>
          <w:sz w:val="24"/>
          <w:szCs w:val="24"/>
        </w:rPr>
      </w:pPr>
      <w:r w:rsidRPr="008F159E">
        <w:rPr>
          <w:sz w:val="24"/>
          <w:szCs w:val="24"/>
        </w:rPr>
        <w:t>The most common grade at 40.81% (4,081 patients total), these tumors are the largest and pose the greatest challenge.</w:t>
      </w:r>
    </w:p>
    <w:tbl>
      <w:tblPr>
        <w:tblStyle w:val="TableGrid"/>
        <w:tblW w:w="9270" w:type="dxa"/>
        <w:tblInd w:w="85" w:type="dxa"/>
        <w:tblLook w:val="04A0" w:firstRow="1" w:lastRow="0" w:firstColumn="1" w:lastColumn="0" w:noHBand="0" w:noVBand="1"/>
      </w:tblPr>
      <w:tblGrid>
        <w:gridCol w:w="3060"/>
        <w:gridCol w:w="3060"/>
        <w:gridCol w:w="3150"/>
      </w:tblGrid>
      <w:tr w:rsidR="00BE647B" w:rsidRPr="00BE647B" w14:paraId="55DCEEEB" w14:textId="77777777" w:rsidTr="00BE647B">
        <w:tc>
          <w:tcPr>
            <w:tcW w:w="3060" w:type="dxa"/>
          </w:tcPr>
          <w:p w14:paraId="0251ED34" w14:textId="77777777" w:rsidR="00BE647B" w:rsidRPr="00BE647B" w:rsidRDefault="00BE647B" w:rsidP="0036168B">
            <w:pPr>
              <w:jc w:val="both"/>
              <w:rPr>
                <w:b/>
                <w:bCs/>
                <w:sz w:val="24"/>
                <w:szCs w:val="24"/>
              </w:rPr>
            </w:pPr>
            <w:r w:rsidRPr="00BE647B">
              <w:rPr>
                <w:b/>
                <w:bCs/>
                <w:sz w:val="24"/>
                <w:szCs w:val="24"/>
              </w:rPr>
              <w:lastRenderedPageBreak/>
              <w:t>KPI</w:t>
            </w:r>
          </w:p>
        </w:tc>
        <w:tc>
          <w:tcPr>
            <w:tcW w:w="3060" w:type="dxa"/>
          </w:tcPr>
          <w:p w14:paraId="1C05910A" w14:textId="77777777" w:rsidR="00BE647B" w:rsidRPr="00BE647B" w:rsidRDefault="00BE647B" w:rsidP="0036168B">
            <w:pPr>
              <w:jc w:val="both"/>
              <w:rPr>
                <w:b/>
                <w:bCs/>
                <w:sz w:val="24"/>
                <w:szCs w:val="24"/>
              </w:rPr>
            </w:pPr>
            <w:r w:rsidRPr="00BE647B">
              <w:rPr>
                <w:b/>
                <w:bCs/>
                <w:sz w:val="24"/>
                <w:szCs w:val="24"/>
              </w:rPr>
              <w:t>Confirmed (3,667 patients)</w:t>
            </w:r>
          </w:p>
        </w:tc>
        <w:tc>
          <w:tcPr>
            <w:tcW w:w="3150" w:type="dxa"/>
          </w:tcPr>
          <w:p w14:paraId="1C99DDC1" w14:textId="77777777" w:rsidR="00BE647B" w:rsidRPr="00BE647B" w:rsidRDefault="00BE647B" w:rsidP="0036168B">
            <w:pPr>
              <w:jc w:val="both"/>
              <w:rPr>
                <w:b/>
                <w:bCs/>
                <w:sz w:val="24"/>
                <w:szCs w:val="24"/>
              </w:rPr>
            </w:pPr>
            <w:r w:rsidRPr="00BE647B">
              <w:rPr>
                <w:b/>
                <w:bCs/>
                <w:sz w:val="24"/>
                <w:szCs w:val="24"/>
              </w:rPr>
              <w:t>Unconfirmed (414 patients)</w:t>
            </w:r>
          </w:p>
        </w:tc>
      </w:tr>
      <w:tr w:rsidR="00BE647B" w:rsidRPr="00BE647B" w14:paraId="08DD3E9B" w14:textId="77777777" w:rsidTr="00BE647B">
        <w:tc>
          <w:tcPr>
            <w:tcW w:w="3060" w:type="dxa"/>
          </w:tcPr>
          <w:p w14:paraId="17C69F9A" w14:textId="77777777" w:rsidR="00BE647B" w:rsidRPr="00BE647B" w:rsidRDefault="00BE647B" w:rsidP="0036168B">
            <w:pPr>
              <w:jc w:val="both"/>
              <w:rPr>
                <w:sz w:val="24"/>
                <w:szCs w:val="24"/>
              </w:rPr>
            </w:pPr>
            <w:r w:rsidRPr="00BE647B">
              <w:rPr>
                <w:sz w:val="24"/>
                <w:szCs w:val="24"/>
              </w:rPr>
              <w:t>Average Age</w:t>
            </w:r>
          </w:p>
        </w:tc>
        <w:tc>
          <w:tcPr>
            <w:tcW w:w="3060" w:type="dxa"/>
          </w:tcPr>
          <w:p w14:paraId="39E59A3B" w14:textId="77777777" w:rsidR="00BE647B" w:rsidRPr="00BE647B" w:rsidRDefault="00BE647B" w:rsidP="0036168B">
            <w:pPr>
              <w:jc w:val="both"/>
              <w:rPr>
                <w:sz w:val="24"/>
                <w:szCs w:val="24"/>
              </w:rPr>
            </w:pPr>
            <w:r w:rsidRPr="00BE647B">
              <w:rPr>
                <w:sz w:val="24"/>
                <w:szCs w:val="24"/>
              </w:rPr>
              <w:t>40.45</w:t>
            </w:r>
          </w:p>
        </w:tc>
        <w:tc>
          <w:tcPr>
            <w:tcW w:w="3150" w:type="dxa"/>
          </w:tcPr>
          <w:p w14:paraId="385AA79F" w14:textId="77777777" w:rsidR="00BE647B" w:rsidRPr="00BE647B" w:rsidRDefault="00BE647B" w:rsidP="0036168B">
            <w:pPr>
              <w:jc w:val="both"/>
              <w:rPr>
                <w:sz w:val="24"/>
                <w:szCs w:val="24"/>
              </w:rPr>
            </w:pPr>
            <w:r w:rsidRPr="00BE647B">
              <w:rPr>
                <w:sz w:val="24"/>
                <w:szCs w:val="24"/>
              </w:rPr>
              <w:t>40.77</w:t>
            </w:r>
          </w:p>
        </w:tc>
      </w:tr>
      <w:tr w:rsidR="00BE647B" w:rsidRPr="00BE647B" w14:paraId="3FEBAD62" w14:textId="77777777" w:rsidTr="00BE647B">
        <w:tc>
          <w:tcPr>
            <w:tcW w:w="3060" w:type="dxa"/>
          </w:tcPr>
          <w:p w14:paraId="2AB76A7F" w14:textId="77777777" w:rsidR="00BE647B" w:rsidRPr="00BE647B" w:rsidRDefault="00BE647B" w:rsidP="0036168B">
            <w:pPr>
              <w:jc w:val="both"/>
              <w:rPr>
                <w:sz w:val="24"/>
                <w:szCs w:val="24"/>
              </w:rPr>
            </w:pPr>
            <w:r w:rsidRPr="00BE647B">
              <w:rPr>
                <w:sz w:val="24"/>
                <w:szCs w:val="24"/>
              </w:rPr>
              <w:t>Average Tumor Size (cm)</w:t>
            </w:r>
          </w:p>
        </w:tc>
        <w:tc>
          <w:tcPr>
            <w:tcW w:w="3060" w:type="dxa"/>
          </w:tcPr>
          <w:p w14:paraId="597D47BA" w14:textId="77777777" w:rsidR="00BE647B" w:rsidRPr="00BE647B" w:rsidRDefault="00BE647B" w:rsidP="0036168B">
            <w:pPr>
              <w:jc w:val="both"/>
              <w:rPr>
                <w:sz w:val="24"/>
                <w:szCs w:val="24"/>
              </w:rPr>
            </w:pPr>
            <w:r w:rsidRPr="00BE647B">
              <w:rPr>
                <w:sz w:val="24"/>
                <w:szCs w:val="24"/>
              </w:rPr>
              <w:t>6.49</w:t>
            </w:r>
          </w:p>
        </w:tc>
        <w:tc>
          <w:tcPr>
            <w:tcW w:w="3150" w:type="dxa"/>
          </w:tcPr>
          <w:p w14:paraId="36359040" w14:textId="77777777" w:rsidR="00BE647B" w:rsidRPr="00BE647B" w:rsidRDefault="00BE647B" w:rsidP="0036168B">
            <w:pPr>
              <w:jc w:val="both"/>
              <w:rPr>
                <w:sz w:val="24"/>
                <w:szCs w:val="24"/>
              </w:rPr>
            </w:pPr>
            <w:r w:rsidRPr="00BE647B">
              <w:rPr>
                <w:sz w:val="24"/>
                <w:szCs w:val="24"/>
              </w:rPr>
              <w:t>6.54</w:t>
            </w:r>
          </w:p>
        </w:tc>
      </w:tr>
      <w:tr w:rsidR="00BE647B" w:rsidRPr="00BE647B" w14:paraId="319FF16E" w14:textId="77777777" w:rsidTr="00BE647B">
        <w:tc>
          <w:tcPr>
            <w:tcW w:w="3060" w:type="dxa"/>
          </w:tcPr>
          <w:p w14:paraId="4F67630A" w14:textId="77777777" w:rsidR="00BE647B" w:rsidRPr="00BE647B" w:rsidRDefault="00BE647B" w:rsidP="0036168B">
            <w:pPr>
              <w:jc w:val="both"/>
              <w:rPr>
                <w:sz w:val="24"/>
                <w:szCs w:val="24"/>
              </w:rPr>
            </w:pPr>
            <w:r w:rsidRPr="00BE647B">
              <w:rPr>
                <w:sz w:val="24"/>
                <w:szCs w:val="24"/>
              </w:rPr>
              <w:t>Average Intake per Year (vs. Overall)</w:t>
            </w:r>
          </w:p>
        </w:tc>
        <w:tc>
          <w:tcPr>
            <w:tcW w:w="3060" w:type="dxa"/>
          </w:tcPr>
          <w:p w14:paraId="4C4F59B0" w14:textId="77777777" w:rsidR="00BE647B" w:rsidRPr="00BE647B" w:rsidRDefault="00BE647B" w:rsidP="0036168B">
            <w:pPr>
              <w:jc w:val="both"/>
              <w:rPr>
                <w:sz w:val="24"/>
                <w:szCs w:val="24"/>
              </w:rPr>
            </w:pPr>
            <w:r w:rsidRPr="00BE647B">
              <w:rPr>
                <w:sz w:val="24"/>
                <w:szCs w:val="24"/>
              </w:rPr>
              <w:t>333.4 (↓)</w:t>
            </w:r>
          </w:p>
        </w:tc>
        <w:tc>
          <w:tcPr>
            <w:tcW w:w="3150" w:type="dxa"/>
          </w:tcPr>
          <w:p w14:paraId="1B3093B9" w14:textId="77777777" w:rsidR="00BE647B" w:rsidRPr="00BE647B" w:rsidRDefault="00BE647B" w:rsidP="0036168B">
            <w:pPr>
              <w:jc w:val="both"/>
              <w:rPr>
                <w:sz w:val="24"/>
                <w:szCs w:val="24"/>
              </w:rPr>
            </w:pPr>
            <w:r w:rsidRPr="00BE647B">
              <w:rPr>
                <w:sz w:val="24"/>
                <w:szCs w:val="24"/>
              </w:rPr>
              <w:t>37.6 (↓)</w:t>
            </w:r>
          </w:p>
        </w:tc>
      </w:tr>
      <w:tr w:rsidR="00BE647B" w:rsidRPr="00BE647B" w14:paraId="6EC9870F" w14:textId="77777777" w:rsidTr="00BE647B">
        <w:tc>
          <w:tcPr>
            <w:tcW w:w="3060" w:type="dxa"/>
          </w:tcPr>
          <w:p w14:paraId="5FFDDEE7" w14:textId="77777777" w:rsidR="00BE647B" w:rsidRPr="00BE647B" w:rsidRDefault="00BE647B" w:rsidP="0036168B">
            <w:pPr>
              <w:jc w:val="both"/>
              <w:rPr>
                <w:sz w:val="24"/>
                <w:szCs w:val="24"/>
              </w:rPr>
            </w:pPr>
            <w:r w:rsidRPr="00BE647B">
              <w:rPr>
                <w:sz w:val="24"/>
                <w:szCs w:val="24"/>
              </w:rPr>
              <w:t>Most Affected Age Group</w:t>
            </w:r>
          </w:p>
        </w:tc>
        <w:tc>
          <w:tcPr>
            <w:tcW w:w="3060" w:type="dxa"/>
          </w:tcPr>
          <w:p w14:paraId="295D2ADF" w14:textId="77777777" w:rsidR="00BE647B" w:rsidRPr="00BE647B" w:rsidRDefault="00BE647B" w:rsidP="0036168B">
            <w:pPr>
              <w:jc w:val="both"/>
              <w:rPr>
                <w:sz w:val="24"/>
                <w:szCs w:val="24"/>
              </w:rPr>
            </w:pPr>
            <w:r w:rsidRPr="00BE647B">
              <w:rPr>
                <w:sz w:val="24"/>
                <w:szCs w:val="24"/>
              </w:rPr>
              <w:t>60+</w:t>
            </w:r>
          </w:p>
        </w:tc>
        <w:tc>
          <w:tcPr>
            <w:tcW w:w="3150" w:type="dxa"/>
          </w:tcPr>
          <w:p w14:paraId="76427683" w14:textId="77777777" w:rsidR="00BE647B" w:rsidRPr="00BE647B" w:rsidRDefault="00BE647B" w:rsidP="0036168B">
            <w:pPr>
              <w:jc w:val="both"/>
              <w:rPr>
                <w:sz w:val="24"/>
                <w:szCs w:val="24"/>
              </w:rPr>
            </w:pPr>
            <w:r w:rsidRPr="00BE647B">
              <w:rPr>
                <w:sz w:val="24"/>
                <w:szCs w:val="24"/>
              </w:rPr>
              <w:t>60+</w:t>
            </w:r>
          </w:p>
        </w:tc>
      </w:tr>
      <w:tr w:rsidR="00BE647B" w:rsidRPr="00BE647B" w14:paraId="7D58551C" w14:textId="77777777" w:rsidTr="00BE647B">
        <w:tc>
          <w:tcPr>
            <w:tcW w:w="3060" w:type="dxa"/>
          </w:tcPr>
          <w:p w14:paraId="444F33E0" w14:textId="77777777" w:rsidR="00BE647B" w:rsidRPr="00BE647B" w:rsidRDefault="00BE647B" w:rsidP="0036168B">
            <w:pPr>
              <w:jc w:val="both"/>
              <w:rPr>
                <w:sz w:val="24"/>
                <w:szCs w:val="24"/>
              </w:rPr>
            </w:pPr>
            <w:r w:rsidRPr="00BE647B">
              <w:rPr>
                <w:sz w:val="24"/>
                <w:szCs w:val="24"/>
              </w:rPr>
              <w:t>MABR</w:t>
            </w:r>
          </w:p>
        </w:tc>
        <w:tc>
          <w:tcPr>
            <w:tcW w:w="3060" w:type="dxa"/>
          </w:tcPr>
          <w:p w14:paraId="2D85E1BB" w14:textId="77777777" w:rsidR="00BE647B" w:rsidRPr="00BE647B" w:rsidRDefault="00BE647B" w:rsidP="0036168B">
            <w:pPr>
              <w:jc w:val="both"/>
              <w:rPr>
                <w:sz w:val="24"/>
                <w:szCs w:val="24"/>
              </w:rPr>
            </w:pPr>
            <w:r w:rsidRPr="00BE647B">
              <w:rPr>
                <w:sz w:val="24"/>
                <w:szCs w:val="24"/>
              </w:rPr>
              <w:t>Cerebellum (24%)</w:t>
            </w:r>
          </w:p>
        </w:tc>
        <w:tc>
          <w:tcPr>
            <w:tcW w:w="3150" w:type="dxa"/>
          </w:tcPr>
          <w:p w14:paraId="0431961C" w14:textId="77777777" w:rsidR="00BE647B" w:rsidRPr="00BE647B" w:rsidRDefault="00BE647B" w:rsidP="0036168B">
            <w:pPr>
              <w:jc w:val="both"/>
              <w:rPr>
                <w:sz w:val="24"/>
                <w:szCs w:val="24"/>
              </w:rPr>
            </w:pPr>
            <w:r w:rsidRPr="00BE647B">
              <w:rPr>
                <w:sz w:val="24"/>
                <w:szCs w:val="24"/>
              </w:rPr>
              <w:t>Cerebellum (25%)</w:t>
            </w:r>
          </w:p>
        </w:tc>
      </w:tr>
      <w:tr w:rsidR="00BE647B" w:rsidRPr="00BE647B" w14:paraId="57723DA3" w14:textId="77777777" w:rsidTr="00BE647B">
        <w:tc>
          <w:tcPr>
            <w:tcW w:w="3060" w:type="dxa"/>
          </w:tcPr>
          <w:p w14:paraId="40C60211" w14:textId="77777777" w:rsidR="00BE647B" w:rsidRPr="00BE647B" w:rsidRDefault="00BE647B" w:rsidP="0036168B">
            <w:pPr>
              <w:jc w:val="both"/>
              <w:rPr>
                <w:sz w:val="24"/>
                <w:szCs w:val="24"/>
              </w:rPr>
            </w:pPr>
            <w:r w:rsidRPr="00BE647B">
              <w:rPr>
                <w:sz w:val="24"/>
                <w:szCs w:val="24"/>
              </w:rPr>
              <w:t>Tumor Type Distribution</w:t>
            </w:r>
          </w:p>
        </w:tc>
        <w:tc>
          <w:tcPr>
            <w:tcW w:w="3060" w:type="dxa"/>
          </w:tcPr>
          <w:p w14:paraId="074A196D" w14:textId="77777777" w:rsidR="00BE647B" w:rsidRPr="00BE647B" w:rsidRDefault="00BE647B" w:rsidP="0036168B">
            <w:pPr>
              <w:jc w:val="both"/>
              <w:rPr>
                <w:sz w:val="24"/>
                <w:szCs w:val="24"/>
              </w:rPr>
            </w:pPr>
            <w:r w:rsidRPr="00BE647B">
              <w:rPr>
                <w:sz w:val="24"/>
                <w:szCs w:val="24"/>
              </w:rPr>
              <w:t>Glioma: 75.51%, Medulloblastoma: 24.49%</w:t>
            </w:r>
          </w:p>
        </w:tc>
        <w:tc>
          <w:tcPr>
            <w:tcW w:w="3150" w:type="dxa"/>
          </w:tcPr>
          <w:p w14:paraId="40BE1682" w14:textId="77777777" w:rsidR="00BE647B" w:rsidRPr="00BE647B" w:rsidRDefault="00BE647B" w:rsidP="0036168B">
            <w:pPr>
              <w:jc w:val="both"/>
              <w:rPr>
                <w:sz w:val="24"/>
                <w:szCs w:val="24"/>
              </w:rPr>
            </w:pPr>
            <w:r w:rsidRPr="00BE647B">
              <w:rPr>
                <w:sz w:val="24"/>
                <w:szCs w:val="24"/>
              </w:rPr>
              <w:t>Glioma: 75.12%, Medulloblastoma: 24.88%</w:t>
            </w:r>
          </w:p>
        </w:tc>
      </w:tr>
    </w:tbl>
    <w:p w14:paraId="3FCCB995" w14:textId="77777777" w:rsidR="00BE647B" w:rsidRPr="00BE647B" w:rsidRDefault="00BE647B" w:rsidP="00BE647B">
      <w:pPr>
        <w:ind w:left="720"/>
        <w:jc w:val="both"/>
        <w:rPr>
          <w:sz w:val="24"/>
          <w:szCs w:val="24"/>
        </w:rPr>
      </w:pPr>
    </w:p>
    <w:p w14:paraId="4921D223" w14:textId="6F984645" w:rsidR="008F159E" w:rsidRPr="008F159E" w:rsidRDefault="008F159E" w:rsidP="00760E0C">
      <w:pPr>
        <w:numPr>
          <w:ilvl w:val="0"/>
          <w:numId w:val="6"/>
        </w:numPr>
        <w:jc w:val="both"/>
        <w:rPr>
          <w:sz w:val="24"/>
          <w:szCs w:val="24"/>
        </w:rPr>
      </w:pPr>
      <w:r w:rsidRPr="008F159E">
        <w:rPr>
          <w:b/>
          <w:bCs/>
          <w:sz w:val="24"/>
          <w:szCs w:val="24"/>
        </w:rPr>
        <w:t>Distributions and Trends</w:t>
      </w:r>
      <w:r w:rsidRPr="008F159E">
        <w:rPr>
          <w:sz w:val="24"/>
          <w:szCs w:val="24"/>
        </w:rPr>
        <w:t>: Gliomas dominate (~75%), with medulloblastomas (common in children) contributing to a bimodal age pattern—many elderly (60+) but average age ~40 due to pediatric cases. Cerebellum is key, affecting motor functions. Annual confirmed diagnoses range from 279–363, with peaks in 2016–2019, possibly tied to awareness or environmental factors.</w:t>
      </w:r>
    </w:p>
    <w:p w14:paraId="31875B83" w14:textId="77777777" w:rsidR="008F159E" w:rsidRPr="008F159E" w:rsidRDefault="008F159E" w:rsidP="00760E0C">
      <w:pPr>
        <w:numPr>
          <w:ilvl w:val="0"/>
          <w:numId w:val="6"/>
        </w:numPr>
        <w:jc w:val="both"/>
        <w:rPr>
          <w:sz w:val="24"/>
          <w:szCs w:val="24"/>
        </w:rPr>
      </w:pPr>
      <w:r w:rsidRPr="008F159E">
        <w:rPr>
          <w:b/>
          <w:bCs/>
          <w:sz w:val="24"/>
          <w:szCs w:val="24"/>
        </w:rPr>
        <w:t>Confirmed vs. Unconfirmed</w:t>
      </w:r>
      <w:r w:rsidRPr="008F159E">
        <w:rPr>
          <w:sz w:val="24"/>
          <w:szCs w:val="24"/>
        </w:rPr>
        <w:t>: High confirmation rate (89.9% of Grade 4), reflecting urgency for accurate typing in aggressive cases.</w:t>
      </w:r>
    </w:p>
    <w:p w14:paraId="30CE7F6A" w14:textId="77777777" w:rsidR="008F159E" w:rsidRPr="008F159E" w:rsidRDefault="008F159E" w:rsidP="00760E0C">
      <w:pPr>
        <w:jc w:val="both"/>
        <w:rPr>
          <w:b/>
          <w:bCs/>
          <w:sz w:val="24"/>
          <w:szCs w:val="24"/>
        </w:rPr>
      </w:pPr>
      <w:r w:rsidRPr="008F159E">
        <w:rPr>
          <w:b/>
          <w:bCs/>
          <w:sz w:val="24"/>
          <w:szCs w:val="24"/>
        </w:rPr>
        <w:t>Overall Insights</w:t>
      </w:r>
    </w:p>
    <w:p w14:paraId="7CFAE2A4" w14:textId="77777777" w:rsidR="008F159E" w:rsidRPr="008F159E" w:rsidRDefault="008F159E" w:rsidP="00760E0C">
      <w:pPr>
        <w:numPr>
          <w:ilvl w:val="0"/>
          <w:numId w:val="7"/>
        </w:numPr>
        <w:jc w:val="both"/>
        <w:rPr>
          <w:sz w:val="24"/>
          <w:szCs w:val="24"/>
        </w:rPr>
      </w:pPr>
      <w:r w:rsidRPr="008F159E">
        <w:rPr>
          <w:b/>
          <w:bCs/>
          <w:sz w:val="24"/>
          <w:szCs w:val="24"/>
        </w:rPr>
        <w:t>Tumor Progression Patterns</w:t>
      </w:r>
      <w:r w:rsidRPr="008F159E">
        <w:rPr>
          <w:sz w:val="24"/>
          <w:szCs w:val="24"/>
        </w:rPr>
        <w:t>: Tumor size increases with grade (from ~2 cm in Grade 1 to ~6.5 cm in Grade 4), correlating with aggressiveness. Lower grades favor older patients (50s), while higher grades impact a broader range, including youth (e.g., Grade 3's 21–30 group).</w:t>
      </w:r>
    </w:p>
    <w:p w14:paraId="3FD5A550" w14:textId="77777777" w:rsidR="008F159E" w:rsidRPr="008F159E" w:rsidRDefault="008F159E" w:rsidP="00760E0C">
      <w:pPr>
        <w:numPr>
          <w:ilvl w:val="0"/>
          <w:numId w:val="7"/>
        </w:numPr>
        <w:jc w:val="both"/>
        <w:rPr>
          <w:sz w:val="24"/>
          <w:szCs w:val="24"/>
        </w:rPr>
      </w:pPr>
      <w:r w:rsidRPr="008F159E">
        <w:rPr>
          <w:b/>
          <w:bCs/>
          <w:sz w:val="24"/>
          <w:szCs w:val="24"/>
        </w:rPr>
        <w:t>Regional Impacts</w:t>
      </w:r>
      <w:r w:rsidRPr="008F159E">
        <w:rPr>
          <w:sz w:val="24"/>
          <w:szCs w:val="24"/>
        </w:rPr>
        <w:t>: Pituitary dominates low grades (hormone/vision-related), shifting to cerebellum/brainstem in higher grades (balance/motor issues).</w:t>
      </w:r>
    </w:p>
    <w:p w14:paraId="0233D219" w14:textId="77777777" w:rsidR="008F159E" w:rsidRPr="008F159E" w:rsidRDefault="008F159E" w:rsidP="00760E0C">
      <w:pPr>
        <w:numPr>
          <w:ilvl w:val="0"/>
          <w:numId w:val="7"/>
        </w:numPr>
        <w:jc w:val="both"/>
        <w:rPr>
          <w:sz w:val="24"/>
          <w:szCs w:val="24"/>
        </w:rPr>
      </w:pPr>
      <w:r w:rsidRPr="008F159E">
        <w:rPr>
          <w:b/>
          <w:bCs/>
          <w:sz w:val="24"/>
          <w:szCs w:val="24"/>
        </w:rPr>
        <w:t>Trends Over Time</w:t>
      </w:r>
      <w:r w:rsidRPr="008F159E">
        <w:rPr>
          <w:sz w:val="24"/>
          <w:szCs w:val="24"/>
        </w:rPr>
        <w:t>: Diagnoses fluctuate annually (e.g., overall peak in 2023 at ~1,000+ cases), but no exponential rise, suggesting stable incidence amid population growth.</w:t>
      </w:r>
    </w:p>
    <w:p w14:paraId="190FA901" w14:textId="77777777" w:rsidR="008F159E" w:rsidRPr="008F159E" w:rsidRDefault="008F159E" w:rsidP="00760E0C">
      <w:pPr>
        <w:numPr>
          <w:ilvl w:val="0"/>
          <w:numId w:val="7"/>
        </w:numPr>
        <w:jc w:val="both"/>
        <w:rPr>
          <w:sz w:val="24"/>
          <w:szCs w:val="24"/>
        </w:rPr>
      </w:pPr>
      <w:r w:rsidRPr="008F159E">
        <w:rPr>
          <w:b/>
          <w:bCs/>
          <w:sz w:val="24"/>
          <w:szCs w:val="24"/>
        </w:rPr>
        <w:t>Confirmation Disparities</w:t>
      </w:r>
      <w:r w:rsidRPr="008F159E">
        <w:rPr>
          <w:sz w:val="24"/>
          <w:szCs w:val="24"/>
        </w:rPr>
        <w:t>: 7,821 confirmed vs. 2,179 unconfirmed cases; unconfirmed are fewer in higher grades, indicating biopsies are prioritized for severe tumors.</w:t>
      </w:r>
    </w:p>
    <w:p w14:paraId="08D34D62" w14:textId="77777777" w:rsidR="008F159E" w:rsidRPr="008F159E" w:rsidRDefault="008F159E" w:rsidP="00760E0C">
      <w:pPr>
        <w:jc w:val="both"/>
        <w:rPr>
          <w:b/>
          <w:bCs/>
          <w:sz w:val="24"/>
          <w:szCs w:val="24"/>
        </w:rPr>
      </w:pPr>
      <w:r w:rsidRPr="008F159E">
        <w:rPr>
          <w:b/>
          <w:bCs/>
          <w:sz w:val="24"/>
          <w:szCs w:val="24"/>
        </w:rPr>
        <w:t>Implications for the Health Sector</w:t>
      </w:r>
    </w:p>
    <w:p w14:paraId="2D4C4DB1" w14:textId="77777777" w:rsidR="008F159E" w:rsidRPr="008F159E" w:rsidRDefault="008F159E" w:rsidP="00760E0C">
      <w:pPr>
        <w:jc w:val="both"/>
        <w:rPr>
          <w:sz w:val="24"/>
          <w:szCs w:val="24"/>
        </w:rPr>
      </w:pPr>
      <w:r w:rsidRPr="008F159E">
        <w:rPr>
          <w:sz w:val="24"/>
          <w:szCs w:val="24"/>
        </w:rPr>
        <w:t>This analysis offers actionable insights for healthcare providers, policymakers, and researchers:</w:t>
      </w:r>
    </w:p>
    <w:p w14:paraId="634D55C4" w14:textId="77777777" w:rsidR="008F159E" w:rsidRPr="008F159E" w:rsidRDefault="008F159E" w:rsidP="00760E0C">
      <w:pPr>
        <w:numPr>
          <w:ilvl w:val="0"/>
          <w:numId w:val="8"/>
        </w:numPr>
        <w:jc w:val="both"/>
        <w:rPr>
          <w:sz w:val="24"/>
          <w:szCs w:val="24"/>
        </w:rPr>
      </w:pPr>
      <w:r w:rsidRPr="008F159E">
        <w:rPr>
          <w:b/>
          <w:bCs/>
          <w:sz w:val="24"/>
          <w:szCs w:val="24"/>
        </w:rPr>
        <w:t>Early Detection and Screening</w:t>
      </w:r>
      <w:r w:rsidRPr="008F159E">
        <w:rPr>
          <w:sz w:val="24"/>
          <w:szCs w:val="24"/>
        </w:rPr>
        <w:t>: Grade 1 tumors, often symptomatic (e.g., headaches, vision issues), are common in 41–50-year-olds. Targeted MRI screening for this group could catch tumors early, reducing progression to higher grades. Public campaigns emphasizing symptoms like weakness or balance problems may encourage timely consultations.</w:t>
      </w:r>
    </w:p>
    <w:p w14:paraId="28E03192" w14:textId="77777777" w:rsidR="008F159E" w:rsidRPr="008F159E" w:rsidRDefault="008F159E" w:rsidP="00760E0C">
      <w:pPr>
        <w:numPr>
          <w:ilvl w:val="0"/>
          <w:numId w:val="8"/>
        </w:numPr>
        <w:jc w:val="both"/>
        <w:rPr>
          <w:sz w:val="24"/>
          <w:szCs w:val="24"/>
        </w:rPr>
      </w:pPr>
      <w:r w:rsidRPr="008F159E">
        <w:rPr>
          <w:b/>
          <w:bCs/>
          <w:sz w:val="24"/>
          <w:szCs w:val="24"/>
        </w:rPr>
        <w:t>Resource Allocation</w:t>
      </w:r>
      <w:r w:rsidRPr="008F159E">
        <w:rPr>
          <w:sz w:val="24"/>
          <w:szCs w:val="24"/>
        </w:rPr>
        <w:t xml:space="preserve">: With Grade 4 comprising over 40% of cases, hospitals should prioritize oncology resources (e.g., radiation, chemotherapy) for aggressive treatments. </w:t>
      </w:r>
      <w:r w:rsidRPr="008F159E">
        <w:rPr>
          <w:sz w:val="24"/>
          <w:szCs w:val="24"/>
        </w:rPr>
        <w:lastRenderedPageBreak/>
        <w:t>The cerebellum's frequent involvement suggests need for specialized neurology teams focusing on motor rehabilitation.</w:t>
      </w:r>
    </w:p>
    <w:p w14:paraId="3BDA810F" w14:textId="77777777" w:rsidR="008F159E" w:rsidRPr="008F159E" w:rsidRDefault="008F159E" w:rsidP="00760E0C">
      <w:pPr>
        <w:numPr>
          <w:ilvl w:val="0"/>
          <w:numId w:val="8"/>
        </w:numPr>
        <w:jc w:val="both"/>
        <w:rPr>
          <w:sz w:val="24"/>
          <w:szCs w:val="24"/>
        </w:rPr>
      </w:pPr>
      <w:r w:rsidRPr="008F159E">
        <w:rPr>
          <w:b/>
          <w:bCs/>
          <w:sz w:val="24"/>
          <w:szCs w:val="24"/>
        </w:rPr>
        <w:t>Age-Specific Interventions</w:t>
      </w:r>
      <w:r w:rsidRPr="008F159E">
        <w:rPr>
          <w:sz w:val="24"/>
          <w:szCs w:val="24"/>
        </w:rPr>
        <w:t>: Higher grades affect younger patients (e.g., Grade 3 in 20s–30s), potentially linked to genetic or environmental factors. Pediatric programs for medulloblastomas (in Grade 4) could improve survival rates, while geriatric care addresses the 60+ skew.</w:t>
      </w:r>
    </w:p>
    <w:p w14:paraId="4896002E" w14:textId="77777777" w:rsidR="008F159E" w:rsidRPr="008F159E" w:rsidRDefault="008F159E" w:rsidP="00760E0C">
      <w:pPr>
        <w:numPr>
          <w:ilvl w:val="0"/>
          <w:numId w:val="8"/>
        </w:numPr>
        <w:jc w:val="both"/>
        <w:rPr>
          <w:sz w:val="24"/>
          <w:szCs w:val="24"/>
        </w:rPr>
      </w:pPr>
      <w:r w:rsidRPr="008F159E">
        <w:rPr>
          <w:b/>
          <w:bCs/>
          <w:sz w:val="24"/>
          <w:szCs w:val="24"/>
        </w:rPr>
        <w:t>Diagnostic Improvements</w:t>
      </w:r>
      <w:r w:rsidRPr="008F159E">
        <w:rPr>
          <w:sz w:val="24"/>
          <w:szCs w:val="24"/>
        </w:rPr>
        <w:t>: The high confirmation rate is positive, but unconfirmed cases (especially in lower grades) may reflect barriers like biopsy risks or access. Investing in non-invasive tech (e.g., advanced imaging or liquid biopsies) could confirm more cases without surgery, aiding personalized treatment.</w:t>
      </w:r>
    </w:p>
    <w:p w14:paraId="3D91B57C" w14:textId="77777777" w:rsidR="008F159E" w:rsidRPr="008F159E" w:rsidRDefault="008F159E" w:rsidP="00760E0C">
      <w:pPr>
        <w:numPr>
          <w:ilvl w:val="0"/>
          <w:numId w:val="8"/>
        </w:numPr>
        <w:jc w:val="both"/>
        <w:rPr>
          <w:sz w:val="24"/>
          <w:szCs w:val="24"/>
        </w:rPr>
      </w:pPr>
      <w:r w:rsidRPr="008F159E">
        <w:rPr>
          <w:b/>
          <w:bCs/>
          <w:sz w:val="24"/>
          <w:szCs w:val="24"/>
        </w:rPr>
        <w:t>Public Health and Research</w:t>
      </w:r>
      <w:r w:rsidRPr="008F159E">
        <w:rPr>
          <w:sz w:val="24"/>
          <w:szCs w:val="24"/>
        </w:rPr>
        <w:t>: Fluctuating trends warrant investigation into causes (e.g., pollution, genetics). Data like this supports funding for brain tumor research, potentially leading to new therapies. In regions like Nigeria (user location: Abuja), where healthcare access varies, these insights could inform national cancer registries for better policy.</w:t>
      </w:r>
    </w:p>
    <w:p w14:paraId="19EC288C" w14:textId="77777777" w:rsidR="008F159E" w:rsidRPr="008F159E" w:rsidRDefault="008F159E" w:rsidP="00760E0C">
      <w:pPr>
        <w:jc w:val="both"/>
        <w:rPr>
          <w:sz w:val="24"/>
          <w:szCs w:val="24"/>
        </w:rPr>
      </w:pPr>
      <w:r w:rsidRPr="008F159E">
        <w:rPr>
          <w:sz w:val="24"/>
          <w:szCs w:val="24"/>
        </w:rPr>
        <w:t xml:space="preserve">By addressing these areas, the health sector can mitigate the impact of brain tumors, </w:t>
      </w:r>
      <w:proofErr w:type="gramStart"/>
      <w:r w:rsidRPr="008F159E">
        <w:rPr>
          <w:sz w:val="24"/>
          <w:szCs w:val="24"/>
        </w:rPr>
        <w:t>enhancing</w:t>
      </w:r>
      <w:proofErr w:type="gramEnd"/>
      <w:r w:rsidRPr="008F159E">
        <w:rPr>
          <w:sz w:val="24"/>
          <w:szCs w:val="24"/>
        </w:rPr>
        <w:t xml:space="preserve"> patient outcomes and reducing economic burdens from advanced-stage care.</w:t>
      </w:r>
    </w:p>
    <w:p w14:paraId="13DC35D0" w14:textId="77777777" w:rsidR="008F159E" w:rsidRPr="008F159E" w:rsidRDefault="008F159E" w:rsidP="00760E0C">
      <w:pPr>
        <w:jc w:val="both"/>
        <w:rPr>
          <w:b/>
          <w:bCs/>
          <w:sz w:val="24"/>
          <w:szCs w:val="24"/>
        </w:rPr>
      </w:pPr>
      <w:r w:rsidRPr="008F159E">
        <w:rPr>
          <w:b/>
          <w:bCs/>
          <w:sz w:val="24"/>
          <w:szCs w:val="24"/>
        </w:rPr>
        <w:t>Conclusion</w:t>
      </w:r>
    </w:p>
    <w:p w14:paraId="020933D3" w14:textId="77777777" w:rsidR="008F159E" w:rsidRPr="008F159E" w:rsidRDefault="008F159E" w:rsidP="00760E0C">
      <w:pPr>
        <w:jc w:val="both"/>
        <w:rPr>
          <w:sz w:val="24"/>
          <w:szCs w:val="24"/>
        </w:rPr>
      </w:pPr>
      <w:r w:rsidRPr="008F159E">
        <w:rPr>
          <w:sz w:val="24"/>
          <w:szCs w:val="24"/>
        </w:rPr>
        <w:t>This brain tumor analysis underscores the varied nature of the disease across grades, with lower grades being more manageable and higher grades demanding urgent action. The findings highlight opportunities for prevention, better diagnostics, and targeted care, ultimately contributing to a healthier society. Future analyses could incorporate survival rates or treatment outcomes for deeper insights.</w:t>
      </w:r>
    </w:p>
    <w:p w14:paraId="4C76D0D2" w14:textId="77777777" w:rsidR="002C064F" w:rsidRPr="00760E0C" w:rsidRDefault="002C064F" w:rsidP="00760E0C">
      <w:pPr>
        <w:jc w:val="both"/>
        <w:rPr>
          <w:sz w:val="24"/>
          <w:szCs w:val="24"/>
        </w:rPr>
      </w:pPr>
    </w:p>
    <w:sectPr w:rsidR="002C064F" w:rsidRPr="00760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3F6A"/>
    <w:multiLevelType w:val="multilevel"/>
    <w:tmpl w:val="272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75E82"/>
    <w:multiLevelType w:val="multilevel"/>
    <w:tmpl w:val="E84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E0FF4"/>
    <w:multiLevelType w:val="multilevel"/>
    <w:tmpl w:val="637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569B7"/>
    <w:multiLevelType w:val="multilevel"/>
    <w:tmpl w:val="DE2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5793A"/>
    <w:multiLevelType w:val="multilevel"/>
    <w:tmpl w:val="137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61A85"/>
    <w:multiLevelType w:val="multilevel"/>
    <w:tmpl w:val="22B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C7BE1"/>
    <w:multiLevelType w:val="multilevel"/>
    <w:tmpl w:val="53A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B1250"/>
    <w:multiLevelType w:val="multilevel"/>
    <w:tmpl w:val="86A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643421">
    <w:abstractNumId w:val="5"/>
  </w:num>
  <w:num w:numId="2" w16cid:durableId="1197499257">
    <w:abstractNumId w:val="1"/>
  </w:num>
  <w:num w:numId="3" w16cid:durableId="1090617250">
    <w:abstractNumId w:val="4"/>
  </w:num>
  <w:num w:numId="4" w16cid:durableId="1625651787">
    <w:abstractNumId w:val="7"/>
  </w:num>
  <w:num w:numId="5" w16cid:durableId="328944894">
    <w:abstractNumId w:val="2"/>
  </w:num>
  <w:num w:numId="6" w16cid:durableId="1292319721">
    <w:abstractNumId w:val="3"/>
  </w:num>
  <w:num w:numId="7" w16cid:durableId="2017151877">
    <w:abstractNumId w:val="0"/>
  </w:num>
  <w:num w:numId="8" w16cid:durableId="1299141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9E"/>
    <w:rsid w:val="002C064F"/>
    <w:rsid w:val="004E49BD"/>
    <w:rsid w:val="00527BD3"/>
    <w:rsid w:val="00760E0C"/>
    <w:rsid w:val="008F159E"/>
    <w:rsid w:val="00A72470"/>
    <w:rsid w:val="00BE647B"/>
    <w:rsid w:val="00D61F82"/>
    <w:rsid w:val="00E755F8"/>
    <w:rsid w:val="00F80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EF1E"/>
  <w15:chartTrackingRefBased/>
  <w15:docId w15:val="{48C8C1E3-4B34-4130-90C6-AF25BA65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59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15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159E"/>
    <w:pPr>
      <w:keepNext/>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iPriority w:val="9"/>
    <w:semiHidden/>
    <w:unhideWhenUsed/>
    <w:qFormat/>
    <w:rsid w:val="008F159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F159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8F15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5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5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5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9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15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159E"/>
    <w:rPr>
      <w:rFonts w:asciiTheme="minorHAnsi" w:eastAsiaTheme="majorEastAsia" w:hAnsiTheme="minorHAnsi" w:cstheme="majorBidi"/>
      <w:color w:val="2E74B5" w:themeColor="accent1" w:themeShade="BF"/>
    </w:rPr>
  </w:style>
  <w:style w:type="character" w:customStyle="1" w:styleId="Heading4Char">
    <w:name w:val="Heading 4 Char"/>
    <w:basedOn w:val="DefaultParagraphFont"/>
    <w:link w:val="Heading4"/>
    <w:uiPriority w:val="9"/>
    <w:semiHidden/>
    <w:rsid w:val="008F159E"/>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8F159E"/>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8F15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15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15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15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59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F159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F159E"/>
    <w:pPr>
      <w:spacing w:before="160"/>
      <w:jc w:val="center"/>
    </w:pPr>
    <w:rPr>
      <w:i/>
      <w:iCs/>
      <w:color w:val="404040" w:themeColor="text1" w:themeTint="BF"/>
    </w:rPr>
  </w:style>
  <w:style w:type="character" w:customStyle="1" w:styleId="QuoteChar">
    <w:name w:val="Quote Char"/>
    <w:basedOn w:val="DefaultParagraphFont"/>
    <w:link w:val="Quote"/>
    <w:uiPriority w:val="29"/>
    <w:rsid w:val="008F159E"/>
    <w:rPr>
      <w:i/>
      <w:iCs/>
      <w:color w:val="404040" w:themeColor="text1" w:themeTint="BF"/>
    </w:rPr>
  </w:style>
  <w:style w:type="paragraph" w:styleId="ListParagraph">
    <w:name w:val="List Paragraph"/>
    <w:basedOn w:val="Normal"/>
    <w:uiPriority w:val="34"/>
    <w:qFormat/>
    <w:rsid w:val="008F159E"/>
    <w:pPr>
      <w:ind w:left="720"/>
      <w:contextualSpacing/>
    </w:pPr>
  </w:style>
  <w:style w:type="character" w:styleId="IntenseEmphasis">
    <w:name w:val="Intense Emphasis"/>
    <w:basedOn w:val="DefaultParagraphFont"/>
    <w:uiPriority w:val="21"/>
    <w:qFormat/>
    <w:rsid w:val="008F159E"/>
    <w:rPr>
      <w:i/>
      <w:iCs/>
      <w:color w:val="2E74B5" w:themeColor="accent1" w:themeShade="BF"/>
    </w:rPr>
  </w:style>
  <w:style w:type="paragraph" w:styleId="IntenseQuote">
    <w:name w:val="Intense Quote"/>
    <w:basedOn w:val="Normal"/>
    <w:next w:val="Normal"/>
    <w:link w:val="IntenseQuoteChar"/>
    <w:uiPriority w:val="30"/>
    <w:qFormat/>
    <w:rsid w:val="008F15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159E"/>
    <w:rPr>
      <w:i/>
      <w:iCs/>
      <w:color w:val="2E74B5" w:themeColor="accent1" w:themeShade="BF"/>
    </w:rPr>
  </w:style>
  <w:style w:type="character" w:styleId="IntenseReference">
    <w:name w:val="Intense Reference"/>
    <w:basedOn w:val="DefaultParagraphFont"/>
    <w:uiPriority w:val="32"/>
    <w:qFormat/>
    <w:rsid w:val="008F159E"/>
    <w:rPr>
      <w:b/>
      <w:bCs/>
      <w:smallCaps/>
      <w:color w:val="2E74B5" w:themeColor="accent1" w:themeShade="BF"/>
      <w:spacing w:val="5"/>
    </w:rPr>
  </w:style>
  <w:style w:type="table" w:styleId="TableGrid">
    <w:name w:val="Table Grid"/>
    <w:basedOn w:val="TableNormal"/>
    <w:uiPriority w:val="39"/>
    <w:rsid w:val="00760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1570</Words>
  <Characters>8950</Characters>
  <Application>Microsoft Office Word</Application>
  <DocSecurity>0</DocSecurity>
  <Lines>74</Lines>
  <Paragraphs>20</Paragraphs>
  <ScaleCrop>false</ScaleCrop>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Toluwanimi Raji</dc:creator>
  <cp:keywords/>
  <dc:description/>
  <cp:lastModifiedBy>Toluwanimi Raji</cp:lastModifiedBy>
  <cp:revision>4</cp:revision>
  <dcterms:created xsi:type="dcterms:W3CDTF">2026-02-24T11:42:00Z</dcterms:created>
  <dcterms:modified xsi:type="dcterms:W3CDTF">2026-02-24T11:48:00Z</dcterms:modified>
</cp:coreProperties>
</file>