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 Format Example</w:t>
      </w:r>
    </w:p>
    <w:p>
      <w:r>
        <w:t>This example demonstrates how to create and use a custom format in the mformat framework.</w:t>
      </w:r>
      <w:r>
        <w:t xml:space="preserve"> The same code can be used to write to different formats, just by changing the format name.</w:t>
      </w:r>
    </w:p>
    <w:p>
      <w:pPr>
        <w:pStyle w:val="Heading2"/>
      </w:pPr>
      <w:r>
        <w:t>Features</w:t>
      </w:r>
    </w:p>
    <w:p>
      <w:pPr>
        <w:pStyle w:val="ListBullet"/>
      </w:pPr>
      <w:r>
        <w:t>Easy to extend the framework</w:t>
      </w:r>
    </w:p>
    <w:p>
      <w:pPr>
        <w:pStyle w:val="ListBullet"/>
      </w:pPr>
      <w:r>
        <w:t>Supports most standard document elements</w:t>
      </w:r>
    </w:p>
    <w:p>
      <w:pPr>
        <w:pStyle w:val="ListBullet"/>
      </w:pPr>
      <w:r>
        <w:t>Format-agnostic API</w:t>
      </w:r>
    </w:p>
    <w:p>
      <w:pPr>
        <w:ind w:left="720" w:hanging="720"/>
        <w:tabs>
          <w:tab w:val="left" w:pos="720"/>
        </w:tabs>
      </w:pPr>
      <w:r>
        <w:t>1.</w:t>
      </w:r>
      <w:r>
        <w:tab/>
      </w:r>
      <w:r>
        <w:t>First step: Create a format class</w:t>
      </w:r>
    </w:p>
    <w:p>
      <w:pPr>
        <w:ind w:left="720" w:hanging="720"/>
        <w:tabs>
          <w:tab w:val="left" w:pos="720"/>
        </w:tabs>
      </w:pPr>
      <w:r>
        <w:t>2.</w:t>
      </w:r>
      <w:r>
        <w:tab/>
      </w:r>
      <w:r>
        <w:t>Second step: Implement required methods</w:t>
      </w:r>
    </w:p>
    <w:p>
      <w:pPr>
        <w:ind w:left="720" w:hanging="720"/>
        <w:tabs>
          <w:tab w:val="left" w:pos="720"/>
        </w:tabs>
      </w:pPr>
      <w:r>
        <w:t>3.</w:t>
      </w:r>
      <w:r>
        <w:tab/>
      </w:r>
      <w:r>
        <w:t>Third step: Register the format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4320"/>
          </w:tcPr>
          <w:p>
            <w:r>
              <w:t>Paragraph</w:t>
            </w:r>
          </w:p>
        </w:tc>
        <w:tc>
          <w:tcPr>
            <w:tcW w:type="dxa" w:w="4320"/>
          </w:tcPr>
          <w:p>
            <w:r>
              <w:t>new_paragraph()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new_heading()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new_bullet_item()</w:t>
            </w:r>
          </w:p>
        </w:tc>
      </w:tr>
    </w:tbl>
    <w:p/>
    <w:p>
      <w:pPr>
        <w:pStyle w:val="NoSpacing"/>
      </w:pPr>
      <w:r>
        <w:rPr>
          <w:rFonts w:ascii="Courier New" w:hAnsi="Courier New"/>
        </w:rPr>
        <w:t>def example():</w:t>
        <w:br/>
        <w:t xml:space="preserve">    print("Hello, World!")</w:t>
      </w:r>
    </w:p>
    <w:p>
      <w:r>
        <w:t>This text is</w:t>
      </w:r>
      <w:r>
        <w:rPr>
          <w:b/>
        </w:rPr>
        <w:t xml:space="preserve"> bold</w:t>
      </w:r>
      <w:r>
        <w:t xml:space="preserve"> and this is</w:t>
      </w:r>
      <w:r>
        <w:rPr>
          <w:i/>
        </w:rPr>
        <w:t xml:space="preserve"> italic</w:t>
      </w:r>
      <w:r>
        <w:t xml:space="preserve"> .</w:t>
      </w:r>
    </w:p>
    <w:p>
      <w:r>
        <w:t>Visit</w:t>
      </w:r>
      <w:r>
        <w:t xml:space="preserve"> </w:t>
      </w:r>
      <w:hyperlink r:id="rId9">
        <w:r>
          <w:rPr>
            <w:color w:val="0000FF"/>
            <w:u w:val="single"/>
          </w:rPr>
          <w:t>our website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