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is the first heading,</w:t>
      </w:r>
      <w:r>
        <w:t xml:space="preserve"> it is at level 1</w:t>
      </w:r>
    </w:p>
    <w:p>
      <w:pPr>
        <w:pStyle w:val="Heading2"/>
      </w:pPr>
      <w:r>
        <w:t>This is the second heading,</w:t>
      </w:r>
      <w:r>
        <w:t xml:space="preserve"> it is at level 2</w:t>
      </w:r>
    </w:p>
    <w:p>
      <w:pPr>
        <w:pStyle w:val="Heading3"/>
      </w:pPr>
      <w:r>
        <w:t>This is the third heading,</w:t>
      </w:r>
      <w:r>
        <w:t xml:space="preserve"> it is at level 3</w:t>
      </w:r>
    </w:p>
    <w:p>
      <w:r>
        <w:t>We can add text to headings with add_text(),</w:t>
      </w:r>
      <w:r>
        <w:t xml:space="preserve"> just as we can add text to paragraphs.</w:t>
      </w:r>
      <w:r>
        <w:t xml:space="preserve"> New headings can be added at any level.</w:t>
      </w:r>
      <w:r>
        <w:t xml:space="preserve"> The argument smart_ws is used to control how</w:t>
      </w:r>
      <w:r>
        <w:t xml:space="preserve"> whitespace is handled in headings just as in paragraphs.</w:t>
      </w:r>
    </w:p>
    <w:p>
      <w:r>
        <w:t>new_heading() also obeys the arguments bold and italic, just as in paragraphs.</w:t>
      </w:r>
      <w:r>
        <w:t xml:space="preserve"> However, they make less sense for headings.</w:t>
      </w:r>
      <w:r>
        <w:t xml:space="preserve"> Explicitly setting bold or italic on a heading may</w:t>
      </w:r>
      <w:r>
        <w:t xml:space="preserve"> not produce the expected readability, as the heading</w:t>
      </w:r>
      <w:r>
        <w:t xml:space="preserve"> has formatting from the heading definition that is</w:t>
      </w:r>
      <w:r>
        <w:t xml:space="preserve"> specific to the output format.</w:t>
      </w:r>
    </w:p>
    <w:p>
      <w:pPr>
        <w:pStyle w:val="Heading2"/>
      </w:pPr>
      <w:r>
        <w:t>The fourth heading is again at level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