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 Format Example</w:t>
      </w:r>
    </w:p>
    <w:p>
      <w:r>
        <w:t>This example demonstrates how to create and use a custom format in the mformat framework.</w:t>
      </w:r>
      <w:r>
        <w:t xml:space="preserve"> The same code can be used to write to different formats, just by changing the format name.</w:t>
      </w:r>
    </w:p>
    <w:p>
      <w:pPr>
        <w:pStyle w:val="Heading2"/>
      </w:pPr>
      <w:r>
        <w:t>Features</w:t>
      </w:r>
    </w:p>
    <w:p>
      <w:pPr>
        <w:pStyle w:val="ListBullet"/>
      </w:pPr>
      <w:r>
        <w:t>Easy to extend the framework</w:t>
      </w:r>
    </w:p>
    <w:p>
      <w:pPr>
        <w:pStyle w:val="ListBullet"/>
      </w:pPr>
      <w:r>
        <w:t>Supports all standard document elements</w:t>
      </w:r>
    </w:p>
    <w:p>
      <w:pPr>
        <w:pStyle w:val="ListBullet"/>
      </w:pPr>
      <w:r>
        <w:t>Format-agnostic API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First step: Create a format class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Second step: Implement required methods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Third step: Register the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4320"/>
          </w:tcPr>
          <w:p>
            <w:r>
              <w:t>Paragraph</w:t>
            </w:r>
          </w:p>
        </w:tc>
        <w:tc>
          <w:tcPr>
            <w:tcW w:type="dxa" w:w="4320"/>
          </w:tcPr>
          <w:p>
            <w:r>
              <w:t>start_paragraph()</w:t>
            </w:r>
          </w:p>
        </w:tc>
      </w:tr>
      <w:tr>
        <w:tc>
          <w:tcPr>
            <w:tcW w:type="dxa" w:w="4320"/>
          </w:tcPr>
          <w:p>
            <w:r>
              <w:t>Heading</w:t>
            </w:r>
          </w:p>
        </w:tc>
        <w:tc>
          <w:tcPr>
            <w:tcW w:type="dxa" w:w="4320"/>
          </w:tcPr>
          <w:p>
            <w:r>
              <w:t>start_heading()</w:t>
            </w:r>
          </w:p>
        </w:tc>
      </w:tr>
      <w:tr>
        <w:tc>
          <w:tcPr>
            <w:tcW w:type="dxa" w:w="4320"/>
          </w:tcPr>
          <w:p>
            <w:r>
              <w:t>List</w:t>
            </w:r>
          </w:p>
        </w:tc>
        <w:tc>
          <w:tcPr>
            <w:tcW w:type="dxa" w:w="4320"/>
          </w:tcPr>
          <w:p>
            <w:r>
              <w:t>start_bullet_item()</w:t>
            </w:r>
          </w:p>
        </w:tc>
      </w:tr>
    </w:tbl>
    <w:p/>
    <w:p>
      <w:pPr>
        <w:pStyle w:val="NoSpacing"/>
      </w:pPr>
      <w:r>
        <w:rPr>
          <w:rFonts w:ascii="Courier New" w:hAnsi="Courier New"/>
        </w:rPr>
        <w:t>def example():</w:t>
        <w:br/>
        <w:t xml:space="preserve">    print("Hello, World!")</w:t>
      </w:r>
    </w:p>
    <w:p>
      <w:r>
        <w:t>This text is</w:t>
      </w:r>
      <w:r>
        <w:rPr>
          <w:b/>
        </w:rPr>
        <w:t xml:space="preserve"> bold</w:t>
      </w:r>
      <w:r>
        <w:t xml:space="preserve"> and this is</w:t>
      </w:r>
      <w:r>
        <w:rPr>
          <w:i/>
        </w:rPr>
        <w:t xml:space="preserve"> italic</w:t>
      </w:r>
      <w:r>
        <w:t xml:space="preserve"> .</w:t>
      </w:r>
    </w:p>
    <w:p>
      <w:r>
        <w:t>Visit</w:t>
      </w:r>
      <w:r>
        <w:t xml:space="preserve"> </w:t>
      </w:r>
      <w:hyperlink r:id="rId9">
        <w:r>
          <w:rPr>
            <w:color w:val="0000FF"/>
            <w:u w:val="single"/>
          </w:rPr>
          <w:t>our website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