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With start_paragraph we can start a paragraph with the first sentence in bold.</w:t>
      </w:r>
      <w:r>
        <w:t xml:space="preserve"> Use add_text to add text without bold to the paragraph.</w:t>
      </w:r>
      <w:r>
        <w:rPr>
          <w:i/>
        </w:rPr>
        <w:t xml:space="preserve"> Use add_text to add text in italic to the paragraph.</w:t>
      </w:r>
      <w:r>
        <w:rPr>
          <w:b/>
          <w:i/>
        </w:rPr>
        <w:t xml:space="preserve"> Use add_text to add text in bold and italic.</w:t>
      </w:r>
    </w:p>
    <w:p>
      <w:r>
        <w:rPr>
          <w:i/>
        </w:rPr>
        <w:t>With start_paragraph we can start a second paragraph with the first sentence in italic.</w:t>
      </w:r>
      <w:r>
        <w:t xml:space="preserve"> Use add_text to add text without italic to the second paragraph.</w:t>
      </w:r>
      <w:r>
        <w:rPr>
          <w:b/>
        </w:rPr>
        <w:t xml:space="preserve"> Use add_text to add text in bold to the second paragraph.</w:t>
      </w:r>
      <w:r>
        <w:rPr>
          <w:b/>
          <w:i/>
        </w:rPr>
        <w:t xml:space="preserve"> Use add_text to add text in italic and bold to the second paragraph.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