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15.png" ContentType="image/png"/>
  <Override PartName="/word/media/rId111.png" ContentType="image/png"/>
  <Override PartName="/word/media/rId96.png" ContentType="image/png"/>
  <Override PartName="/word/media/rId8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Retrospektywa</w:t>
      </w:r>
    </w:p>
    <w:p>
      <w:pPr>
        <w:pStyle w:val="Subtitle"/>
      </w:pPr>
      <w:r>
        <w:t xml:space="preserve">Jak projektować i mierzyć pracę programisty z AI</w:t>
      </w:r>
    </w:p>
    <w:p>
      <w:pPr>
        <w:pStyle w:val="Author"/>
      </w:pPr>
      <w:r>
        <w:t xml:space="preserve">Retrospektywa.pl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treści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retrospektywa"/>
    <w:p>
      <w:pPr>
        <w:pStyle w:val="Heading1"/>
      </w:pPr>
      <w:r>
        <w:t xml:space="preserve">Retrospektywa</w:t>
      </w:r>
    </w:p>
    <w:p>
      <w:pPr>
        <w:pStyle w:val="FirstParagraph"/>
      </w:pPr>
      <w:r>
        <w:t xml:space="preserve">Jak projektować i mierzyć pracę programisty z AI</w:t>
      </w:r>
    </w:p>
    <w:p>
      <w:pPr>
        <w:pStyle w:val="BodyText"/>
      </w:pPr>
      <w:r>
        <w:br/>
      </w:r>
    </w:p>
    <w:p>
      <w:pPr>
        <w:pStyle w:val="BlockText"/>
      </w:pPr>
      <w:r>
        <w:t xml:space="preserve">Efektywność programisty pracującego z AI zależy nie od szybkości generowania</w:t>
      </w:r>
      <w:r>
        <w:t xml:space="preserve"> </w:t>
      </w:r>
      <w:r>
        <w:t xml:space="preserve">kodu, lecz od sposobu zarządzania uwagą, kolejką zadań, weryfikacją wyników i</w:t>
      </w:r>
      <w:r>
        <w:t xml:space="preserve"> </w:t>
      </w:r>
      <w:r>
        <w:t xml:space="preserve">ograniczonym budżetem modeli.</w:t>
      </w:r>
    </w:p>
    <w:p>
      <w:pPr>
        <w:pStyle w:val="FirstParagraph"/>
      </w:pPr>
      <w:r>
        <w:t xml:space="preserve">Modele potrafią przygotować więcej propozycji, niż człowiek jest w stanie</w:t>
      </w:r>
      <w:r>
        <w:t xml:space="preserve"> </w:t>
      </w:r>
      <w:r>
        <w:t xml:space="preserve">odpowiedzialnie ocenić. W takim środowisku kolejne okno czatu nie zwiększa</w:t>
      </w:r>
      <w:r>
        <w:t xml:space="preserve"> </w:t>
      </w:r>
      <w:r>
        <w:t xml:space="preserve">automatycznie produktywności. Może jedynie powiększyć kolejkę nieodebranej</w:t>
      </w:r>
      <w:r>
        <w:t xml:space="preserve"> </w:t>
      </w:r>
      <w:r>
        <w:t xml:space="preserve">pracy.</w:t>
      </w:r>
    </w:p>
    <w:p>
      <w:pPr>
        <w:pStyle w:val="BodyText"/>
      </w:pPr>
      <w:r>
        <w:t xml:space="preserve">Ta książka pokazuje, jak zbudować system, w którym:</w:t>
      </w:r>
    </w:p>
    <w:p>
      <w:pPr>
        <w:pStyle w:val="Compact"/>
        <w:numPr>
          <w:ilvl w:val="0"/>
          <w:numId w:val="1001"/>
        </w:numPr>
      </w:pPr>
      <w:r>
        <w:t xml:space="preserve">człowiek zachowuje jedno aktywne zadanie wymagające skupienia,</w:t>
      </w:r>
    </w:p>
    <w:p>
      <w:pPr>
        <w:pStyle w:val="Compact"/>
        <w:numPr>
          <w:ilvl w:val="0"/>
          <w:numId w:val="1001"/>
        </w:numPr>
      </w:pPr>
      <w:r>
        <w:t xml:space="preserve">modele wykonują rozdzielone i możliwe do zweryfikowania role,</w:t>
      </w:r>
    </w:p>
    <w:p>
      <w:pPr>
        <w:pStyle w:val="Compact"/>
        <w:numPr>
          <w:ilvl w:val="0"/>
          <w:numId w:val="1001"/>
        </w:numPr>
      </w:pPr>
      <w:r>
        <w:t xml:space="preserve">wyniki trafiają do kolejki zamiast przerywać pracę,</w:t>
      </w:r>
    </w:p>
    <w:p>
      <w:pPr>
        <w:pStyle w:val="Compact"/>
        <w:numPr>
          <w:ilvl w:val="0"/>
          <w:numId w:val="1001"/>
        </w:numPr>
      </w:pPr>
      <w:r>
        <w:t xml:space="preserve">koszt, czas, poprawki i jakość są mierzone,</w:t>
      </w:r>
    </w:p>
    <w:p>
      <w:pPr>
        <w:pStyle w:val="Compact"/>
        <w:numPr>
          <w:ilvl w:val="0"/>
          <w:numId w:val="1001"/>
        </w:numPr>
      </w:pPr>
      <w:r>
        <w:t xml:space="preserve">autonomia rośnie dopiero po zebraniu powtarzalnych dowodów.</w:t>
      </w:r>
    </w:p>
    <w:p>
      <w:pPr>
        <w:pStyle w:val="FirstParagraph"/>
      </w:pPr>
      <w:r>
        <w:t xml:space="preserve">Nie jest to katalog promptów ani ranking dostawców. Nazwy modeli, limity i ceny</w:t>
      </w:r>
      <w:r>
        <w:t xml:space="preserve"> </w:t>
      </w:r>
      <w:r>
        <w:t xml:space="preserve">zmieniają się szybciej niż dobra organizacja pracy. Interesują nas mechanizmy,</w:t>
      </w:r>
      <w:r>
        <w:t xml:space="preserve"> </w:t>
      </w:r>
      <w:r>
        <w:t xml:space="preserve">które pozostają użyteczne po zmianie narzędzia: kontrakt celu, ograniczenie</w:t>
      </w:r>
      <w:r>
        <w:t xml:space="preserve"> </w:t>
      </w:r>
      <w:r>
        <w:t xml:space="preserve">pracy w toku, niezależna weryfikacja, jawny budżet i retrospektywa.</w:t>
      </w:r>
    </w:p>
    <w:bookmarkStart w:id="12" w:name="książka-jako-laboratorium"/>
    <w:p>
      <w:pPr>
        <w:pStyle w:val="Heading2"/>
      </w:pPr>
      <w:r>
        <w:t xml:space="preserve">Książka jako laboratorium</w:t>
      </w:r>
    </w:p>
    <w:p>
      <w:pPr>
        <w:pStyle w:val="FirstParagraph"/>
      </w:pPr>
      <w:r>
        <w:t xml:space="preserve">Każdy rozdział łączy narrację z małym, odtwarzalnym eksperymentem. Część</w:t>
      </w:r>
      <w:r>
        <w:t xml:space="preserve"> </w:t>
      </w:r>
      <w:r>
        <w:t xml:space="preserve">decyzji zapisujemy również za pomocą DSL-i wywodzących się z projektów</w:t>
      </w:r>
      <w:r>
        <w:t xml:space="preserve"> </w:t>
      </w:r>
      <w:r>
        <w:t xml:space="preserve">Subactora: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Warstwa</w:t>
            </w:r>
          </w:p>
        </w:tc>
        <w:tc>
          <w:tcPr/>
          <w:p>
            <w:pPr>
              <w:pStyle w:val="Compact"/>
            </w:pPr>
            <w:r>
              <w:t xml:space="preserve">Pytanie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Contract</w:t>
            </w:r>
          </w:p>
        </w:tc>
        <w:tc>
          <w:tcPr/>
          <w:p>
            <w:pPr>
              <w:pStyle w:val="Compact"/>
            </w:pPr>
            <w:r>
              <w:t xml:space="preserve">Co dokładnie chcemy osiągnąć?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AQL</w:t>
            </w:r>
          </w:p>
        </w:tc>
        <w:tc>
          <w:tcPr/>
          <w:p>
            <w:pPr>
              <w:pStyle w:val="Compact"/>
            </w:pPr>
            <w:r>
              <w:t xml:space="preserve">Kto może wykonać działanie i czego nie wolno?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OQL</w:t>
            </w:r>
          </w:p>
        </w:tc>
        <w:tc>
          <w:tcPr/>
          <w:p>
            <w:pPr>
              <w:pStyle w:val="Compact"/>
            </w:pPr>
            <w:r>
              <w:t xml:space="preserve">Jaki jest przebieg operacji?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 Process</w:t>
            </w:r>
          </w:p>
        </w:tc>
        <w:tc>
          <w:tcPr/>
          <w:p>
            <w:pPr>
              <w:pStyle w:val="Compact"/>
            </w:pPr>
            <w:r>
              <w:t xml:space="preserve">Który adresowalny proces realizuje krok i przez jaki runtime?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EQL i TestQL</w:t>
            </w:r>
          </w:p>
        </w:tc>
        <w:tc>
          <w:tcPr/>
          <w:p>
            <w:pPr>
              <w:pStyle w:val="Compact"/>
            </w:pPr>
            <w:r>
              <w:t xml:space="preserve">Po czym poznamy prawidłowy rezultat?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DOQL i DQL</w:t>
            </w:r>
          </w:p>
        </w:tc>
        <w:tc>
          <w:tcPr/>
          <w:p>
            <w:pPr>
              <w:pStyle w:val="Compact"/>
            </w:pPr>
            <w:r>
              <w:t xml:space="preserve">Jaka jest sytuacja i które inwarianty zostały naruszone?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SODL</w:t>
            </w:r>
          </w:p>
        </w:tc>
        <w:tc>
          <w:tcPr/>
          <w:p>
            <w:pPr>
              <w:pStyle w:val="Compact"/>
            </w:pPr>
            <w:r>
              <w:t xml:space="preserve">Co faktycznie wydarzyło się w czasie?</w:t>
            </w:r>
          </w:p>
        </w:tc>
      </w:tr>
    </w:tbl>
    <w:p>
      <w:pPr>
        <w:pStyle w:val="BodyText"/>
      </w:pPr>
      <w:r>
        <w:t xml:space="preserve">DSL nie zastępuje prozy. Proza wyjaśnia motywację i kontekst, a kontrakt</w:t>
      </w:r>
      <w:r>
        <w:t xml:space="preserve"> </w:t>
      </w:r>
      <w:r>
        <w:t xml:space="preserve">oddziela pola, które można walidować, porównywać i testować.</w:t>
      </w:r>
    </w:p>
    <w:p>
      <w:pPr>
        <w:pStyle w:val="BodyText"/>
      </w:pPr>
      <w:r>
        <w:t xml:space="preserve">Wydanie 0.2 rozwija ten model o przejście od architektury usługowej do</w:t>
      </w:r>
      <w:r>
        <w:t xml:space="preserve"> </w:t>
      </w:r>
      <w:r>
        <w:t xml:space="preserve">architektury zorientowanej na proces. Książka, audiobook, przykłady i strona</w:t>
      </w:r>
      <w:r>
        <w:t xml:space="preserve"> </w:t>
      </w:r>
      <w:r>
        <w:t xml:space="preserve">nie są osobnymi produktami redakcyjnymi: powstają z jednego wersjonowanego</w:t>
      </w:r>
      <w:r>
        <w:t xml:space="preserve"> </w:t>
      </w:r>
      <w:r>
        <w:t xml:space="preserve">źródła oraz wspólnego generatora.</w:t>
      </w:r>
    </w:p>
    <w:p>
      <w:pPr>
        <w:pStyle w:val="CaptionedFigure"/>
      </w:pPr>
      <w:r>
        <w:drawing>
          <wp:inline>
            <wp:extent cx="5067300" cy="2364740"/>
            <wp:effectExtent b="0" l="0" r="0" t="0"/>
            <wp:docPr descr="SOA udostępnia zdolności, POA składa je w kontrolowany proces, a URI Process wiąże plan z runtime’em i dowodem." title="" id="10" name="Picture"/>
            <a:graphic>
              <a:graphicData uri="http://schemas.openxmlformats.org/drawingml/2006/picture">
                <pic:pic>
                  <pic:nvPicPr>
                    <pic:cNvPr descr="figures/soa-poa-uri-proces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SOA udostępnia zdolności, POA składa je w kontrolowany proces, a URI Process</w:t>
      </w:r>
      <w:r>
        <w:t xml:space="preserve"> </w:t>
      </w:r>
      <w:r>
        <w:t xml:space="preserve">wiąże plan z runtime’em i dowodem.</w:t>
      </w:r>
    </w:p>
    <w:bookmarkEnd w:id="12"/>
    <w:bookmarkStart w:id="19" w:name="pobierz-wydanie-0.2"/>
    <w:p>
      <w:pPr>
        <w:pStyle w:val="Heading2"/>
      </w:pPr>
      <w:r>
        <w:t xml:space="preserve">Pobierz wydanie 0.2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EPUB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DOCX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próbka audiobooka MP3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Process Pack: DSL, schematy i przykłady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manifest wydania z sumami SHA-256</w:t>
        </w:r>
      </w:hyperlink>
    </w:p>
    <w:bookmarkEnd w:id="19"/>
    <w:bookmarkStart w:id="20" w:name="jak-czytać"/>
    <w:p>
      <w:pPr>
        <w:pStyle w:val="Heading2"/>
      </w:pPr>
      <w:r>
        <w:t xml:space="preserve">Jak czytać</w:t>
      </w:r>
    </w:p>
    <w:p>
      <w:pPr>
        <w:pStyle w:val="Compact"/>
        <w:numPr>
          <w:ilvl w:val="0"/>
          <w:numId w:val="1003"/>
        </w:numPr>
      </w:pPr>
      <w:r>
        <w:t xml:space="preserve">Wybierz jeden rzeczywisty proces, nie całą pracę naraz.</w:t>
      </w:r>
    </w:p>
    <w:p>
      <w:pPr>
        <w:pStyle w:val="Compact"/>
        <w:numPr>
          <w:ilvl w:val="0"/>
          <w:numId w:val="1003"/>
        </w:numPr>
      </w:pPr>
      <w:r>
        <w:t xml:space="preserve">Zapisz stan początkowy przez co najmniej kilka porównywalnych zadań.</w:t>
      </w:r>
    </w:p>
    <w:p>
      <w:pPr>
        <w:pStyle w:val="Compact"/>
        <w:numPr>
          <w:ilvl w:val="0"/>
          <w:numId w:val="1003"/>
        </w:numPr>
      </w:pPr>
      <w:r>
        <w:t xml:space="preserve">Wprowadź jedną zmianę i z góry określ czas trwania próby.</w:t>
      </w:r>
    </w:p>
    <w:p>
      <w:pPr>
        <w:pStyle w:val="Compact"/>
        <w:numPr>
          <w:ilvl w:val="0"/>
          <w:numId w:val="1003"/>
        </w:numPr>
      </w:pPr>
      <w:r>
        <w:t xml:space="preserve">Porównaj jakość, koszt, czas oraz aktywny udział człowieka.</w:t>
      </w:r>
    </w:p>
    <w:p>
      <w:pPr>
        <w:pStyle w:val="Compact"/>
        <w:numPr>
          <w:ilvl w:val="0"/>
          <w:numId w:val="1003"/>
        </w:numPr>
      </w:pPr>
      <w:r>
        <w:t xml:space="preserve">Zachowaj zmianę tylko wtedy, gdy wynik poprawił cały system, a nie jedną</w:t>
      </w:r>
      <w:r>
        <w:t xml:space="preserve"> </w:t>
      </w:r>
      <w:r>
        <w:t xml:space="preserve">wygodną metrykę.</w:t>
      </w:r>
    </w:p>
    <w:p>
      <w:pPr>
        <w:pStyle w:val="FirstParagraph"/>
      </w:pPr>
      <w:r>
        <w:t xml:space="preserve">Po każdym eksperymencie powinien pozostać ślad: kontrakt, zdarzenia, wynik i</w:t>
      </w:r>
      <w:r>
        <w:t xml:space="preserve"> </w:t>
      </w:r>
      <w:r>
        <w:t xml:space="preserve">decyzja. Dzięki temu retrospektywa przestaje być opinią z końca tygodnia i staje</w:t>
      </w:r>
      <w:r>
        <w:t xml:space="preserve"> </w:t>
      </w:r>
      <w:r>
        <w:t xml:space="preserve">się metodą rozwijania sposobu pracy.</w:t>
      </w:r>
    </w:p>
    <w:bookmarkEnd w:id="20"/>
    <w:bookmarkEnd w:id="21"/>
    <w:bookmarkStart w:id="25" w:name="programista-jako-wąskie-gardło"/>
    <w:p>
      <w:pPr>
        <w:pStyle w:val="Heading1"/>
      </w:pPr>
      <w:r>
        <w:t xml:space="preserve">1. Programista jako wąskie gardło</w:t>
      </w:r>
    </w:p>
    <w:p>
      <w:pPr>
        <w:pStyle w:val="FirstParagraph"/>
      </w:pPr>
      <w:r>
        <w:t xml:space="preserve">AI może generować więcej wyników, niż człowiek jest w stanie odpowiedzialnie</w:t>
      </w:r>
      <w:r>
        <w:t xml:space="preserve"> </w:t>
      </w:r>
      <w:r>
        <w:t xml:space="preserve">odebrać. Dlatego podstawową jednostką systemu nie jest prompt ani liczba</w:t>
      </w:r>
      <w:r>
        <w:t xml:space="preserve"> </w:t>
      </w:r>
      <w:r>
        <w:t xml:space="preserve">wygenerowanych linii, lecz</w:t>
      </w:r>
      <w:r>
        <w:t xml:space="preserve"> </w:t>
      </w:r>
      <w:r>
        <w:rPr>
          <w:b/>
          <w:bCs/>
        </w:rPr>
        <w:t xml:space="preserve">decyzja zakończona dowodem</w:t>
      </w:r>
      <w:r>
        <w:t xml:space="preserve">.</w:t>
      </w:r>
    </w:p>
    <w:p>
      <w:pPr>
        <w:pStyle w:val="BodyText"/>
      </w:pPr>
      <w:r>
        <w:t xml:space="preserve">Badania nad wznawianiem przerwanych zadań programistycznych pokazują, że powrót</w:t>
      </w:r>
      <w:r>
        <w:t xml:space="preserve"> </w:t>
      </w:r>
      <w:r>
        <w:t xml:space="preserve">do kodowania wymaga rekonstrukcji planu, intencji i kontekstu pracy</w:t>
      </w:r>
      <w:r>
        <w:t xml:space="preserve"> </w:t>
      </w:r>
      <w:r>
        <w:t xml:space="preserve">(Parnin i Rugaber 2011)</w:t>
      </w:r>
      <w:r>
        <w:t xml:space="preserve">. W badaniu postrzegania produktywności programiści</w:t>
      </w:r>
      <w:r>
        <w:t xml:space="preserve"> </w:t>
      </w:r>
      <w:r>
        <w:t xml:space="preserve">łączyli produktywny dzień z domykaniem znaczących zadań bez nadmiernych</w:t>
      </w:r>
      <w:r>
        <w:t xml:space="preserve"> </w:t>
      </w:r>
      <w:r>
        <w:t xml:space="preserve">przerwań i zmian kontekstu</w:t>
      </w:r>
      <w:r>
        <w:t xml:space="preserve"> </w:t>
      </w:r>
      <w:r>
        <w:t xml:space="preserve">(Meyer et al. 2014)</w:t>
      </w:r>
      <w:r>
        <w:t xml:space="preserve">.</w:t>
      </w:r>
    </w:p>
    <w:p>
      <w:pPr>
        <w:pStyle w:val="BodyText"/>
      </w:pPr>
      <w:r>
        <w:t xml:space="preserve">W typowym zadaniu człowiek nadal musi:</w:t>
      </w:r>
    </w:p>
    <w:p>
      <w:pPr>
        <w:pStyle w:val="Compact"/>
        <w:numPr>
          <w:ilvl w:val="0"/>
          <w:numId w:val="1004"/>
        </w:numPr>
      </w:pPr>
      <w:r>
        <w:t xml:space="preserve">rozpoznać problem i jego granice,</w:t>
      </w:r>
    </w:p>
    <w:p>
      <w:pPr>
        <w:pStyle w:val="Compact"/>
        <w:numPr>
          <w:ilvl w:val="0"/>
          <w:numId w:val="1004"/>
        </w:numPr>
      </w:pPr>
      <w:r>
        <w:t xml:space="preserve">określić kryteria akceptacji,</w:t>
      </w:r>
    </w:p>
    <w:p>
      <w:pPr>
        <w:pStyle w:val="Compact"/>
        <w:numPr>
          <w:ilvl w:val="0"/>
          <w:numId w:val="1004"/>
        </w:numPr>
      </w:pPr>
      <w:r>
        <w:t xml:space="preserve">udostępnić właściwy kontekst,</w:t>
      </w:r>
    </w:p>
    <w:p>
      <w:pPr>
        <w:pStyle w:val="Compact"/>
        <w:numPr>
          <w:ilvl w:val="0"/>
          <w:numId w:val="1004"/>
        </w:numPr>
      </w:pPr>
      <w:r>
        <w:t xml:space="preserve">ocenić proponowane rozwiązanie,</w:t>
      </w:r>
    </w:p>
    <w:p>
      <w:pPr>
        <w:pStyle w:val="Compact"/>
        <w:numPr>
          <w:ilvl w:val="0"/>
          <w:numId w:val="1004"/>
        </w:numPr>
      </w:pPr>
      <w:r>
        <w:t xml:space="preserve">rozstrzygnąć sprzeczności,</w:t>
      </w:r>
    </w:p>
    <w:p>
      <w:pPr>
        <w:pStyle w:val="Compact"/>
        <w:numPr>
          <w:ilvl w:val="0"/>
          <w:numId w:val="1004"/>
        </w:numPr>
      </w:pPr>
      <w:r>
        <w:t xml:space="preserve">zaakceptować ryzyko i rezultat.</w:t>
      </w:r>
    </w:p>
    <w:p>
      <w:pPr>
        <w:pStyle w:val="FirstParagraph"/>
      </w:pPr>
      <w:r>
        <w:t xml:space="preserve">Model może skrócić część wykonawczą, ale równocześnie tworzy nową pracę:</w:t>
      </w:r>
      <w:r>
        <w:t xml:space="preserve"> </w:t>
      </w:r>
      <w:r>
        <w:t xml:space="preserve">propozycje trzeba przeczytać, porównać, uruchomić i często poprawić. Jeśli</w:t>
      </w:r>
      <w:r>
        <w:t xml:space="preserve"> </w:t>
      </w:r>
      <w:r>
        <w:t xml:space="preserve">generowanie przyspiesza bardziej niż odbiór, kolejka rośnie. System wygląda na</w:t>
      </w:r>
      <w:r>
        <w:t xml:space="preserve"> </w:t>
      </w:r>
      <w:r>
        <w:t xml:space="preserve">zajęty, lecz czas od pomysłu do zaakceptowanej zmiany się nie poprawia.</w:t>
      </w:r>
    </w:p>
    <w:bookmarkStart w:id="22" w:name="uwaga-jako-budżet"/>
    <w:p>
      <w:pPr>
        <w:pStyle w:val="Heading2"/>
      </w:pPr>
      <w:r>
        <w:t xml:space="preserve">1.1 Uwaga jako budżet</w:t>
      </w:r>
    </w:p>
    <w:p>
      <w:pPr>
        <w:pStyle w:val="FirstParagraph"/>
      </w:pPr>
      <w:r>
        <w:t xml:space="preserve">Uwaga nie jest jedną liczbą minut. Ma co najmniej trzy koszty: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wejście w kontekst</w:t>
      </w:r>
      <w:r>
        <w:t xml:space="preserve"> </w:t>
      </w:r>
      <w:r>
        <w:t xml:space="preserve">— przypomnienie celu, ograniczeń i stanu kodu,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utrzymanie kontekstu</w:t>
      </w:r>
      <w:r>
        <w:t xml:space="preserve"> </w:t>
      </w:r>
      <w:r>
        <w:t xml:space="preserve">— praca bez nieplanowanych przerwań,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domknięcie decyzji</w:t>
      </w:r>
      <w:r>
        <w:t xml:space="preserve"> </w:t>
      </w:r>
      <w:r>
        <w:t xml:space="preserve">— sprawdzenie dowodu i zapisanie następnego kroku.</w:t>
      </w:r>
    </w:p>
    <w:p>
      <w:pPr>
        <w:pStyle w:val="FirstParagraph"/>
      </w:pPr>
      <w:r>
        <w:t xml:space="preserve">Najdroższa jest praca, która została rozpoczęta, ale nie zakończyła żadnej</w:t>
      </w:r>
      <w:r>
        <w:t xml:space="preserve"> </w:t>
      </w:r>
      <w:r>
        <w:t xml:space="preserve">decyzji. Dlatego przyjmujemy prosty limit:</w:t>
      </w:r>
    </w:p>
    <w:p>
      <w:pPr>
        <w:pStyle w:val="BlockText"/>
      </w:pPr>
      <w:r>
        <w:t xml:space="preserve">Human WIP = 1: człowiek ma jedno aktywne zadanie poznawcze. Pozostałe zadania</w:t>
      </w:r>
      <w:r>
        <w:t xml:space="preserve"> </w:t>
      </w:r>
      <w:r>
        <w:t xml:space="preserve">mogą czekać albo być wykonywane przez automaty, lecz nie konkurują o uwagę.</w:t>
      </w:r>
    </w:p>
    <w:p>
      <w:pPr>
        <w:pStyle w:val="FirstParagraph"/>
      </w:pPr>
      <w:r>
        <w:t xml:space="preserve">Limit nie oznacza, że system realizuje tylko jedną rzecz. Oznacza, że człowiek</w:t>
      </w:r>
      <w:r>
        <w:t xml:space="preserve"> </w:t>
      </w:r>
      <w:r>
        <w:t xml:space="preserve">nie próbuje jednocześnie utrzymywać kilku pełnych kontekstów.</w:t>
      </w:r>
    </w:p>
    <w:bookmarkEnd w:id="22"/>
    <w:bookmarkStart w:id="23" w:name="sygnały-przeciążenia"/>
    <w:p>
      <w:pPr>
        <w:pStyle w:val="Heading2"/>
      </w:pPr>
      <w:r>
        <w:t xml:space="preserve">1.2 Sygnały przeciążenia</w:t>
      </w:r>
    </w:p>
    <w:p>
      <w:pPr>
        <w:pStyle w:val="FirstParagraph"/>
      </w:pPr>
      <w:r>
        <w:t xml:space="preserve">System jest przeciążony, gdy:</w:t>
      </w:r>
    </w:p>
    <w:p>
      <w:pPr>
        <w:pStyle w:val="Compact"/>
        <w:numPr>
          <w:ilvl w:val="0"/>
          <w:numId w:val="1006"/>
        </w:numPr>
      </w:pPr>
      <w:r>
        <w:t xml:space="preserve">nowe odpowiedzi modeli regularnie przerywają aktywną pracę,</w:t>
      </w:r>
    </w:p>
    <w:p>
      <w:pPr>
        <w:pStyle w:val="Compact"/>
        <w:numPr>
          <w:ilvl w:val="0"/>
          <w:numId w:val="1006"/>
        </w:numPr>
      </w:pPr>
      <w:r>
        <w:t xml:space="preserve">kilka diffów czeka na review dłużej niż trwała ich implementacja,</w:t>
      </w:r>
    </w:p>
    <w:p>
      <w:pPr>
        <w:pStyle w:val="Compact"/>
        <w:numPr>
          <w:ilvl w:val="0"/>
          <w:numId w:val="1006"/>
        </w:numPr>
      </w:pPr>
      <w:r>
        <w:t xml:space="preserve">człowiek ponownie czyta ten sam kontekst,</w:t>
      </w:r>
    </w:p>
    <w:p>
      <w:pPr>
        <w:pStyle w:val="Compact"/>
        <w:numPr>
          <w:ilvl w:val="0"/>
          <w:numId w:val="1006"/>
        </w:numPr>
      </w:pPr>
      <w:r>
        <w:t xml:space="preserve">zadania są „prawie gotowe”, ale nie mają testu ani decyzji,</w:t>
      </w:r>
    </w:p>
    <w:p>
      <w:pPr>
        <w:pStyle w:val="Compact"/>
        <w:numPr>
          <w:ilvl w:val="0"/>
          <w:numId w:val="1006"/>
        </w:numPr>
      </w:pPr>
      <w:r>
        <w:t xml:space="preserve">liczba rozpoczętych zmian rośnie szybciej niż liczba zaakceptowanych.</w:t>
      </w:r>
    </w:p>
    <w:bookmarkEnd w:id="23"/>
    <w:bookmarkStart w:id="24" w:name="eksperyment"/>
    <w:p>
      <w:pPr>
        <w:pStyle w:val="Heading2"/>
      </w:pPr>
      <w:r>
        <w:t xml:space="preserve">1.3 Eksperyment</w:t>
      </w:r>
    </w:p>
    <w:p>
      <w:pPr>
        <w:pStyle w:val="FirstParagraph"/>
      </w:pPr>
      <w:r>
        <w:t xml:space="preserve">Przez pięć dni utrzymuj limit jednej aktywnej decyzji człowieka. Każdy wynik AI</w:t>
      </w:r>
      <w:r>
        <w:t xml:space="preserve"> </w:t>
      </w:r>
      <w:r>
        <w:t xml:space="preserve">trafia do kolejki odbioru i nie wywołuje powiadomienia.</w:t>
      </w:r>
    </w:p>
    <w:p>
      <w:pPr>
        <w:pStyle w:val="BodyText"/>
      </w:pPr>
      <w:r>
        <w:t xml:space="preserve">Zapisuj:</w:t>
      </w:r>
    </w:p>
    <w:p>
      <w:pPr>
        <w:pStyle w:val="Compact"/>
        <w:numPr>
          <w:ilvl w:val="0"/>
          <w:numId w:val="1007"/>
        </w:numPr>
      </w:pPr>
      <w:r>
        <w:t xml:space="preserve">czas rozpoczęcia i zakończenia aktywnej pracy,</w:t>
      </w:r>
    </w:p>
    <w:p>
      <w:pPr>
        <w:pStyle w:val="Compact"/>
        <w:numPr>
          <w:ilvl w:val="0"/>
          <w:numId w:val="1007"/>
        </w:numPr>
      </w:pPr>
      <w:r>
        <w:t xml:space="preserve">liczbę nieplanowanych przełączeń,</w:t>
      </w:r>
    </w:p>
    <w:p>
      <w:pPr>
        <w:pStyle w:val="Compact"/>
        <w:numPr>
          <w:ilvl w:val="0"/>
          <w:numId w:val="1007"/>
        </w:numPr>
      </w:pPr>
      <w:r>
        <w:t xml:space="preserve">czas oczekiwania wyniku na review,</w:t>
      </w:r>
    </w:p>
    <w:p>
      <w:pPr>
        <w:pStyle w:val="Compact"/>
        <w:numPr>
          <w:ilvl w:val="0"/>
          <w:numId w:val="1007"/>
        </w:numPr>
      </w:pPr>
      <w:r>
        <w:t xml:space="preserve">liczbę powrotów do wcześniej otwartego zadania,</w:t>
      </w:r>
    </w:p>
    <w:p>
      <w:pPr>
        <w:pStyle w:val="Compact"/>
        <w:numPr>
          <w:ilvl w:val="0"/>
          <w:numId w:val="1007"/>
        </w:numPr>
      </w:pPr>
      <w:r>
        <w:t xml:space="preserve">liczbę zaakceptowanych zmian.</w:t>
      </w:r>
    </w:p>
    <w:p>
      <w:pPr>
        <w:pStyle w:val="FirstParagraph"/>
      </w:pPr>
      <w:r>
        <w:t xml:space="preserve">Nie próbuj jeszcze optymalizować modeli. Najpierw sprawdź, czy sama ochrona</w:t>
      </w:r>
      <w:r>
        <w:t xml:space="preserve"> </w:t>
      </w:r>
      <w:r>
        <w:t xml:space="preserve">uwagi skraca czas domykania decyzji. Sukcesem nie jest większa liczba</w:t>
      </w:r>
      <w:r>
        <w:t xml:space="preserve"> </w:t>
      </w:r>
      <w:r>
        <w:t xml:space="preserve">odpowiedzi AI, lecz krótsza kolejka przy co najmniej tej samej jakości.</w:t>
      </w:r>
    </w:p>
    <w:bookmarkEnd w:id="24"/>
    <w:bookmarkEnd w:id="25"/>
    <w:bookmarkStart w:id="31" w:name="stanowisko-pracy"/>
    <w:p>
      <w:pPr>
        <w:pStyle w:val="Heading1"/>
      </w:pPr>
      <w:r>
        <w:t xml:space="preserve">2. Stanowisko pracy</w:t>
      </w:r>
    </w:p>
    <w:p>
      <w:pPr>
        <w:pStyle w:val="FirstParagraph"/>
      </w:pPr>
      <w:r>
        <w:t xml:space="preserve">Pierwszy monitor służy aktywnemu problemowi. Drugi pokazuje dokumentację,</w:t>
      </w:r>
      <w:r>
        <w:t xml:space="preserve"> </w:t>
      </w:r>
      <w:r>
        <w:t xml:space="preserve">kolejkę wyników AI i stan automatycznych kontroli. Przeglądarka jest narzędziem</w:t>
      </w:r>
      <w:r>
        <w:t xml:space="preserve"> </w:t>
      </w:r>
      <w:r>
        <w:t xml:space="preserve">źródłowym, a terminal — centrum operacyjnym.</w:t>
      </w:r>
    </w:p>
    <w:p>
      <w:pPr>
        <w:pStyle w:val="BodyText"/>
      </w:pPr>
      <w:r>
        <w:t xml:space="preserve">Sprzęt nie tworzy metody, ale może ją wspierać albo sabotować. Celem stanowiska</w:t>
      </w:r>
      <w:r>
        <w:t xml:space="preserve"> </w:t>
      </w:r>
      <w:r>
        <w:t xml:space="preserve">nie jest pokazanie jak największej liczby aplikacji. Celem jest utrzymanie</w:t>
      </w:r>
      <w:r>
        <w:t xml:space="preserve"> </w:t>
      </w:r>
      <w:r>
        <w:t xml:space="preserve">czytelnej granicy między</w:t>
      </w:r>
      <w:r>
        <w:t xml:space="preserve"> </w:t>
      </w:r>
      <w:r>
        <w:rPr>
          <w:b/>
          <w:bCs/>
        </w:rPr>
        <w:t xml:space="preserve">pracą aktywną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pracą oczekującą</w:t>
      </w:r>
      <w:r>
        <w:t xml:space="preserve">.</w:t>
      </w:r>
    </w:p>
    <w:bookmarkStart w:id="26" w:name="dwa-monitory-dwie-funkcje"/>
    <w:p>
      <w:pPr>
        <w:pStyle w:val="Heading2"/>
      </w:pPr>
      <w:r>
        <w:t xml:space="preserve">2.1 Dwa monitory, dwie funkcje</w:t>
      </w:r>
    </w:p>
    <w:p>
      <w:pPr>
        <w:pStyle w:val="FirstParagraph"/>
      </w:pPr>
      <w:r>
        <w:t xml:space="preserve">Monitor aktywny zawiera tylko to, co jest potrzebne do bieżącej decyzji:</w:t>
      </w:r>
    </w:p>
    <w:p>
      <w:pPr>
        <w:pStyle w:val="Compact"/>
        <w:numPr>
          <w:ilvl w:val="0"/>
          <w:numId w:val="1008"/>
        </w:numPr>
      </w:pPr>
      <w:r>
        <w:t xml:space="preserve">edytor albo diff,</w:t>
      </w:r>
    </w:p>
    <w:p>
      <w:pPr>
        <w:pStyle w:val="Compact"/>
        <w:numPr>
          <w:ilvl w:val="0"/>
          <w:numId w:val="1008"/>
        </w:numPr>
      </w:pPr>
      <w:r>
        <w:t xml:space="preserve">terminal z testem dotyczącym tej zmiany,</w:t>
      </w:r>
    </w:p>
    <w:p>
      <w:pPr>
        <w:pStyle w:val="Compact"/>
        <w:numPr>
          <w:ilvl w:val="0"/>
          <w:numId w:val="1008"/>
        </w:numPr>
      </w:pPr>
      <w:r>
        <w:t xml:space="preserve">jedno okno rozmowy związane z zadaniem.</w:t>
      </w:r>
    </w:p>
    <w:p>
      <w:pPr>
        <w:pStyle w:val="FirstParagraph"/>
      </w:pPr>
      <w:r>
        <w:t xml:space="preserve">Monitor pomocniczy pokazuje informacje, które można bezpiecznie odłożyć:</w:t>
      </w:r>
    </w:p>
    <w:p>
      <w:pPr>
        <w:pStyle w:val="Compact"/>
        <w:numPr>
          <w:ilvl w:val="0"/>
          <w:numId w:val="1009"/>
        </w:numPr>
      </w:pPr>
      <w:r>
        <w:t xml:space="preserve">dokumentację i źródła,</w:t>
      </w:r>
    </w:p>
    <w:p>
      <w:pPr>
        <w:pStyle w:val="Compact"/>
        <w:numPr>
          <w:ilvl w:val="0"/>
          <w:numId w:val="1009"/>
        </w:numPr>
      </w:pPr>
      <w:r>
        <w:t xml:space="preserve">kolejkę zadań oraz wyników,</w:t>
      </w:r>
    </w:p>
    <w:p>
      <w:pPr>
        <w:pStyle w:val="Compact"/>
        <w:numPr>
          <w:ilvl w:val="0"/>
          <w:numId w:val="1009"/>
        </w:numPr>
      </w:pPr>
      <w:r>
        <w:t xml:space="preserve">statusy buildów i testów,</w:t>
      </w:r>
    </w:p>
    <w:p>
      <w:pPr>
        <w:pStyle w:val="Compact"/>
        <w:numPr>
          <w:ilvl w:val="0"/>
          <w:numId w:val="1009"/>
        </w:numPr>
      </w:pPr>
      <w:r>
        <w:t xml:space="preserve">licznik budżetu,</w:t>
      </w:r>
    </w:p>
    <w:p>
      <w:pPr>
        <w:pStyle w:val="Compact"/>
        <w:numPr>
          <w:ilvl w:val="0"/>
          <w:numId w:val="1009"/>
        </w:numPr>
      </w:pPr>
      <w:r>
        <w:t xml:space="preserve">notatkę przekazania kontekstu.</w:t>
      </w:r>
    </w:p>
    <w:p>
      <w:pPr>
        <w:pStyle w:val="FirstParagraph"/>
      </w:pPr>
      <w:r>
        <w:t xml:space="preserve">Dwa monitory nie oznaczają dwóch zadań poznawczych. Oznaczają mniej</w:t>
      </w:r>
      <w:r>
        <w:t xml:space="preserve"> </w:t>
      </w:r>
      <w:r>
        <w:t xml:space="preserve">niepotrzebnych przełączeń podczas jednego zadania.</w:t>
      </w:r>
    </w:p>
    <w:bookmarkEnd w:id="26"/>
    <w:bookmarkStart w:id="27" w:name="przeglądarka-jako-narzędzie-źródłowe"/>
    <w:p>
      <w:pPr>
        <w:pStyle w:val="Heading2"/>
      </w:pPr>
      <w:r>
        <w:t xml:space="preserve">2.2 Przeglądarka jako narzędzie źródłowe</w:t>
      </w:r>
    </w:p>
    <w:p>
      <w:pPr>
        <w:pStyle w:val="FirstParagraph"/>
      </w:pPr>
      <w:r>
        <w:t xml:space="preserve">Przeglądarka jest nieodłączna od pracy, ale nie powinna być przypadkową stertą</w:t>
      </w:r>
      <w:r>
        <w:t xml:space="preserve"> </w:t>
      </w:r>
      <w:r>
        <w:t xml:space="preserve">kart. Dla aktywnego zadania warto utrzymywać trzy grupy: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źródło pierwotne</w:t>
      </w:r>
      <w:r>
        <w:t xml:space="preserve"> </w:t>
      </w:r>
      <w:r>
        <w:t xml:space="preserve">— dokumentacja, specyfikacja lub kod upstream,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obserwacja</w:t>
      </w:r>
      <w:r>
        <w:t xml:space="preserve"> </w:t>
      </w:r>
      <w:r>
        <w:t xml:space="preserve">— działający interfejs, log lub środowisko testowe,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materiał roboczy</w:t>
      </w:r>
      <w:r>
        <w:t xml:space="preserve"> </w:t>
      </w:r>
      <w:r>
        <w:t xml:space="preserve">— wyszukiwanie, które można zamknąć po zapisaniu wniosku.</w:t>
      </w:r>
    </w:p>
    <w:p>
      <w:pPr>
        <w:pStyle w:val="FirstParagraph"/>
      </w:pPr>
      <w:r>
        <w:t xml:space="preserve">Wniosek z researchu powinien trafić do zadania wraz z adresem źródła i datą</w:t>
      </w:r>
      <w:r>
        <w:t xml:space="preserve"> </w:t>
      </w:r>
      <w:r>
        <w:t xml:space="preserve">sprawdzenia. Sama otwarta karta nie jest pamięcią projektu.</w:t>
      </w:r>
    </w:p>
    <w:bookmarkEnd w:id="27"/>
    <w:bookmarkStart w:id="28" w:name="dwie-aplikacje-ai"/>
    <w:p>
      <w:pPr>
        <w:pStyle w:val="Heading2"/>
      </w:pPr>
      <w:r>
        <w:t xml:space="preserve">2.3 Dwie aplikacje AI</w:t>
      </w:r>
    </w:p>
    <w:p>
      <w:pPr>
        <w:pStyle w:val="FirstParagraph"/>
      </w:pPr>
      <w:r>
        <w:t xml:space="preserve">Dwa narzędzia mają sens, jeśli otrzymują różne role. Przykładowy podział: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Powierzchnia</w:t>
            </w:r>
          </w:p>
        </w:tc>
        <w:tc>
          <w:tcPr/>
          <w:p>
            <w:pPr>
              <w:pStyle w:val="Compact"/>
            </w:pPr>
            <w:r>
              <w:t xml:space="preserve">Domyślna 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</w:t>
            </w:r>
          </w:p>
        </w:tc>
        <w:tc>
          <w:tcPr/>
          <w:p>
            <w:pPr>
              <w:pStyle w:val="Compact"/>
            </w:pPr>
            <w:r>
              <w:t xml:space="preserve">implementacja z pełnym kontekstem repozytorium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</w:t>
            </w:r>
          </w:p>
        </w:tc>
        <w:tc>
          <w:tcPr/>
          <w:p>
            <w:pPr>
              <w:pStyle w:val="Compact"/>
            </w:pPr>
            <w:r>
              <w:t xml:space="preserve">niezależny review, testy lub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przeglądarka</w:t>
            </w:r>
          </w:p>
        </w:tc>
        <w:tc>
          <w:tcPr/>
          <w:p>
            <w:pPr>
              <w:pStyle w:val="Compact"/>
            </w:pPr>
            <w:r>
              <w:t xml:space="preserve">weryfikacja źródeł i obserwacja działania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wykonanie, testy, pomiary i receipts</w:t>
            </w:r>
          </w:p>
        </w:tc>
      </w:tr>
    </w:tbl>
    <w:p>
      <w:pPr>
        <w:pStyle w:val="BodyText"/>
      </w:pPr>
      <w:r>
        <w:t xml:space="preserve">Nie kopiuj automatycznie każdego promptu do obu modeli. Podwójna odpowiedź</w:t>
      </w:r>
      <w:r>
        <w:t xml:space="preserve"> </w:t>
      </w:r>
      <w:r>
        <w:t xml:space="preserve">tworzy podwójny koszt odbioru. Porównanie równoległe jest uzasadnione przy</w:t>
      </w:r>
      <w:r>
        <w:t xml:space="preserve"> </w:t>
      </w:r>
      <w:r>
        <w:t xml:space="preserve">decyzji trudnej do cofnięcia, dużej niepewności albo wyraźnym pomiarze jakości.</w:t>
      </w:r>
    </w:p>
    <w:bookmarkEnd w:id="28"/>
    <w:bookmarkStart w:id="29" w:name="higiena-stanowiska"/>
    <w:p>
      <w:pPr>
        <w:pStyle w:val="Heading2"/>
      </w:pPr>
      <w:r>
        <w:t xml:space="preserve">2.4 Higiena stanowiska</w:t>
      </w:r>
    </w:p>
    <w:p>
      <w:pPr>
        <w:pStyle w:val="Compact"/>
        <w:numPr>
          <w:ilvl w:val="0"/>
          <w:numId w:val="1011"/>
        </w:numPr>
      </w:pPr>
      <w:r>
        <w:t xml:space="preserve">Wyłącz powiadomienia o zakończeniu odpowiedzi modelu.</w:t>
      </w:r>
    </w:p>
    <w:p>
      <w:pPr>
        <w:pStyle w:val="Compact"/>
        <w:numPr>
          <w:ilvl w:val="0"/>
          <w:numId w:val="1011"/>
        </w:numPr>
      </w:pPr>
      <w:r>
        <w:t xml:space="preserve">Ustal dwa lub trzy okna odbioru wyników w ciągu dnia.</w:t>
      </w:r>
    </w:p>
    <w:p>
      <w:pPr>
        <w:pStyle w:val="Compact"/>
        <w:numPr>
          <w:ilvl w:val="0"/>
          <w:numId w:val="1011"/>
        </w:numPr>
      </w:pPr>
      <w:r>
        <w:t xml:space="preserve">Nie trzymaj sekretów w historii terminala ani treści promptu.</w:t>
      </w:r>
    </w:p>
    <w:p>
      <w:pPr>
        <w:pStyle w:val="Compact"/>
        <w:numPr>
          <w:ilvl w:val="0"/>
          <w:numId w:val="1011"/>
        </w:numPr>
      </w:pPr>
      <w:r>
        <w:t xml:space="preserve">Używaj osobnego profilu przeglądarki dla pracy i researchu.</w:t>
      </w:r>
    </w:p>
    <w:p>
      <w:pPr>
        <w:pStyle w:val="Compact"/>
        <w:numPr>
          <w:ilvl w:val="0"/>
          <w:numId w:val="1011"/>
        </w:numPr>
      </w:pPr>
      <w:r>
        <w:t xml:space="preserve">Zamykaj powierzchnie poprzedniego zadania przed rozpoczęciem następnego.</w:t>
      </w:r>
    </w:p>
    <w:bookmarkEnd w:id="29"/>
    <w:bookmarkStart w:id="30" w:name="eksperyment-1"/>
    <w:p>
      <w:pPr>
        <w:pStyle w:val="Heading2"/>
      </w:pPr>
      <w:r>
        <w:t xml:space="preserve">2.5 Eksperyment</w:t>
      </w:r>
    </w:p>
    <w:p>
      <w:pPr>
        <w:pStyle w:val="FirstParagraph"/>
      </w:pPr>
      <w:r>
        <w:t xml:space="preserve">Przez tydzień zrób zdjęcie lub tekstowy snapshot stanowiska na początku każdej</w:t>
      </w:r>
      <w:r>
        <w:t xml:space="preserve"> </w:t>
      </w:r>
      <w:r>
        <w:t xml:space="preserve">sesji. Zapisz liczbę widocznych powierzchni niezwiązanych z aktywnym zadaniem i</w:t>
      </w:r>
      <w:r>
        <w:t xml:space="preserve"> </w:t>
      </w:r>
      <w:r>
        <w:t xml:space="preserve">liczbę przerwań wywołanych przez narzędzia. Następnie usuń jedną klasę</w:t>
      </w:r>
      <w:r>
        <w:t xml:space="preserve"> </w:t>
      </w:r>
      <w:r>
        <w:t xml:space="preserve">przerwań. Nie zmieniaj jednocześnie sprzętu, modelu i procesu — nie będziesz</w:t>
      </w:r>
      <w:r>
        <w:t xml:space="preserve"> </w:t>
      </w:r>
      <w:r>
        <w:t xml:space="preserve">wiedzieć, co wpłynęło na wynik.</w:t>
      </w:r>
    </w:p>
    <w:bookmarkEnd w:id="30"/>
    <w:bookmarkEnd w:id="31"/>
    <w:bookmarkStart w:id="37" w:name="kolejka-zamiast-chaosu"/>
    <w:p>
      <w:pPr>
        <w:pStyle w:val="Heading1"/>
      </w:pPr>
      <w:r>
        <w:t xml:space="preserve">3. Kolejka zamiast chaosu</w:t>
      </w:r>
    </w:p>
    <w:p>
      <w:pPr>
        <w:pStyle w:val="FirstParagraph"/>
      </w:pPr>
      <w:r>
        <w:t xml:space="preserve">Każde zadanie przed wysłaniem do modelu ma kryteria akceptacji, limit czasu,</w:t>
      </w:r>
      <w:r>
        <w:t xml:space="preserve"> </w:t>
      </w:r>
      <w:r>
        <w:t xml:space="preserve">limit kosztu i jasny punkt eskalacji. Wyniki nie przerywają skupienia — czekają</w:t>
      </w:r>
      <w:r>
        <w:t xml:space="preserve"> </w:t>
      </w:r>
      <w:r>
        <w:t xml:space="preserve">na zaplanowany odbiór.</w:t>
      </w:r>
    </w:p>
    <w:p>
      <w:pPr>
        <w:pStyle w:val="BodyText"/>
      </w:pPr>
      <w:r>
        <w:t xml:space="preserve">Kolejka jest kontraktem między generowaniem a ludzką decyzją. Bez niej każde</w:t>
      </w:r>
      <w:r>
        <w:t xml:space="preserve"> </w:t>
      </w:r>
      <w:r>
        <w:t xml:space="preserve">narzędzie walczy o uwagę, a kolejność pracy ustala moment pojawienia się</w:t>
      </w:r>
      <w:r>
        <w:t xml:space="preserve"> </w:t>
      </w:r>
      <w:r>
        <w:t xml:space="preserve">powiadomienia.</w:t>
      </w:r>
    </w:p>
    <w:bookmarkStart w:id="32" w:name="minimalna-karta-zadania"/>
    <w:p>
      <w:pPr>
        <w:pStyle w:val="Heading2"/>
      </w:pPr>
      <w:r>
        <w:t xml:space="preserve">3.1 Minimalna karta zadania</w:t>
      </w:r>
    </w:p>
    <w:p>
      <w:pPr>
        <w:pStyle w:val="SourceCode"/>
      </w:pP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api-validation-001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"Nieprawidłowe wejście zwraca stabilny błąd domenowy"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"ścieżka modułu"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"obowiązujący kontrakt API"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negatywny przechodzi"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"brak zmiany zachowania poprawnych żądań"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ai_runs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after_failed_attempts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"human:programmer"</w:t>
      </w:r>
    </w:p>
    <w:p>
      <w:pPr>
        <w:pStyle w:val="FirstParagraph"/>
      </w:pPr>
      <w:r>
        <w:t xml:space="preserve">Karta nie musi być długa. Musi pozwolić odróżnić wynik użyteczny od</w:t>
      </w:r>
      <w:r>
        <w:t xml:space="preserve"> </w:t>
      </w:r>
      <w:r>
        <w:t xml:space="preserve">przekonująco brzmiącej odpowiedzi.</w:t>
      </w:r>
    </w:p>
    <w:bookmarkEnd w:id="32"/>
    <w:bookmarkStart w:id="33" w:name="stany-kolejki"/>
    <w:p>
      <w:pPr>
        <w:pStyle w:val="Heading2"/>
      </w:pPr>
      <w:r>
        <w:t xml:space="preserve">3.2 Stany kolejki</w:t>
      </w:r>
    </w:p>
    <w:p>
      <w:pPr>
        <w:pStyle w:val="FirstParagraph"/>
      </w:pPr>
      <w:r>
        <w:t xml:space="preserve">Wystarcza sześć stanów: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ready</w:t>
      </w:r>
      <w:r>
        <w:t xml:space="preserve"> </w:t>
      </w:r>
      <w:r>
        <w:t xml:space="preserve">— zadanie ma kontekst i kryteria,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running</w:t>
      </w:r>
      <w:r>
        <w:t xml:space="preserve"> </w:t>
      </w:r>
      <w:r>
        <w:t xml:space="preserve">— wykonawca pracuje,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— wynik czeka na zaplanowany odbiór,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needs_input</w:t>
      </w:r>
      <w:r>
        <w:t xml:space="preserve"> </w:t>
      </w:r>
      <w:r>
        <w:t xml:space="preserve">— brakuje konkretnej decyzji albo danych,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— kryteria i dowód są spełnione,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discarded</w:t>
      </w:r>
      <w:r>
        <w:t xml:space="preserve"> </w:t>
      </w:r>
      <w:r>
        <w:t xml:space="preserve">— wynik odrzucono wraz z powodem.</w:t>
      </w:r>
    </w:p>
    <w:p>
      <w:pPr>
        <w:pStyle w:val="FirstParagraph"/>
      </w:pPr>
      <w:r>
        <w:t xml:space="preserve">Stan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nie jest postępem samym w sobie. Postęp następuje wtedy, gdy</w:t>
      </w:r>
      <w:r>
        <w:t xml:space="preserve"> </w:t>
      </w:r>
      <w:r>
        <w:t xml:space="preserve">zadanie przechodzi do stanu bliższego decyzji i pozostawia nową informację.</w:t>
      </w:r>
    </w:p>
    <w:bookmarkEnd w:id="33"/>
    <w:bookmarkStart w:id="34" w:name="zasady-odbioru"/>
    <w:p>
      <w:pPr>
        <w:pStyle w:val="Heading2"/>
      </w:pPr>
      <w:r>
        <w:t xml:space="preserve">3.3 Zasady odbioru</w:t>
      </w:r>
    </w:p>
    <w:p>
      <w:pPr>
        <w:pStyle w:val="Compact"/>
        <w:numPr>
          <w:ilvl w:val="0"/>
          <w:numId w:val="1013"/>
        </w:numPr>
      </w:pPr>
      <w:r>
        <w:t xml:space="preserve">Odbieraj wyniki partiami, nie natychmiast.</w:t>
      </w:r>
    </w:p>
    <w:p>
      <w:pPr>
        <w:pStyle w:val="Compact"/>
        <w:numPr>
          <w:ilvl w:val="0"/>
          <w:numId w:val="1013"/>
        </w:numPr>
      </w:pPr>
      <w:r>
        <w:t xml:space="preserve">Najpierw sprawdzaj zadania blokujące aktywną pracę.</w:t>
      </w:r>
    </w:p>
    <w:p>
      <w:pPr>
        <w:pStyle w:val="Compact"/>
        <w:numPr>
          <w:ilvl w:val="0"/>
          <w:numId w:val="1013"/>
        </w:numPr>
      </w:pPr>
      <w:r>
        <w:t xml:space="preserve">Nie uruchamiaj kolejnej iteracji bez zapisania przyczyny odrzucenia.</w:t>
      </w:r>
    </w:p>
    <w:p>
      <w:pPr>
        <w:pStyle w:val="Compact"/>
        <w:numPr>
          <w:ilvl w:val="0"/>
          <w:numId w:val="1013"/>
        </w:numPr>
      </w:pPr>
      <w:r>
        <w:t xml:space="preserve">Wynik bez diffu, testu lub wskazanego źródła wraca do wykonawcy.</w:t>
      </w:r>
    </w:p>
    <w:p>
      <w:pPr>
        <w:pStyle w:val="Compact"/>
        <w:numPr>
          <w:ilvl w:val="0"/>
          <w:numId w:val="1013"/>
        </w:numPr>
      </w:pPr>
      <w:r>
        <w:t xml:space="preserve">Po przekroczeniu limitu prób eskaluj do człowieka albo zmień strategię.</w:t>
      </w:r>
    </w:p>
    <w:bookmarkEnd w:id="34"/>
    <w:bookmarkStart w:id="35" w:name="backpressure"/>
    <w:p>
      <w:pPr>
        <w:pStyle w:val="Heading2"/>
      </w:pPr>
      <w:r>
        <w:t xml:space="preserve">3.4 Backpressure</w:t>
      </w:r>
    </w:p>
    <w:p>
      <w:pPr>
        <w:pStyle w:val="FirstParagraph"/>
      </w:pPr>
      <w:r>
        <w:t xml:space="preserve">Jeżeli kolejka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osiąga ustalony limit, nie uruchamiaj następnych zadań</w:t>
      </w:r>
      <w:r>
        <w:t xml:space="preserve"> </w:t>
      </w:r>
      <w:r>
        <w:t xml:space="preserve">AI. To nie jest marnowanie dostępnego modelu. To ochrona najrzadszego zasobu:</w:t>
      </w:r>
      <w:r>
        <w:t xml:space="preserve"> </w:t>
      </w:r>
      <w:r>
        <w:t xml:space="preserve">zdolności człowieka do odpowiedzialnego odbioru.</w:t>
      </w:r>
    </w:p>
    <w:bookmarkEnd w:id="35"/>
    <w:bookmarkStart w:id="36" w:name="eksperyment-2"/>
    <w:p>
      <w:pPr>
        <w:pStyle w:val="Heading2"/>
      </w:pPr>
      <w:r>
        <w:t xml:space="preserve">3.5 Eksperyment</w:t>
      </w:r>
    </w:p>
    <w:p>
      <w:pPr>
        <w:pStyle w:val="FirstParagraph"/>
      </w:pPr>
      <w:r>
        <w:t xml:space="preserve">Ustaw limit dwóch wyników oczekujących na review. Przez pięć dni zapisuj</w:t>
      </w:r>
      <w:r>
        <w:t xml:space="preserve"> </w:t>
      </w:r>
      <w:r>
        <w:t xml:space="preserve">największą długość kolejki, średni czas oczekiwania i liczbę wyników</w:t>
      </w:r>
      <w:r>
        <w:t xml:space="preserve"> </w:t>
      </w:r>
      <w:r>
        <w:t xml:space="preserve">odrzuconych bez kolejnej iteracji. Jeśli kolejka często jest pełna, zmniejsz</w:t>
      </w:r>
      <w:r>
        <w:t xml:space="preserve"> </w:t>
      </w:r>
      <w:r>
        <w:t xml:space="preserve">liczbę równoległych zadań albo popraw ich kryteria wejścia.</w:t>
      </w:r>
    </w:p>
    <w:bookmarkEnd w:id="36"/>
    <w:bookmarkEnd w:id="37"/>
    <w:bookmarkStart w:id="43" w:name="dwa-modele-różne-role"/>
    <w:p>
      <w:pPr>
        <w:pStyle w:val="Heading1"/>
      </w:pPr>
      <w:r>
        <w:t xml:space="preserve">4. Dwa modele, różne role</w:t>
      </w:r>
    </w:p>
    <w:p>
      <w:pPr>
        <w:pStyle w:val="FirstParagraph"/>
      </w:pPr>
      <w:r>
        <w:t xml:space="preserve">Model A przygotowuje rozwiązanie. Model B otrzymuje diff i kryteria, a następnie</w:t>
      </w:r>
      <w:r>
        <w:t xml:space="preserve"> </w:t>
      </w:r>
      <w:r>
        <w:t xml:space="preserve">szuka luk, projektuje testy lub podważa założenia. Dostawca jest bindingiem do</w:t>
      </w:r>
      <w:r>
        <w:t xml:space="preserve"> </w:t>
      </w:r>
      <w:r>
        <w:t xml:space="preserve">capability, nie częścią strategii.</w:t>
      </w:r>
    </w:p>
    <w:p>
      <w:pPr>
        <w:pStyle w:val="BodyText"/>
      </w:pPr>
      <w:r>
        <w:t xml:space="preserve">Obserwacje programistów korzystających z generatorów kodu rozróżniają tryb</w:t>
      </w:r>
      <w:r>
        <w:t xml:space="preserve"> </w:t>
      </w:r>
      <w:r>
        <w:t xml:space="preserve">przyspieszenia, gdy człowiek zna następny krok, oraz eksploracji, gdy dopiero</w:t>
      </w:r>
      <w:r>
        <w:t xml:space="preserve"> </w:t>
      </w:r>
      <w:r>
        <w:t xml:space="preserve">szuka rozwiązania</w:t>
      </w:r>
      <w:r>
        <w:t xml:space="preserve"> </w:t>
      </w:r>
      <w:r>
        <w:t xml:space="preserve">(Barke et al. 2023)</w:t>
      </w:r>
      <w:r>
        <w:t xml:space="preserve">. Rozdzielenie ról modeli powinno wynikać</w:t>
      </w:r>
      <w:r>
        <w:t xml:space="preserve"> </w:t>
      </w:r>
      <w:r>
        <w:t xml:space="preserve">z tych odmiennych potrzeb, a nie z samej dostępności kolejnego okna czatu.</w:t>
      </w:r>
    </w:p>
    <w:p>
      <w:pPr>
        <w:pStyle w:val="BodyText"/>
      </w:pPr>
      <w:r>
        <w:t xml:space="preserve">Posiadanie dwóch dostępów nie jest jeszcze redundancją. Redundancja powstaje</w:t>
      </w:r>
      <w:r>
        <w:t xml:space="preserve"> </w:t>
      </w:r>
      <w:r>
        <w:t xml:space="preserve">dopiero wtedy, gdy drugi tor potrafi przejąć potrzebną capability albo</w:t>
      </w:r>
      <w:r>
        <w:t xml:space="preserve"> </w:t>
      </w:r>
      <w:r>
        <w:t xml:space="preserve">niezależnie wykryć błąd pierwszego.</w:t>
      </w:r>
    </w:p>
    <w:bookmarkStart w:id="38" w:name="podział-odpowiedzialności"/>
    <w:p>
      <w:pPr>
        <w:pStyle w:val="Heading2"/>
      </w:pPr>
      <w:r>
        <w:t xml:space="preserve">4.1 Podział odpowiedzialności</w:t>
      </w:r>
    </w:p>
    <w:p>
      <w:pPr>
        <w:pStyle w:val="FirstParagraph"/>
      </w:pPr>
      <w:r>
        <w:t xml:space="preserve">Najprostszy wzorzec wygląda tak: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Rola</w:t>
            </w:r>
          </w:p>
        </w:tc>
        <w:tc>
          <w:tcPr/>
          <w:p>
            <w:pPr>
              <w:pStyle w:val="Compact"/>
            </w:pPr>
            <w:r>
              <w:t xml:space="preserve">Otrzymuje</w:t>
            </w:r>
          </w:p>
        </w:tc>
        <w:tc>
          <w:tcPr/>
          <w:p>
            <w:pPr>
              <w:pStyle w:val="Compact"/>
            </w:pPr>
            <w:r>
              <w:t xml:space="preserve">Zwraca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wykonawca</w:t>
            </w:r>
          </w:p>
        </w:tc>
        <w:tc>
          <w:tcPr/>
          <w:p>
            <w:pPr>
              <w:pStyle w:val="Compact"/>
            </w:pPr>
            <w:r>
              <w:t xml:space="preserve">zadanie, kontekst, kryteria</w:t>
            </w:r>
          </w:p>
        </w:tc>
        <w:tc>
          <w:tcPr/>
          <w:p>
            <w:pPr>
              <w:pStyle w:val="Compact"/>
            </w:pPr>
            <w:r>
              <w:t xml:space="preserve">mały diff i wyniki kontroli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recenzent</w:t>
            </w:r>
          </w:p>
        </w:tc>
        <w:tc>
          <w:tcPr/>
          <w:p>
            <w:pPr>
              <w:pStyle w:val="Compact"/>
            </w:pPr>
            <w:r>
              <w:t xml:space="preserve">kryteria, diff, istotne ograniczenia</w:t>
            </w:r>
          </w:p>
        </w:tc>
        <w:tc>
          <w:tcPr/>
          <w:p>
            <w:pPr>
              <w:pStyle w:val="Compact"/>
            </w:pPr>
            <w:r>
              <w:t xml:space="preserve">findings, testy i ocenę ryzyka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człowiek</w:t>
            </w:r>
          </w:p>
        </w:tc>
        <w:tc>
          <w:tcPr/>
          <w:p>
            <w:pPr>
              <w:pStyle w:val="Compact"/>
            </w:pPr>
            <w:r>
              <w:t xml:space="preserve">oba wyniki i dowody</w:t>
            </w:r>
          </w:p>
        </w:tc>
        <w:tc>
          <w:tcPr/>
          <w:p>
            <w:pPr>
              <w:pStyle w:val="Compact"/>
            </w:pPr>
            <w:r>
              <w:t xml:space="preserve">decyzję: zaakceptuj, popraw lub odrzuć</w:t>
            </w:r>
          </w:p>
        </w:tc>
      </w:tr>
    </w:tbl>
    <w:p>
      <w:pPr>
        <w:pStyle w:val="BodyText"/>
      </w:pPr>
      <w:r>
        <w:t xml:space="preserve">Recenzent nie powinien otrzymywać całego toku rozumowania wykonawcy. Potrzebuje</w:t>
      </w:r>
      <w:r>
        <w:t xml:space="preserve"> </w:t>
      </w:r>
      <w:r>
        <w:t xml:space="preserve">artefaktu, celu i ograniczeń. Dzięki temu ma szansę zakwestionować założenie,</w:t>
      </w:r>
      <w:r>
        <w:t xml:space="preserve"> </w:t>
      </w:r>
      <w:r>
        <w:t xml:space="preserve">zamiast tylko kontynuować pierwszą narrację.</w:t>
      </w:r>
    </w:p>
    <w:bookmarkEnd w:id="38"/>
    <w:bookmarkStart w:id="39" w:name="kiedy-drugi-model-pomaga"/>
    <w:p>
      <w:pPr>
        <w:pStyle w:val="Heading2"/>
      </w:pPr>
      <w:r>
        <w:t xml:space="preserve">4.2 Kiedy drugi model pomaga</w:t>
      </w:r>
    </w:p>
    <w:p>
      <w:pPr>
        <w:pStyle w:val="Compact"/>
        <w:numPr>
          <w:ilvl w:val="0"/>
          <w:numId w:val="1014"/>
        </w:numPr>
      </w:pPr>
      <w:r>
        <w:t xml:space="preserve">zmiana dotyczy bezpieczeństwa, danych albo trudnego rollbacku,</w:t>
      </w:r>
    </w:p>
    <w:p>
      <w:pPr>
        <w:pStyle w:val="Compact"/>
        <w:numPr>
          <w:ilvl w:val="0"/>
          <w:numId w:val="1014"/>
        </w:numPr>
      </w:pPr>
      <w:r>
        <w:t xml:space="preserve">testy są niepełne i potrzebna jest druga perspektywa,</w:t>
      </w:r>
    </w:p>
    <w:p>
      <w:pPr>
        <w:pStyle w:val="Compact"/>
        <w:numPr>
          <w:ilvl w:val="0"/>
          <w:numId w:val="1014"/>
        </w:numPr>
      </w:pPr>
      <w:r>
        <w:t xml:space="preserve">jeden dostawca nie ma wymaganej capability,</w:t>
      </w:r>
    </w:p>
    <w:p>
      <w:pPr>
        <w:pStyle w:val="Compact"/>
        <w:numPr>
          <w:ilvl w:val="0"/>
          <w:numId w:val="1014"/>
        </w:numPr>
      </w:pPr>
      <w:r>
        <w:t xml:space="preserve">wynik researchu wymaga potwierdzenia źródeł,</w:t>
      </w:r>
    </w:p>
    <w:p>
      <w:pPr>
        <w:pStyle w:val="Compact"/>
        <w:numPr>
          <w:ilvl w:val="0"/>
          <w:numId w:val="1014"/>
        </w:numPr>
      </w:pPr>
      <w:r>
        <w:t xml:space="preserve">awaria lub limit jednego dostawcy blokuje pracę.</w:t>
      </w:r>
    </w:p>
    <w:bookmarkEnd w:id="39"/>
    <w:bookmarkStart w:id="40" w:name="kiedy-drugi-model-szkodzi"/>
    <w:p>
      <w:pPr>
        <w:pStyle w:val="Heading2"/>
      </w:pPr>
      <w:r>
        <w:t xml:space="preserve">4.3 Kiedy drugi model szkodzi</w:t>
      </w:r>
    </w:p>
    <w:p>
      <w:pPr>
        <w:pStyle w:val="Compact"/>
        <w:numPr>
          <w:ilvl w:val="0"/>
          <w:numId w:val="1015"/>
        </w:numPr>
      </w:pPr>
      <w:r>
        <w:t xml:space="preserve">zadanie jest małe, deterministyczne i dobrze pokryte testami,</w:t>
      </w:r>
    </w:p>
    <w:p>
      <w:pPr>
        <w:pStyle w:val="Compact"/>
        <w:numPr>
          <w:ilvl w:val="0"/>
          <w:numId w:val="1015"/>
        </w:numPr>
      </w:pPr>
      <w:r>
        <w:t xml:space="preserve">człowiek musi przeczytać dwie długie, podobne odpowiedzi,</w:t>
      </w:r>
    </w:p>
    <w:p>
      <w:pPr>
        <w:pStyle w:val="Compact"/>
        <w:numPr>
          <w:ilvl w:val="0"/>
          <w:numId w:val="1015"/>
        </w:numPr>
      </w:pPr>
      <w:r>
        <w:t xml:space="preserve">modele wzajemnie recenzują prozę zamiast sprawdzać artefakt,</w:t>
      </w:r>
    </w:p>
    <w:p>
      <w:pPr>
        <w:pStyle w:val="Compact"/>
        <w:numPr>
          <w:ilvl w:val="0"/>
          <w:numId w:val="1015"/>
        </w:numPr>
      </w:pPr>
      <w:r>
        <w:t xml:space="preserve">koszt porównania jest większy niż ryzyko zadania,</w:t>
      </w:r>
    </w:p>
    <w:p>
      <w:pPr>
        <w:pStyle w:val="Compact"/>
        <w:numPr>
          <w:ilvl w:val="0"/>
          <w:numId w:val="1015"/>
        </w:numPr>
      </w:pPr>
      <w:r>
        <w:t xml:space="preserve">drugi model dostaje te same błędne założenia i nie ma niezależnego dowodu.</w:t>
      </w:r>
    </w:p>
    <w:bookmarkEnd w:id="40"/>
    <w:bookmarkStart w:id="41" w:name="routing-po-capability"/>
    <w:p>
      <w:pPr>
        <w:pStyle w:val="Heading2"/>
      </w:pPr>
      <w:r>
        <w:t xml:space="preserve">4.4 Routing po capability</w:t>
      </w:r>
    </w:p>
    <w:p>
      <w:pPr>
        <w:pStyle w:val="FirstParagraph"/>
      </w:pPr>
      <w:r>
        <w:t xml:space="preserve">Strategia powinna mówić „implementacja”, „research”, „test design” albo</w:t>
      </w:r>
      <w:r>
        <w:t xml:space="preserve"> </w:t>
      </w:r>
      <w:r>
        <w:t xml:space="preserve">„niezależny review”, a nie zawierać nazwę produktu. Osobny binding może brać</w:t>
      </w:r>
      <w:r>
        <w:t xml:space="preserve"> </w:t>
      </w:r>
      <w:r>
        <w:t xml:space="preserve">pod uwagę:</w:t>
      </w:r>
    </w:p>
    <w:p>
      <w:pPr>
        <w:pStyle w:val="Compact"/>
        <w:numPr>
          <w:ilvl w:val="0"/>
          <w:numId w:val="1016"/>
        </w:numPr>
      </w:pPr>
      <w:r>
        <w:t xml:space="preserve">dostęp do repozytorium i narzędzi,</w:t>
      </w:r>
    </w:p>
    <w:p>
      <w:pPr>
        <w:pStyle w:val="Compact"/>
        <w:numPr>
          <w:ilvl w:val="0"/>
          <w:numId w:val="1016"/>
        </w:numPr>
      </w:pPr>
      <w:r>
        <w:t xml:space="preserve">długość oraz rodzaj kontekstu,</w:t>
      </w:r>
    </w:p>
    <w:p>
      <w:pPr>
        <w:pStyle w:val="Compact"/>
        <w:numPr>
          <w:ilvl w:val="0"/>
          <w:numId w:val="1016"/>
        </w:numPr>
      </w:pPr>
      <w:r>
        <w:t xml:space="preserve">prywatność danych,</w:t>
      </w:r>
    </w:p>
    <w:p>
      <w:pPr>
        <w:pStyle w:val="Compact"/>
        <w:numPr>
          <w:ilvl w:val="0"/>
          <w:numId w:val="1016"/>
        </w:numPr>
      </w:pPr>
      <w:r>
        <w:t xml:space="preserve">aktualny limit i przewidywany koszt,</w:t>
      </w:r>
    </w:p>
    <w:p>
      <w:pPr>
        <w:pStyle w:val="Compact"/>
        <w:numPr>
          <w:ilvl w:val="0"/>
          <w:numId w:val="1016"/>
        </w:numPr>
      </w:pPr>
      <w:r>
        <w:t xml:space="preserve">obserwowaną jakość w podobnych zadaniach.</w:t>
      </w:r>
    </w:p>
    <w:p>
      <w:pPr>
        <w:pStyle w:val="FirstParagraph"/>
      </w:pPr>
      <w:r>
        <w:t xml:space="preserve">Zmiana dostawcy nie powinna zmieniać definicji sukcesu.</w:t>
      </w:r>
    </w:p>
    <w:bookmarkEnd w:id="41"/>
    <w:bookmarkStart w:id="42" w:name="eksperyment-3"/>
    <w:p>
      <w:pPr>
        <w:pStyle w:val="Heading2"/>
      </w:pPr>
      <w:r>
        <w:t xml:space="preserve">4.5 Eksperyment</w:t>
      </w:r>
    </w:p>
    <w:p>
      <w:pPr>
        <w:pStyle w:val="FirstParagraph"/>
      </w:pPr>
      <w:r>
        <w:t xml:space="preserve">Wybierz dziesięć podobnych zmian. Pięć wykonaj w torze pojedynczym, a pięć w</w:t>
      </w:r>
      <w:r>
        <w:t xml:space="preserve"> </w:t>
      </w:r>
      <w:r>
        <w:t xml:space="preserve">torze wykonawca–recenzent. Zmierz aktywny czas człowieka, liczbę poprawek,</w:t>
      </w:r>
      <w:r>
        <w:t xml:space="preserve"> </w:t>
      </w:r>
      <w:r>
        <w:t xml:space="preserve">defekty wykryte przed akceptacją i koszt. Dwa modele są usprawnieniem tylko</w:t>
      </w:r>
      <w:r>
        <w:t xml:space="preserve"> </w:t>
      </w:r>
      <w:r>
        <w:t xml:space="preserve">wtedy, gdy wartość wcześniejszego wykrycia błędów przewyższa dodatkowy odbiór.</w:t>
      </w:r>
    </w:p>
    <w:bookmarkEnd w:id="42"/>
    <w:bookmarkEnd w:id="43"/>
    <w:bookmarkStart w:id="48" w:name="równoległość-bez-multitaskingu"/>
    <w:p>
      <w:pPr>
        <w:pStyle w:val="Heading1"/>
      </w:pPr>
      <w:r>
        <w:t xml:space="preserve">5. Równoległość bez multitaskingu</w:t>
      </w:r>
    </w:p>
    <w:p>
      <w:pPr>
        <w:pStyle w:val="FirstParagraph"/>
      </w:pPr>
      <w:r>
        <w:t xml:space="preserve">AI może wykonywać kilka niezależnych operacji. Człowiek nie powinien odbierać</w:t>
      </w:r>
      <w:r>
        <w:t xml:space="preserve"> </w:t>
      </w:r>
      <w:r>
        <w:t xml:space="preserve">ich w losowej kolejności. Drugi projekt uruchamiamy dopiero wtedy, gdy pierwszy</w:t>
      </w:r>
      <w:r>
        <w:t xml:space="preserve"> </w:t>
      </w:r>
      <w:r>
        <w:t xml:space="preserve">czeka na rzeczywisty bloker zewnętrzny.</w:t>
      </w:r>
    </w:p>
    <w:p>
      <w:pPr>
        <w:pStyle w:val="BodyText"/>
      </w:pPr>
      <w:r>
        <w:t xml:space="preserve">Równoległość dotyczy wykonania. Multitasking dotyczy uwagi. To rozróżnienie</w:t>
      </w:r>
      <w:r>
        <w:t xml:space="preserve"> </w:t>
      </w:r>
      <w:r>
        <w:t xml:space="preserve">pozwala korzystać z przepustowości narzędzi bez utrzymywania kilku problemów w</w:t>
      </w:r>
      <w:r>
        <w:t xml:space="preserve"> </w:t>
      </w:r>
      <w:r>
        <w:t xml:space="preserve">pamięci człowieka.</w:t>
      </w:r>
    </w:p>
    <w:bookmarkStart w:id="44" w:name="pipeline-zamiast-wielu-otwartych-frontów"/>
    <w:p>
      <w:pPr>
        <w:pStyle w:val="Heading2"/>
      </w:pPr>
      <w:r>
        <w:t xml:space="preserve">5.1 Pipeline zamiast wielu otwartych frontów</w:t>
      </w:r>
    </w:p>
    <w:p>
      <w:pPr>
        <w:pStyle w:val="SourceCode"/>
      </w:pPr>
      <w:r>
        <w:rPr>
          <w:rStyle w:val="VerbatimChar"/>
        </w:rPr>
        <w:t xml:space="preserve">człowiek: definiuje A</w:t>
      </w:r>
      <w:r>
        <w:br/>
      </w:r>
      <w:r>
        <w:rPr>
          <w:rStyle w:val="VerbatimChar"/>
        </w:rPr>
        <w:t xml:space="preserve">AI:       wykonuje A</w:t>
      </w:r>
      <w:r>
        <w:br/>
      </w:r>
      <w:r>
        <w:rPr>
          <w:rStyle w:val="VerbatimChar"/>
        </w:rPr>
        <w:t xml:space="preserve">człowiek: definiuje B</w:t>
      </w:r>
      <w:r>
        <w:br/>
      </w:r>
      <w:r>
        <w:rPr>
          <w:rStyle w:val="VerbatimChar"/>
        </w:rPr>
        <w:t xml:space="preserve">AI:       wykonuje B</w:t>
      </w:r>
      <w:r>
        <w:br/>
      </w:r>
      <w:r>
        <w:rPr>
          <w:rStyle w:val="VerbatimChar"/>
        </w:rPr>
        <w:t xml:space="preserve">człowiek: odbiera A</w:t>
      </w:r>
      <w:r>
        <w:br/>
      </w:r>
      <w:r>
        <w:rPr>
          <w:rStyle w:val="VerbatimChar"/>
        </w:rPr>
        <w:t xml:space="preserve">testy:    weryfikują A</w:t>
      </w:r>
      <w:r>
        <w:br/>
      </w:r>
      <w:r>
        <w:rPr>
          <w:rStyle w:val="VerbatimChar"/>
        </w:rPr>
        <w:t xml:space="preserve">człowiek: podejmuje decyzję A</w:t>
      </w:r>
    </w:p>
    <w:p>
      <w:pPr>
        <w:pStyle w:val="FirstParagraph"/>
      </w:pPr>
      <w:r>
        <w:t xml:space="preserve">Przełączenie jest tanie tylko wtedy, gdy poprzedni kontekst został zapisany.</w:t>
      </w:r>
      <w:r>
        <w:t xml:space="preserve"> </w:t>
      </w:r>
      <w:r>
        <w:t xml:space="preserve">Minimalna notatka przekazania powinna zawierać:</w:t>
      </w:r>
    </w:p>
    <w:p>
      <w:pPr>
        <w:pStyle w:val="Compact"/>
        <w:numPr>
          <w:ilvl w:val="0"/>
          <w:numId w:val="1017"/>
        </w:numPr>
      </w:pPr>
      <w:r>
        <w:t xml:space="preserve">aktualny cel,</w:t>
      </w:r>
    </w:p>
    <w:p>
      <w:pPr>
        <w:pStyle w:val="Compact"/>
        <w:numPr>
          <w:ilvl w:val="0"/>
          <w:numId w:val="1017"/>
        </w:numPr>
      </w:pPr>
      <w:r>
        <w:t xml:space="preserve">ostatnią potwierdzoną obserwację,</w:t>
      </w:r>
    </w:p>
    <w:p>
      <w:pPr>
        <w:pStyle w:val="Compact"/>
        <w:numPr>
          <w:ilvl w:val="0"/>
          <w:numId w:val="1017"/>
        </w:numPr>
      </w:pPr>
      <w:r>
        <w:t xml:space="preserve">otwarte pytanie,</w:t>
      </w:r>
    </w:p>
    <w:p>
      <w:pPr>
        <w:pStyle w:val="Compact"/>
        <w:numPr>
          <w:ilvl w:val="0"/>
          <w:numId w:val="1017"/>
        </w:numPr>
      </w:pPr>
      <w:r>
        <w:t xml:space="preserve">następne polecenie lub decyzję,</w:t>
      </w:r>
    </w:p>
    <w:p>
      <w:pPr>
        <w:pStyle w:val="Compact"/>
        <w:numPr>
          <w:ilvl w:val="0"/>
          <w:numId w:val="1017"/>
        </w:numPr>
      </w:pPr>
      <w:r>
        <w:t xml:space="preserve">odnośniki do diffu, testu i zadania.</w:t>
      </w:r>
    </w:p>
    <w:bookmarkEnd w:id="44"/>
    <w:bookmarkStart w:id="45" w:name="dopuszczalny-drugi-projekt"/>
    <w:p>
      <w:pPr>
        <w:pStyle w:val="Heading2"/>
      </w:pPr>
      <w:r>
        <w:t xml:space="preserve">5.2 Dopuszczalny drugi projekt</w:t>
      </w:r>
    </w:p>
    <w:p>
      <w:pPr>
        <w:pStyle w:val="FirstParagraph"/>
      </w:pPr>
      <w:r>
        <w:t xml:space="preserve">Drugi projekt można otworzyć, gdy pierwszy:</w:t>
      </w:r>
    </w:p>
    <w:p>
      <w:pPr>
        <w:pStyle w:val="Compact"/>
        <w:numPr>
          <w:ilvl w:val="0"/>
          <w:numId w:val="1018"/>
        </w:numPr>
      </w:pPr>
      <w:r>
        <w:t xml:space="preserve">czeka na zewnętrzną odpowiedź,</w:t>
      </w:r>
    </w:p>
    <w:p>
      <w:pPr>
        <w:pStyle w:val="Compact"/>
        <w:numPr>
          <w:ilvl w:val="0"/>
          <w:numId w:val="1018"/>
        </w:numPr>
      </w:pPr>
      <w:r>
        <w:t xml:space="preserve">wykonuje długi, automatyczny proces,</w:t>
      </w:r>
    </w:p>
    <w:p>
      <w:pPr>
        <w:pStyle w:val="Compact"/>
        <w:numPr>
          <w:ilvl w:val="0"/>
          <w:numId w:val="1018"/>
        </w:numPr>
      </w:pPr>
      <w:r>
        <w:t xml:space="preserve">ma zapisany stan i jednoznaczny punkt wznowienia,</w:t>
      </w:r>
    </w:p>
    <w:p>
      <w:pPr>
        <w:pStyle w:val="Compact"/>
        <w:numPr>
          <w:ilvl w:val="0"/>
          <w:numId w:val="1018"/>
        </w:numPr>
      </w:pPr>
      <w:r>
        <w:t xml:space="preserve">nie może zostać przyspieszony kolejną decyzją człowieka.</w:t>
      </w:r>
    </w:p>
    <w:p>
      <w:pPr>
        <w:pStyle w:val="FirstParagraph"/>
      </w:pPr>
      <w:r>
        <w:t xml:space="preserve">„Model jeszcze pisze” zwykle nie jest wystarczającym powodem. Ten czas można</w:t>
      </w:r>
      <w:r>
        <w:t xml:space="preserve"> </w:t>
      </w:r>
      <w:r>
        <w:t xml:space="preserve">wykorzystać na doprecyzowanie testu, przygotowanie odbioru albo przerwę.</w:t>
      </w:r>
    </w:p>
    <w:bookmarkEnd w:id="45"/>
    <w:bookmarkStart w:id="46" w:name="limity-pracy-w-toku"/>
    <w:p>
      <w:pPr>
        <w:pStyle w:val="Heading2"/>
      </w:pPr>
      <w:r>
        <w:t xml:space="preserve">5.3 Limity pracy w toku</w:t>
      </w:r>
    </w:p>
    <w:p>
      <w:pPr>
        <w:pStyle w:val="FirstParagraph"/>
      </w:pPr>
      <w:r>
        <w:t xml:space="preserve">Punkt startowy dla jednej osoby: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pracy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aktywne zadanie człowieka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zadania wykonywane przez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wyniki oczekujące na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projekty wymagające bieżącego kontekstu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To hipoteza, nie prawo natury. Limit zwiększamy dopiero wtedy, gdy pomiary</w:t>
      </w:r>
      <w:r>
        <w:t xml:space="preserve"> </w:t>
      </w:r>
      <w:r>
        <w:t xml:space="preserve">pokazują pustą kolejkę odbioru, mały rework i brak wzrostu defektów.</w:t>
      </w:r>
    </w:p>
    <w:bookmarkEnd w:id="46"/>
    <w:bookmarkStart w:id="47" w:name="eksperyment-4"/>
    <w:p>
      <w:pPr>
        <w:pStyle w:val="Heading2"/>
      </w:pPr>
      <w:r>
        <w:t xml:space="preserve">5.4 Eksperyment</w:t>
      </w:r>
    </w:p>
    <w:p>
      <w:pPr>
        <w:pStyle w:val="FirstParagraph"/>
      </w:pPr>
      <w:r>
        <w:t xml:space="preserve">Porównaj dwa tygodnie. W pierwszym pozwól sobie na zwyczajową liczbę otwartych</w:t>
      </w:r>
      <w:r>
        <w:t xml:space="preserve"> </w:t>
      </w:r>
      <w:r>
        <w:t xml:space="preserve">zadań. W drugim zastosuj powyższe limity i obowiązkową notatkę przekazania.</w:t>
      </w:r>
      <w:r>
        <w:t xml:space="preserve"> </w:t>
      </w:r>
      <w:r>
        <w:t xml:space="preserve">Zmierz lead time, liczbę wznowień, czas potrzebny na odzyskanie kontekstu oraz</w:t>
      </w:r>
      <w:r>
        <w:t xml:space="preserve"> </w:t>
      </w:r>
      <w:r>
        <w:t xml:space="preserve">liczbę zadań pozostawionych bez decyzji.</w:t>
      </w:r>
    </w:p>
    <w:bookmarkEnd w:id="47"/>
    <w:bookmarkEnd w:id="48"/>
    <w:bookmarkStart w:id="54" w:name="shell-jako-centrum-operacyjne"/>
    <w:p>
      <w:pPr>
        <w:pStyle w:val="Heading1"/>
      </w:pPr>
      <w:r>
        <w:t xml:space="preserve">6. Shell jako centrum operacyjne</w:t>
      </w:r>
    </w:p>
    <w:p>
      <w:pPr>
        <w:pStyle w:val="FirstParagraph"/>
      </w:pPr>
      <w:r>
        <w:t xml:space="preserve">Każde równoległe zadanie dostaje osobny worktree, sesję i zestaw kontroli.</w:t>
      </w:r>
      <w:r>
        <w:t xml:space="preserve"> </w:t>
      </w:r>
      <w:r>
        <w:t xml:space="preserve">Powtarzalne polecenia stają się skryptami, a wynik pracy trafia do jednej</w:t>
      </w:r>
      <w:r>
        <w:t xml:space="preserve"> </w:t>
      </w:r>
      <w:r>
        <w:t xml:space="preserve">kolejki odbioru.</w:t>
      </w:r>
    </w:p>
    <w:p>
      <w:pPr>
        <w:pStyle w:val="BodyText"/>
      </w:pPr>
      <w:r>
        <w:t xml:space="preserve">Terminal jest dobrym centrum operacyjnym, ponieważ pozostawia ślad i daje się</w:t>
      </w:r>
      <w:r>
        <w:t xml:space="preserve"> </w:t>
      </w:r>
      <w:r>
        <w:t xml:space="preserve">automatyzować. Nie oznacza to, że wszystkie narzędzia muszą działać w shellu.</w:t>
      </w:r>
      <w:r>
        <w:t xml:space="preserve"> </w:t>
      </w:r>
      <w:r>
        <w:t xml:space="preserve">Oznacza, że shell potrafi odpowiedzieć: na czym pracujemy, jaki jest stan,</w:t>
      </w:r>
      <w:r>
        <w:t xml:space="preserve"> </w:t>
      </w:r>
      <w:r>
        <w:t xml:space="preserve">które kontrole przeszły i gdzie znajduje się wynik.</w:t>
      </w:r>
    </w:p>
    <w:bookmarkStart w:id="49" w:name="izolacja-zadania"/>
    <w:p>
      <w:pPr>
        <w:pStyle w:val="Heading2"/>
      </w:pPr>
      <w:r>
        <w:t xml:space="preserve">6.1 Izolacja zadania</w:t>
      </w:r>
    </w:p>
    <w:p>
      <w:pPr>
        <w:pStyle w:val="FirstParagraph"/>
      </w:pPr>
      <w:r>
        <w:t xml:space="preserve">Osobny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pozwala oddzielić diff, zależności i procesy: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worktree add ../work/api-validation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work/api-validation origin/main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../work/api-validation</w:t>
      </w:r>
    </w:p>
    <w:p>
      <w:pPr>
        <w:pStyle w:val="FirstParagraph"/>
      </w:pPr>
      <w:r>
        <w:t xml:space="preserve">Nie twórz worktree bez właściciela i zadania. Nazwa katalogu, gałęzi oraz</w:t>
      </w:r>
      <w:r>
        <w:t xml:space="preserve"> </w:t>
      </w:r>
      <w:r>
        <w:t xml:space="preserve">rekordu kolejki powinna prowadzić do tego samego identyfikatora.</w:t>
      </w:r>
    </w:p>
    <w:p>
      <w:pPr>
        <w:pStyle w:val="BodyText"/>
      </w:pPr>
      <w:r>
        <w:t xml:space="preserve">Przed usunięciem worktree sprawdź status, wypchnij potrzebną gałąź i zachowaj</w:t>
      </w:r>
      <w:r>
        <w:t xml:space="preserve"> </w:t>
      </w:r>
      <w:r>
        <w:t xml:space="preserve">receipt testów. Automatyzacja nie usprawiedliwia utraty nieodebranej pracy.</w:t>
      </w:r>
    </w:p>
    <w:bookmarkEnd w:id="49"/>
    <w:bookmarkStart w:id="50" w:name="kontrakt-poleceń"/>
    <w:p>
      <w:pPr>
        <w:pStyle w:val="Heading2"/>
      </w:pPr>
      <w:r>
        <w:t xml:space="preserve">6.2 Kontrakt poleceń</w:t>
      </w:r>
    </w:p>
    <w:p>
      <w:pPr>
        <w:pStyle w:val="FirstParagraph"/>
      </w:pPr>
      <w:r>
        <w:t xml:space="preserve">Projekt powinien mieć mały, przewidywalny zestaw komend:</w:t>
      </w:r>
    </w:p>
    <w:p>
      <w:pPr>
        <w:pStyle w:val="SourceCode"/>
      </w:pPr>
      <w:r>
        <w:rPr>
          <w:rStyle w:val="VerbatimChar"/>
        </w:rPr>
        <w:t xml:space="preserve">install   — odtwarza zależności z lockfile</w:t>
      </w:r>
      <w:r>
        <w:br/>
      </w:r>
      <w:r>
        <w:rPr>
          <w:rStyle w:val="VerbatimChar"/>
        </w:rPr>
        <w:t xml:space="preserve">check     — szybkie kontrole przed przekazaniem</w:t>
      </w:r>
      <w:r>
        <w:br/>
      </w:r>
      <w:r>
        <w:rPr>
          <w:rStyle w:val="VerbatimChar"/>
        </w:rPr>
        <w:t xml:space="preserve">test      — pełna weryfikacja</w:t>
      </w:r>
      <w:r>
        <w:br/>
      </w:r>
      <w:r>
        <w:rPr>
          <w:rStyle w:val="VerbatimChar"/>
        </w:rPr>
        <w:t xml:space="preserve">build     — tworzy artefakt</w:t>
      </w:r>
      <w:r>
        <w:br/>
      </w:r>
      <w:r>
        <w:rPr>
          <w:rStyle w:val="VerbatimChar"/>
        </w:rPr>
        <w:t xml:space="preserve">preview   — uruchamia bezpieczny podgląd</w:t>
      </w:r>
    </w:p>
    <w:p>
      <w:pPr>
        <w:pStyle w:val="FirstParagraph"/>
      </w:pPr>
      <w:r>
        <w:t xml:space="preserve">Dokładna implementacja może korzystać z</w:t>
      </w:r>
      <w:r>
        <w:t xml:space="preserve"> </w:t>
      </w:r>
      <w:r>
        <w:rPr>
          <w:rStyle w:val="VerbatimChar"/>
        </w:rPr>
        <w:t xml:space="preserve">npm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albo</w:t>
      </w:r>
      <w:r>
        <w:t xml:space="preserve"> </w:t>
      </w:r>
      <w:r>
        <w:t xml:space="preserve">skryptów repozytorium. Ważniejsza od nazwy narzędzia jest stabilna semantyka.</w:t>
      </w:r>
      <w:r>
        <w:t xml:space="preserve"> </w:t>
      </w:r>
      <w:r>
        <w:t xml:space="preserve">Agent nie powinien zgadywać, czy</w:t>
      </w:r>
      <w:r>
        <w:t xml:space="preserve"> </w:t>
      </w:r>
      <w:r>
        <w:rPr>
          <w:rStyle w:val="VerbatimChar"/>
        </w:rPr>
        <w:t xml:space="preserve">test.sh</w:t>
      </w:r>
      <w:r>
        <w:t xml:space="preserve"> </w:t>
      </w:r>
      <w:r>
        <w:t xml:space="preserve">publikuje artefakt albo zmienia dane.</w:t>
      </w:r>
    </w:p>
    <w:bookmarkEnd w:id="50"/>
    <w:bookmarkStart w:id="51" w:name="sesja-i-receipt"/>
    <w:p>
      <w:pPr>
        <w:pStyle w:val="Heading2"/>
      </w:pPr>
      <w:r>
        <w:t xml:space="preserve">6.3 Sesja i receipt</w:t>
      </w:r>
    </w:p>
    <w:p>
      <w:pPr>
        <w:pStyle w:val="FirstParagraph"/>
      </w:pPr>
      <w:r>
        <w:t xml:space="preserve">Dla każdego zadania zapisuj:</w:t>
      </w:r>
    </w:p>
    <w:p>
      <w:pPr>
        <w:pStyle w:val="SourceCode"/>
      </w:pP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api-validation-001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../work/api-validation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abc123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def456</w:t>
      </w:r>
    </w:p>
    <w:p>
      <w:pPr>
        <w:pStyle w:val="FirstParagraph"/>
      </w:pPr>
      <w:r>
        <w:t xml:space="preserve">To nie musi być rozbudowany system telemetryczny. Wystarcza deterministyczna</w:t>
      </w:r>
      <w:r>
        <w:t xml:space="preserve"> </w:t>
      </w:r>
      <w:r>
        <w:t xml:space="preserve">odpowiedź na pytanie, co sprawdzono przed review.</w:t>
      </w:r>
    </w:p>
    <w:bookmarkEnd w:id="51"/>
    <w:bookmarkStart w:id="52" w:name="bezpieczeństwo"/>
    <w:p>
      <w:pPr>
        <w:pStyle w:val="Heading2"/>
      </w:pPr>
      <w:r>
        <w:t xml:space="preserve">6.4 Bezpieczeństwo</w:t>
      </w:r>
    </w:p>
    <w:p>
      <w:pPr>
        <w:pStyle w:val="Compact"/>
        <w:numPr>
          <w:ilvl w:val="0"/>
          <w:numId w:val="1019"/>
        </w:numPr>
      </w:pPr>
      <w:r>
        <w:t xml:space="preserve">Nie przekazuj modelowi plików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kluczy ani pełnych logów z tokenami.</w:t>
      </w:r>
    </w:p>
    <w:p>
      <w:pPr>
        <w:pStyle w:val="Compact"/>
        <w:numPr>
          <w:ilvl w:val="0"/>
          <w:numId w:val="1019"/>
        </w:numPr>
      </w:pPr>
      <w:r>
        <w:t xml:space="preserve">Preferuj referencje do sekretów zamiast ich wartości.</w:t>
      </w:r>
    </w:p>
    <w:p>
      <w:pPr>
        <w:pStyle w:val="Compact"/>
        <w:numPr>
          <w:ilvl w:val="0"/>
          <w:numId w:val="1019"/>
        </w:numPr>
      </w:pPr>
      <w:r>
        <w:t xml:space="preserve">Oddziel komendy odczytu od mutacji i publikacji.</w:t>
      </w:r>
    </w:p>
    <w:p>
      <w:pPr>
        <w:pStyle w:val="Compact"/>
        <w:numPr>
          <w:ilvl w:val="0"/>
          <w:numId w:val="1019"/>
        </w:numPr>
      </w:pPr>
      <w:r>
        <w:t xml:space="preserve">Przed publikacją wymagaj jawnego celu, rewizji i potwierdzenia testów.</w:t>
      </w:r>
    </w:p>
    <w:p>
      <w:pPr>
        <w:pStyle w:val="Compact"/>
        <w:numPr>
          <w:ilvl w:val="0"/>
          <w:numId w:val="1019"/>
        </w:numPr>
      </w:pPr>
      <w:r>
        <w:t xml:space="preserve">Skrypt awaryjny nie może raportować sukcesu, jeśli pominął rzeczywistą</w:t>
      </w:r>
      <w:r>
        <w:t xml:space="preserve"> </w:t>
      </w:r>
      <w:r>
        <w:t xml:space="preserve">operację.</w:t>
      </w:r>
    </w:p>
    <w:bookmarkEnd w:id="52"/>
    <w:bookmarkStart w:id="53" w:name="eksperyment-5"/>
    <w:p>
      <w:pPr>
        <w:pStyle w:val="Heading2"/>
      </w:pPr>
      <w:r>
        <w:t xml:space="preserve">6.5 Eksperyment</w:t>
      </w:r>
    </w:p>
    <w:p>
      <w:pPr>
        <w:pStyle w:val="FirstParagraph"/>
      </w:pPr>
      <w:r>
        <w:t xml:space="preserve">Wybierz jeden często powtarzany rodzaj zadania. Przygotuj komendę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t xml:space="preserve">szablon receiptu i osobny worktree. Przez tydzień zmierz liczbę ręcznych</w:t>
      </w:r>
      <w:r>
        <w:t xml:space="preserve"> </w:t>
      </w:r>
      <w:r>
        <w:t xml:space="preserve">kroków, nieudanych przekazań oraz przypadków, w których review musiało wrócić</w:t>
      </w:r>
      <w:r>
        <w:t xml:space="preserve"> </w:t>
      </w:r>
      <w:r>
        <w:t xml:space="preserve">po brakujący test.</w:t>
      </w:r>
    </w:p>
    <w:bookmarkEnd w:id="53"/>
    <w:bookmarkEnd w:id="54"/>
    <w:bookmarkStart w:id="60" w:name="jak-mierzyć-efektywność"/>
    <w:p>
      <w:pPr>
        <w:pStyle w:val="Heading1"/>
      </w:pPr>
      <w:r>
        <w:t xml:space="preserve">7. Jak mierzyć efektywność</w:t>
      </w:r>
    </w:p>
    <w:p>
      <w:pPr>
        <w:pStyle w:val="FirstParagraph"/>
      </w:pPr>
      <w:r>
        <w:t xml:space="preserve">Najważniejsze metryki to lead time, aktywny czas człowieka, czas oczekiwania,</w:t>
      </w:r>
      <w:r>
        <w:t xml:space="preserve"> </w:t>
      </w:r>
      <w:r>
        <w:t xml:space="preserve">rework, defekty po odbiorze oraz koszt zaakceptowanej zmiany. Liczba linii kodu</w:t>
      </w:r>
      <w:r>
        <w:t xml:space="preserve"> </w:t>
      </w:r>
      <w:r>
        <w:t xml:space="preserve">nie jest miarą wartości.</w:t>
      </w:r>
    </w:p>
    <w:p>
      <w:pPr>
        <w:pStyle w:val="BodyText"/>
      </w:pPr>
      <w:r>
        <w:t xml:space="preserve">Kontrolowany eksperyment z GitHub Copilot wykazał istotne skrócenie czasu</w:t>
      </w:r>
      <w:r>
        <w:t xml:space="preserve"> </w:t>
      </w:r>
      <w:r>
        <w:t xml:space="preserve">wykonania konkretnego zadania typu greenfield</w:t>
      </w:r>
      <w:r>
        <w:t xml:space="preserve"> </w:t>
      </w:r>
      <w:r>
        <w:t xml:space="preserve">(Peng et al. 2023)</w:t>
      </w:r>
      <w:r>
        <w:t xml:space="preserve">. Nie należy</w:t>
      </w:r>
      <w:r>
        <w:t xml:space="preserve"> </w:t>
      </w:r>
      <w:r>
        <w:t xml:space="preserve">jednak przenosić tego wyniku automatycznie na utrzymanie dojrzałego</w:t>
      </w:r>
      <w:r>
        <w:t xml:space="preserve"> </w:t>
      </w:r>
      <w:r>
        <w:t xml:space="preserve">repozytorium: benchmark SWE-bench pokazuje, że rzeczywiste zgłoszenia wymagają</w:t>
      </w:r>
      <w:r>
        <w:t xml:space="preserve"> </w:t>
      </w:r>
      <w:r>
        <w:t xml:space="preserve">nawigacji po kodzie, uruchamiania testów i koordynacji zmian w wielu plikach</w:t>
      </w:r>
      <w:r>
        <w:t xml:space="preserve"> </w:t>
      </w:r>
      <w:r>
        <w:t xml:space="preserve">(Jimenez et al. 2024)</w:t>
      </w:r>
      <w:r>
        <w:t xml:space="preserve">.</w:t>
      </w:r>
    </w:p>
    <w:p>
      <w:pPr>
        <w:pStyle w:val="BodyText"/>
      </w:pPr>
      <w:r>
        <w:t xml:space="preserve">Pomiar ma wspierać decyzję o procesie, a nie tworzyć ranking programistów.</w:t>
      </w:r>
      <w:r>
        <w:t xml:space="preserve"> </w:t>
      </w:r>
      <w:r>
        <w:t xml:space="preserve">Metryka bez pytania prowadzi do optymalizacji liczby, często kosztem całego</w:t>
      </w:r>
      <w:r>
        <w:t xml:space="preserve"> </w:t>
      </w:r>
      <w:r>
        <w:t xml:space="preserve">systemu.</w:t>
      </w:r>
    </w:p>
    <w:bookmarkStart w:id="55" w:name="minimalny-zestaw"/>
    <w:p>
      <w:pPr>
        <w:pStyle w:val="Heading2"/>
      </w:pPr>
      <w:r>
        <w:t xml:space="preserve">7.1 Minimalny zestaw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Początek</w:t>
            </w:r>
          </w:p>
        </w:tc>
        <w:tc>
          <w:tcPr/>
          <w:p>
            <w:pPr>
              <w:pStyle w:val="Compact"/>
            </w:pPr>
            <w:r>
              <w:t xml:space="preserve">Koniec</w:t>
            </w:r>
          </w:p>
        </w:tc>
        <w:tc>
          <w:tcPr/>
          <w:p>
            <w:pPr>
              <w:pStyle w:val="Compact"/>
            </w:pPr>
            <w:r>
              <w:t xml:space="preserve">Pytanie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zadanie gotowe</w:t>
            </w:r>
          </w:p>
        </w:tc>
        <w:tc>
          <w:tcPr/>
          <w:p>
            <w:pPr>
              <w:pStyle w:val="Compact"/>
            </w:pPr>
            <w:r>
              <w:t xml:space="preserve">wynik zaakceptowany</w:t>
            </w:r>
          </w:p>
        </w:tc>
        <w:tc>
          <w:tcPr/>
          <w:p>
            <w:pPr>
              <w:pStyle w:val="Compact"/>
            </w:pPr>
            <w:r>
              <w:t xml:space="preserve">Jak szybko dostarczamy wartość?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czas człowieka</w:t>
            </w:r>
          </w:p>
        </w:tc>
        <w:tc>
          <w:tcPr/>
          <w:p>
            <w:pPr>
              <w:pStyle w:val="Compact"/>
            </w:pPr>
            <w:r>
              <w:t xml:space="preserve">aktywne skupienie</w:t>
            </w:r>
          </w:p>
        </w:tc>
        <w:tc>
          <w:tcPr/>
          <w:p>
            <w:pPr>
              <w:pStyle w:val="Compact"/>
            </w:pPr>
            <w:r>
              <w:t xml:space="preserve">odłożenie kontekstu</w:t>
            </w:r>
          </w:p>
        </w:tc>
        <w:tc>
          <w:tcPr/>
          <w:p>
            <w:pPr>
              <w:pStyle w:val="Compact"/>
            </w:pPr>
            <w:r>
              <w:t xml:space="preserve">Ile rzadkiego zasobu zużyliśmy?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czas AI</w:t>
            </w:r>
          </w:p>
        </w:tc>
        <w:tc>
          <w:tcPr/>
          <w:p>
            <w:pPr>
              <w:pStyle w:val="Compact"/>
            </w:pPr>
            <w:r>
              <w:t xml:space="preserve">zlecenie</w:t>
            </w:r>
          </w:p>
        </w:tc>
        <w:tc>
          <w:tcPr/>
          <w:p>
            <w:pPr>
              <w:pStyle w:val="Compact"/>
            </w:pPr>
            <w:r>
              <w:t xml:space="preserve">wynik gotowy</w:t>
            </w:r>
          </w:p>
        </w:tc>
        <w:tc>
          <w:tcPr/>
          <w:p>
            <w:pPr>
              <w:pStyle w:val="Compact"/>
            </w:pPr>
            <w:r>
              <w:t xml:space="preserve">Czy wykonanie jest faktycznym blokerem?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czas oczekiwania</w:t>
            </w:r>
          </w:p>
        </w:tc>
        <w:tc>
          <w:tcPr/>
          <w:p>
            <w:pPr>
              <w:pStyle w:val="Compact"/>
            </w:pPr>
            <w:r>
              <w:t xml:space="preserve">wynik gotowy</w:t>
            </w:r>
          </w:p>
        </w:tc>
        <w:tc>
          <w:tcPr/>
          <w:p>
            <w:pPr>
              <w:pStyle w:val="Compact"/>
            </w:pPr>
            <w:r>
              <w:t xml:space="preserve">rozpoczęcie review</w:t>
            </w:r>
          </w:p>
        </w:tc>
        <w:tc>
          <w:tcPr/>
          <w:p>
            <w:pPr>
              <w:pStyle w:val="Compact"/>
            </w:pPr>
            <w:r>
              <w:t xml:space="preserve">Czy kolejka przekracza odbiór?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</w:t>
            </w:r>
          </w:p>
        </w:tc>
        <w:tc>
          <w:tcPr/>
          <w:p>
            <w:pPr>
              <w:pStyle w:val="Compact"/>
            </w:pPr>
            <w:r>
              <w:t xml:space="preserve">pierwsze odrzucenie</w:t>
            </w:r>
          </w:p>
        </w:tc>
        <w:tc>
          <w:tcPr/>
          <w:p>
            <w:pPr>
              <w:pStyle w:val="Compact"/>
            </w:pPr>
            <w:r>
              <w:t xml:space="preserve">zaakceptowana poprawka</w:t>
            </w:r>
          </w:p>
        </w:tc>
        <w:tc>
          <w:tcPr/>
          <w:p>
            <w:pPr>
              <w:pStyle w:val="Compact"/>
            </w:pPr>
            <w:r>
              <w:t xml:space="preserve">Ile pracy generuje niepełny wynik?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defekty po odbiorze</w:t>
            </w:r>
          </w:p>
        </w:tc>
        <w:tc>
          <w:tcPr/>
          <w:p>
            <w:pPr>
              <w:pStyle w:val="Compact"/>
            </w:pPr>
            <w:r>
              <w:t xml:space="preserve">akceptacja</w:t>
            </w:r>
          </w:p>
        </w:tc>
        <w:tc>
          <w:tcPr/>
          <w:p>
            <w:pPr>
              <w:pStyle w:val="Compact"/>
            </w:pPr>
            <w:r>
              <w:t xml:space="preserve">koniec okna obserwacji</w:t>
            </w:r>
          </w:p>
        </w:tc>
        <w:tc>
          <w:tcPr/>
          <w:p>
            <w:pPr>
              <w:pStyle w:val="Compact"/>
            </w:pPr>
            <w:r>
              <w:t xml:space="preserve">Czy przyspieszenie ukrywa koszt jakości?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koszt zmiany</w:t>
            </w:r>
          </w:p>
        </w:tc>
        <w:tc>
          <w:tcPr/>
          <w:p>
            <w:pPr>
              <w:pStyle w:val="Compact"/>
            </w:pPr>
            <w:r>
              <w:t xml:space="preserve">pierwsze zlecenie</w:t>
            </w:r>
          </w:p>
        </w:tc>
        <w:tc>
          <w:tcPr/>
          <w:p>
            <w:pPr>
              <w:pStyle w:val="Compact"/>
            </w:pPr>
            <w:r>
              <w:t xml:space="preserve">akceptacja</w:t>
            </w:r>
          </w:p>
        </w:tc>
        <w:tc>
          <w:tcPr/>
          <w:p>
            <w:pPr>
              <w:pStyle w:val="Compact"/>
            </w:pPr>
            <w:r>
              <w:t xml:space="preserve">Ile kosztował cały zaakceptowany rezultat?</w:t>
            </w:r>
          </w:p>
        </w:tc>
      </w:tr>
    </w:tbl>
    <w:p>
      <w:pPr>
        <w:pStyle w:val="BodyText"/>
      </w:pPr>
      <w:r>
        <w:t xml:space="preserve">Koszt zmiany obejmuje nie tylko opłatę za model. Obejmuje także aktywny czas</w:t>
      </w:r>
      <w:r>
        <w:t xml:space="preserve"> </w:t>
      </w:r>
      <w:r>
        <w:t xml:space="preserve">człowieka, ponowne uruchomienia, review i naprawę regresji.</w:t>
      </w:r>
    </w:p>
    <w:bookmarkEnd w:id="55"/>
    <w:bookmarkStart w:id="56" w:name="jednostka-porównania"/>
    <w:p>
      <w:pPr>
        <w:pStyle w:val="Heading2"/>
      </w:pPr>
      <w:r>
        <w:t xml:space="preserve">7.2 Jednostka porównania</w:t>
      </w:r>
    </w:p>
    <w:p>
      <w:pPr>
        <w:pStyle w:val="FirstParagraph"/>
      </w:pPr>
      <w:r>
        <w:t xml:space="preserve">Porównuj podobne klasy zadań: mały bug z małym bugiem, migrację z migracją.</w:t>
      </w:r>
      <w:r>
        <w:t xml:space="preserve"> </w:t>
      </w:r>
      <w:r>
        <w:t xml:space="preserve">Średnia ze wszystkich zmian miesza różne ryzyko i może ukryć rzeczywisty efekt.</w:t>
      </w:r>
    </w:p>
    <w:p>
      <w:pPr>
        <w:pStyle w:val="BodyText"/>
      </w:pPr>
      <w:r>
        <w:t xml:space="preserve">Każdy eksperyment powinien mieć:</w:t>
      </w:r>
    </w:p>
    <w:p>
      <w:pPr>
        <w:pStyle w:val="Compact"/>
        <w:numPr>
          <w:ilvl w:val="0"/>
          <w:numId w:val="1020"/>
        </w:numPr>
      </w:pPr>
      <w:r>
        <w:t xml:space="preserve">stan bazowy,</w:t>
      </w:r>
    </w:p>
    <w:p>
      <w:pPr>
        <w:pStyle w:val="Compact"/>
        <w:numPr>
          <w:ilvl w:val="0"/>
          <w:numId w:val="1020"/>
        </w:numPr>
      </w:pPr>
      <w:r>
        <w:t xml:space="preserve">jedną badaną zmianę,</w:t>
      </w:r>
    </w:p>
    <w:p>
      <w:pPr>
        <w:pStyle w:val="Compact"/>
        <w:numPr>
          <w:ilvl w:val="0"/>
          <w:numId w:val="1020"/>
        </w:numPr>
      </w:pPr>
      <w:r>
        <w:t xml:space="preserve">ograniczony czas,</w:t>
      </w:r>
    </w:p>
    <w:p>
      <w:pPr>
        <w:pStyle w:val="Compact"/>
        <w:numPr>
          <w:ilvl w:val="0"/>
          <w:numId w:val="1020"/>
        </w:numPr>
      </w:pPr>
      <w:r>
        <w:t xml:space="preserve">miarę jakości,</w:t>
      </w:r>
    </w:p>
    <w:p>
      <w:pPr>
        <w:pStyle w:val="Compact"/>
        <w:numPr>
          <w:ilvl w:val="0"/>
          <w:numId w:val="1020"/>
        </w:numPr>
      </w:pPr>
      <w:r>
        <w:t xml:space="preserve">warunek zatrzymania,</w:t>
      </w:r>
    </w:p>
    <w:p>
      <w:pPr>
        <w:pStyle w:val="Compact"/>
        <w:numPr>
          <w:ilvl w:val="0"/>
          <w:numId w:val="1020"/>
        </w:numPr>
      </w:pPr>
      <w:r>
        <w:t xml:space="preserve">zapis odrzuconych wyników.</w:t>
      </w:r>
    </w:p>
    <w:bookmarkEnd w:id="56"/>
    <w:bookmarkStart w:id="57" w:name="metryki-ostrzegawcze"/>
    <w:p>
      <w:pPr>
        <w:pStyle w:val="Heading2"/>
      </w:pPr>
      <w:r>
        <w:t xml:space="preserve">7.3 Metryki ostrzegawcze</w:t>
      </w:r>
    </w:p>
    <w:p>
      <w:pPr>
        <w:pStyle w:val="FirstParagraph"/>
      </w:pPr>
      <w:r>
        <w:t xml:space="preserve">Wzrost jednej z tych wartości powinien zatrzymać skalowanie:</w:t>
      </w:r>
    </w:p>
    <w:p>
      <w:pPr>
        <w:pStyle w:val="Compact"/>
        <w:numPr>
          <w:ilvl w:val="0"/>
          <w:numId w:val="1021"/>
        </w:numPr>
      </w:pPr>
      <w:r>
        <w:t xml:space="preserve">wyniki AI oczekujące dłużej niż samo wykonanie,</w:t>
      </w:r>
    </w:p>
    <w:p>
      <w:pPr>
        <w:pStyle w:val="Compact"/>
        <w:numPr>
          <w:ilvl w:val="0"/>
          <w:numId w:val="1021"/>
        </w:numPr>
      </w:pPr>
      <w:r>
        <w:t xml:space="preserve">udział reworku przekraczający pierwszą implementację,</w:t>
      </w:r>
    </w:p>
    <w:p>
      <w:pPr>
        <w:pStyle w:val="Compact"/>
        <w:numPr>
          <w:ilvl w:val="0"/>
          <w:numId w:val="1021"/>
        </w:numPr>
      </w:pPr>
      <w:r>
        <w:t xml:space="preserve">malejący odsetek wyników zaakceptowanych bez istotnej poprawki,</w:t>
      </w:r>
    </w:p>
    <w:p>
      <w:pPr>
        <w:pStyle w:val="Compact"/>
        <w:numPr>
          <w:ilvl w:val="0"/>
          <w:numId w:val="1021"/>
        </w:numPr>
      </w:pPr>
      <w:r>
        <w:t xml:space="preserve">wzrost defektów po wdrożeniu,</w:t>
      </w:r>
    </w:p>
    <w:p>
      <w:pPr>
        <w:pStyle w:val="Compact"/>
        <w:numPr>
          <w:ilvl w:val="0"/>
          <w:numId w:val="1021"/>
        </w:numPr>
      </w:pPr>
      <w:r>
        <w:t xml:space="preserve">rosnący koszt na zaakceptowaną zmianę mimo większej liczby uruchomień.</w:t>
      </w:r>
    </w:p>
    <w:bookmarkEnd w:id="57"/>
    <w:bookmarkStart w:id="58" w:name="czego-nie-nagradzać"/>
    <w:p>
      <w:pPr>
        <w:pStyle w:val="Heading2"/>
      </w:pPr>
      <w:r>
        <w:t xml:space="preserve">7.4 Czego nie nagradzać</w:t>
      </w:r>
    </w:p>
    <w:p>
      <w:pPr>
        <w:pStyle w:val="Compact"/>
        <w:numPr>
          <w:ilvl w:val="0"/>
          <w:numId w:val="1022"/>
        </w:numPr>
      </w:pPr>
      <w:r>
        <w:t xml:space="preserve">liczby promptów,</w:t>
      </w:r>
    </w:p>
    <w:p>
      <w:pPr>
        <w:pStyle w:val="Compact"/>
        <w:numPr>
          <w:ilvl w:val="0"/>
          <w:numId w:val="1022"/>
        </w:numPr>
      </w:pPr>
      <w:r>
        <w:t xml:space="preserve">tokenów zużytych w ciągu dnia,</w:t>
      </w:r>
    </w:p>
    <w:p>
      <w:pPr>
        <w:pStyle w:val="Compact"/>
        <w:numPr>
          <w:ilvl w:val="0"/>
          <w:numId w:val="1022"/>
        </w:numPr>
      </w:pPr>
      <w:r>
        <w:t xml:space="preserve">liczby równoległych agentów,</w:t>
      </w:r>
    </w:p>
    <w:p>
      <w:pPr>
        <w:pStyle w:val="Compact"/>
        <w:numPr>
          <w:ilvl w:val="0"/>
          <w:numId w:val="1022"/>
        </w:numPr>
      </w:pPr>
      <w:r>
        <w:t xml:space="preserve">linii wygenerowanego kodu,</w:t>
      </w:r>
    </w:p>
    <w:p>
      <w:pPr>
        <w:pStyle w:val="Compact"/>
        <w:numPr>
          <w:ilvl w:val="0"/>
          <w:numId w:val="1022"/>
        </w:numPr>
      </w:pPr>
      <w:r>
        <w:t xml:space="preserve">liczby rozpoczętych ticketów,</w:t>
      </w:r>
    </w:p>
    <w:p>
      <w:pPr>
        <w:pStyle w:val="Compact"/>
        <w:numPr>
          <w:ilvl w:val="0"/>
          <w:numId w:val="1022"/>
        </w:numPr>
      </w:pPr>
      <w:r>
        <w:t xml:space="preserve">zielonej odpowiedzi modelu bez niezależnego testu.</w:t>
      </w:r>
    </w:p>
    <w:p>
      <w:pPr>
        <w:pStyle w:val="FirstParagraph"/>
      </w:pPr>
      <w:r>
        <w:t xml:space="preserve">To wskaźniki aktywności, nie wartości.</w:t>
      </w:r>
    </w:p>
    <w:bookmarkEnd w:id="58"/>
    <w:bookmarkStart w:id="59" w:name="karta-wyniku"/>
    <w:p>
      <w:pPr>
        <w:pStyle w:val="Heading2"/>
      </w:pPr>
      <w:r>
        <w:t xml:space="preserve">7.5 Karta wyniku</w:t>
      </w:r>
    </w:p>
    <w:p>
      <w:pPr>
        <w:pStyle w:val="SourceCode"/>
      </w:pP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small_bug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lead_time_minutes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human_active_minutes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ai_runtime_minutes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review_wait_minutes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rework_minutes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escaped_defects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1.40</w:t>
      </w:r>
    </w:p>
    <w:p>
      <w:pPr>
        <w:pStyle w:val="FirstParagraph"/>
      </w:pPr>
      <w:r>
        <w:t xml:space="preserve">Po kilku porównywalnych zadaniach można sprawdzić, czy dana strategia</w:t>
      </w:r>
      <w:r>
        <w:t xml:space="preserve"> </w:t>
      </w:r>
      <w:r>
        <w:t xml:space="preserve">rzeczywiście skraca lead time bez przerzucania kosztu na review i utrzymanie.</w:t>
      </w:r>
    </w:p>
    <w:bookmarkEnd w:id="59"/>
    <w:bookmarkEnd w:id="60"/>
    <w:bookmarkStart w:id="66" w:name="budżet-i-ograniczenia-ai"/>
    <w:p>
      <w:pPr>
        <w:pStyle w:val="Heading1"/>
      </w:pPr>
      <w:r>
        <w:t xml:space="preserve">8. Budżet i ograniczenia AI</w:t>
      </w:r>
    </w:p>
    <w:p>
      <w:pPr>
        <w:pStyle w:val="FirstParagraph"/>
      </w:pPr>
      <w:r>
        <w:t xml:space="preserve">Limit zapytań, tokenów lub czasu jest częścią architektury procesu. Routing</w:t>
      </w:r>
      <w:r>
        <w:t xml:space="preserve"> </w:t>
      </w:r>
      <w:r>
        <w:t xml:space="preserve">providerów powinien uwzględniać dostępność, koszt, prywatność i jakość konkretnej</w:t>
      </w:r>
      <w:r>
        <w:t xml:space="preserve"> </w:t>
      </w:r>
      <w:r>
        <w:t xml:space="preserve">capability.</w:t>
      </w:r>
    </w:p>
    <w:p>
      <w:pPr>
        <w:pStyle w:val="BodyText"/>
      </w:pPr>
      <w:r>
        <w:t xml:space="preserve">Nieograniczony eksperyment łatwo zamienia się w serię kolejnych prób bez nowej</w:t>
      </w:r>
      <w:r>
        <w:t xml:space="preserve"> </w:t>
      </w:r>
      <w:r>
        <w:t xml:space="preserve">informacji. Budżet wymusza moment decyzji: poprawić kontekst, zmienić strategię,</w:t>
      </w:r>
      <w:r>
        <w:t xml:space="preserve"> </w:t>
      </w:r>
      <w:r>
        <w:t xml:space="preserve">eskalować do człowieka albo odrzucić zadanie.</w:t>
      </w:r>
    </w:p>
    <w:bookmarkStart w:id="61" w:name="cztery-budżety"/>
    <w:p>
      <w:pPr>
        <w:pStyle w:val="Heading2"/>
      </w:pPr>
      <w:r>
        <w:t xml:space="preserve">8.1 Cztery budżety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Pieniądze</w:t>
      </w:r>
      <w:r>
        <w:t xml:space="preserve"> </w:t>
      </w:r>
      <w:r>
        <w:t xml:space="preserve">— koszt dostawcy, infrastruktury i narzędzi.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Czas</w:t>
      </w:r>
      <w:r>
        <w:t xml:space="preserve"> </w:t>
      </w:r>
      <w:r>
        <w:t xml:space="preserve">— czas wykonania oraz maksymalny termin oczekiwania.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Uwaga</w:t>
      </w:r>
      <w:r>
        <w:t xml:space="preserve"> </w:t>
      </w:r>
      <w:r>
        <w:t xml:space="preserve">— liczba wyników, które człowiek będzie musiał odebrać.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Ryzyko</w:t>
      </w:r>
      <w:r>
        <w:t xml:space="preserve"> </w:t>
      </w:r>
      <w:r>
        <w:t xml:space="preserve">— dopuszczalny zakres danych, mutacji i skutków błędu.</w:t>
      </w:r>
    </w:p>
    <w:p>
      <w:pPr>
        <w:pStyle w:val="FirstParagraph"/>
      </w:pPr>
      <w:r>
        <w:t xml:space="preserve">Najtańsza odpowiedź nie musi dawać najtańszej zaakceptowanej zmiany. Jeżeli</w:t>
      </w:r>
      <w:r>
        <w:t xml:space="preserve"> </w:t>
      </w:r>
      <w:r>
        <w:t xml:space="preserve">wymaga długiego review i kilku poprawek, koszt całego procesu rośnie.</w:t>
      </w:r>
    </w:p>
    <w:bookmarkEnd w:id="61"/>
    <w:bookmarkStart w:id="62" w:name="budżet-zadania"/>
    <w:p>
      <w:pPr>
        <w:pStyle w:val="Heading2"/>
      </w:pPr>
      <w:r>
        <w:t xml:space="preserve">8.2 Budżet zadania</w:t>
      </w:r>
    </w:p>
    <w:p>
      <w:pPr>
        <w:pStyle w:val="SourceCode"/>
      </w:pP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provider_cost_max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attempts_max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elapsed_minutes_max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human_review_minutes_max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proposal_only</w:t>
      </w:r>
    </w:p>
    <w:p>
      <w:pPr>
        <w:pStyle w:val="FirstParagraph"/>
      </w:pPr>
      <w:r>
        <w:t xml:space="preserve">Po wyczerpaniu budżetu wynik przechodzi do</w:t>
      </w:r>
      <w:r>
        <w:t xml:space="preserve"> </w:t>
      </w:r>
      <w:r>
        <w:rPr>
          <w:rStyle w:val="VerbatimChar"/>
        </w:rPr>
        <w:t xml:space="preserve">needs_input</w:t>
      </w:r>
      <w:r>
        <w:t xml:space="preserve">. Nie uruchamiamy</w:t>
      </w:r>
      <w:r>
        <w:t xml:space="preserve"> </w:t>
      </w:r>
      <w:r>
        <w:t xml:space="preserve">automatycznie większego modelu ani kolejnej subskrypcji, jeżeli nie zmieniły się</w:t>
      </w:r>
      <w:r>
        <w:t xml:space="preserve"> </w:t>
      </w:r>
      <w:r>
        <w:t xml:space="preserve">fakty lub strategia.</w:t>
      </w:r>
    </w:p>
    <w:bookmarkEnd w:id="62"/>
    <w:bookmarkStart w:id="63" w:name="dwa-dostępy-jako-odporność"/>
    <w:p>
      <w:pPr>
        <w:pStyle w:val="Heading2"/>
      </w:pPr>
      <w:r>
        <w:t xml:space="preserve">8.3 Dwa dostępy jako odporność</w:t>
      </w:r>
    </w:p>
    <w:p>
      <w:pPr>
        <w:pStyle w:val="FirstParagraph"/>
      </w:pPr>
      <w:r>
        <w:t xml:space="preserve">Dwóch dostawców może:</w:t>
      </w:r>
    </w:p>
    <w:p>
      <w:pPr>
        <w:pStyle w:val="Compact"/>
        <w:numPr>
          <w:ilvl w:val="0"/>
          <w:numId w:val="1024"/>
        </w:numPr>
      </w:pPr>
      <w:r>
        <w:t xml:space="preserve">ograniczyć wpływ awarii i limitów,</w:t>
      </w:r>
    </w:p>
    <w:p>
      <w:pPr>
        <w:pStyle w:val="Compact"/>
        <w:numPr>
          <w:ilvl w:val="0"/>
          <w:numId w:val="1024"/>
        </w:numPr>
      </w:pPr>
      <w:r>
        <w:t xml:space="preserve">zapewnić różne capabilities,</w:t>
      </w:r>
    </w:p>
    <w:p>
      <w:pPr>
        <w:pStyle w:val="Compact"/>
        <w:numPr>
          <w:ilvl w:val="0"/>
          <w:numId w:val="1024"/>
        </w:numPr>
      </w:pPr>
      <w:r>
        <w:t xml:space="preserve">umożliwić niezależny review,</w:t>
      </w:r>
    </w:p>
    <w:p>
      <w:pPr>
        <w:pStyle w:val="Compact"/>
        <w:numPr>
          <w:ilvl w:val="0"/>
          <w:numId w:val="1024"/>
        </w:numPr>
      </w:pPr>
      <w:r>
        <w:t xml:space="preserve">dać punkt odniesienia dla jakości i kosztu.</w:t>
      </w:r>
    </w:p>
    <w:p>
      <w:pPr>
        <w:pStyle w:val="FirstParagraph"/>
      </w:pPr>
      <w:r>
        <w:t xml:space="preserve">Nie gwarantuje jednak ciągłości. Oba narzędzia mogą zależeć od podobnych</w:t>
      </w:r>
      <w:r>
        <w:t xml:space="preserve"> </w:t>
      </w:r>
      <w:r>
        <w:t xml:space="preserve">upstreamów, mieć inne zasady danych albo nie obsługiwać tego samego workflow.</w:t>
      </w:r>
      <w:r>
        <w:t xml:space="preserve"> </w:t>
      </w:r>
      <w:r>
        <w:t xml:space="preserve">Przed zakupem drugiego dostępu sprawdź, którą konkretną awarię lub lukę ma</w:t>
      </w:r>
      <w:r>
        <w:t xml:space="preserve"> </w:t>
      </w:r>
      <w:r>
        <w:t xml:space="preserve">pokrywać.</w:t>
      </w:r>
    </w:p>
    <w:bookmarkEnd w:id="63"/>
    <w:bookmarkStart w:id="64" w:name="plan-degradacji"/>
    <w:p>
      <w:pPr>
        <w:pStyle w:val="Heading2"/>
      </w:pPr>
      <w:r>
        <w:t xml:space="preserve">8.4 Plan degradacji</w:t>
      </w:r>
    </w:p>
    <w:p>
      <w:pPr>
        <w:pStyle w:val="FirstParagraph"/>
      </w:pPr>
      <w:r>
        <w:t xml:space="preserve">Proces powinien przewidywać: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Sytuacja</w:t>
            </w:r>
          </w:p>
        </w:tc>
        <w:tc>
          <w:tcPr/>
          <w:p>
            <w:pPr>
              <w:pStyle w:val="Compact"/>
            </w:pPr>
            <w:r>
              <w:t xml:space="preserve">Reakcja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modelu wykonawczego</w:t>
            </w:r>
          </w:p>
        </w:tc>
        <w:tc>
          <w:tcPr/>
          <w:p>
            <w:pPr>
              <w:pStyle w:val="Compact"/>
            </w:pPr>
            <w:r>
              <w:t xml:space="preserve">zachowaj zadanie i przełącz zgodny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 modelu recenzującego</w:t>
            </w:r>
          </w:p>
        </w:tc>
        <w:tc>
          <w:tcPr/>
          <w:p>
            <w:pPr>
              <w:pStyle w:val="Compact"/>
            </w:pPr>
            <w:r>
              <w:t xml:space="preserve">użyj testów deterministycznych i oznacz brak niezależnego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 dostępu do sieci</w:t>
            </w:r>
          </w:p>
        </w:tc>
        <w:tc>
          <w:tcPr/>
          <w:p>
            <w:pPr>
              <w:pStyle w:val="Compact"/>
            </w:pPr>
            <w:r>
              <w:t xml:space="preserve">pracuj na zapisanych źródłach albo zatrzymaj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przekroczony koszt</w:t>
            </w:r>
          </w:p>
        </w:tc>
        <w:tc>
          <w:tcPr/>
          <w:p>
            <w:pPr>
              <w:pStyle w:val="Compact"/>
            </w:pPr>
            <w:r>
              <w:t xml:space="preserve">eskaluj; nie zwiększaj budżetu bez decyzji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niezgodność danych</w:t>
            </w:r>
          </w:p>
        </w:tc>
        <w:tc>
          <w:tcPr/>
          <w:p>
            <w:pPr>
              <w:pStyle w:val="Compact"/>
            </w:pPr>
            <w:r>
              <w:t xml:space="preserve">użyj lokalnego narzędzia albo zredagowanego kontekstu</w:t>
            </w:r>
          </w:p>
        </w:tc>
      </w:tr>
    </w:tbl>
    <w:p>
      <w:pPr>
        <w:pStyle w:val="BodyText"/>
      </w:pPr>
      <w:r>
        <w:t xml:space="preserve">Degradacja ma być jawna w receipcie. Wynik o słabszym dowodzie nie może</w:t>
      </w:r>
      <w:r>
        <w:t xml:space="preserve"> </w:t>
      </w:r>
      <w:r>
        <w:t xml:space="preserve">wyglądać tak samo jak wynik pełnego procesu.</w:t>
      </w:r>
    </w:p>
    <w:bookmarkEnd w:id="64"/>
    <w:bookmarkStart w:id="65" w:name="eksperyment-6"/>
    <w:p>
      <w:pPr>
        <w:pStyle w:val="Heading2"/>
      </w:pPr>
      <w:r>
        <w:t xml:space="preserve">8.5 Eksperyment</w:t>
      </w:r>
    </w:p>
    <w:p>
      <w:pPr>
        <w:pStyle w:val="FirstParagraph"/>
      </w:pPr>
      <w:r>
        <w:t xml:space="preserve">Przez dwa tygodnie przypisuj zadaniom budżet przed uruchomieniem. Zapisuj, ile</w:t>
      </w:r>
      <w:r>
        <w:t xml:space="preserve"> </w:t>
      </w:r>
      <w:r>
        <w:t xml:space="preserve">zadań przekroczyło limit oraz dlaczego. Jeżeli najczęstszą przyczyną jest</w:t>
      </w:r>
      <w:r>
        <w:t xml:space="preserve"> </w:t>
      </w:r>
      <w:r>
        <w:t xml:space="preserve">niepełny kontekst, kolejny zakup nie rozwiąże problemu. Jeżeli przyczyną są</w:t>
      </w:r>
      <w:r>
        <w:t xml:space="preserve"> </w:t>
      </w:r>
      <w:r>
        <w:t xml:space="preserve">rzeczywiste limity albo brak capability, drugi dostawca może mieć mierzalną</w:t>
      </w:r>
      <w:r>
        <w:t xml:space="preserve"> </w:t>
      </w:r>
      <w:r>
        <w:t xml:space="preserve">wartość.</w:t>
      </w:r>
    </w:p>
    <w:bookmarkEnd w:id="65"/>
    <w:bookmarkEnd w:id="66"/>
    <w:bookmarkStart w:id="72" w:name="Xbf67ba2a4d65cd4bce0e34884ed92169354522c"/>
    <w:p>
      <w:pPr>
        <w:pStyle w:val="Heading1"/>
      </w:pPr>
      <w:r>
        <w:t xml:space="preserve">9. Digital Twin Portrait, router i orchestrator ticketów</w:t>
      </w:r>
    </w:p>
    <w:p>
      <w:pPr>
        <w:pStyle w:val="FirstParagraph"/>
      </w:pPr>
      <w:r>
        <w:t xml:space="preserve">Digital Twin jest portretem sposobu pracy aktora: specjalizacji, kryteriów</w:t>
      </w:r>
      <w:r>
        <w:t xml:space="preserve"> </w:t>
      </w:r>
      <w:r>
        <w:t xml:space="preserve">jakości, rytmu, kosztu i aktualnego obciążenia. Portret jest</w:t>
      </w:r>
      <w:r>
        <w:t xml:space="preserve"> </w:t>
      </w:r>
      <w:r>
        <w:rPr>
          <w:b/>
          <w:bCs/>
        </w:rPr>
        <w:t xml:space="preserve">tylko do</w:t>
      </w:r>
      <w:r>
        <w:rPr>
          <w:b/>
          <w:bCs/>
        </w:rPr>
        <w:t xml:space="preserve"> </w:t>
      </w:r>
      <w:r>
        <w:rPr>
          <w:b/>
          <w:bCs/>
        </w:rPr>
        <w:t xml:space="preserve">odczytu</w:t>
      </w:r>
      <w:r>
        <w:t xml:space="preserve">. Może dostarczyć sygnał routingowy, ale nie przyznaje authority i nie</w:t>
      </w:r>
      <w:r>
        <w:t xml:space="preserve"> </w:t>
      </w:r>
      <w:r>
        <w:t xml:space="preserve">może autonomicznie zmienić własnych praw.</w:t>
      </w:r>
    </w:p>
    <w:p>
      <w:pPr>
        <w:pStyle w:val="BodyText"/>
      </w:pPr>
      <w:r>
        <w:t xml:space="preserve">W tej książce używamy nazwy</w:t>
      </w:r>
      <w:r>
        <w:t xml:space="preserve"> </w:t>
      </w:r>
      <w:r>
        <w:rPr>
          <w:b/>
          <w:bCs/>
        </w:rPr>
        <w:t xml:space="preserve">DOQL/Situation</w:t>
      </w:r>
      <w:r>
        <w:t xml:space="preserve"> </w:t>
      </w:r>
      <w:r>
        <w:t xml:space="preserve">dla agregacji sytuacji Digital</w:t>
      </w:r>
      <w:r>
        <w:t xml:space="preserve"> </w:t>
      </w:r>
      <w:r>
        <w:t xml:space="preserve">Twin. Odróżniamy ją od spotykanej w projektach deklaracji</w:t>
      </w:r>
      <w:r>
        <w:t xml:space="preserve"> </w:t>
      </w:r>
      <w:r>
        <w:rPr>
          <w:rStyle w:val="VerbatimChar"/>
        </w:rPr>
        <w:t xml:space="preserve">app.doql.less</w:t>
      </w:r>
      <w:r>
        <w:t xml:space="preserve">, która</w:t>
      </w:r>
      <w:r>
        <w:t xml:space="preserve"> </w:t>
      </w:r>
      <w:r>
        <w:t xml:space="preserve">opisuje strukturę aplikacji i jej środowisko.</w:t>
      </w:r>
    </w:p>
    <w:p>
      <w:pPr>
        <w:pStyle w:val="BodyText"/>
      </w:pPr>
      <w:r>
        <w:t xml:space="preserve">Rozdzielenie obserwacji od uprawnień jest ważniejsze niż trafność samego</w:t>
      </w:r>
      <w:r>
        <w:t xml:space="preserve"> </w:t>
      </w:r>
      <w:r>
        <w:t xml:space="preserve">profilu:</w:t>
      </w:r>
    </w:p>
    <w:p>
      <w:pPr>
        <w:pStyle w:val="Compact"/>
        <w:numPr>
          <w:ilvl w:val="0"/>
          <w:numId w:val="1025"/>
        </w:numPr>
      </w:pPr>
      <w:r>
        <w:t xml:space="preserve">DOQL opisuje sytuację i portret,</w:t>
      </w:r>
    </w:p>
    <w:p>
      <w:pPr>
        <w:pStyle w:val="Compact"/>
        <w:numPr>
          <w:ilvl w:val="0"/>
          <w:numId w:val="1025"/>
        </w:numPr>
      </w:pPr>
      <w:r>
        <w:t xml:space="preserve">router wybiera kandydata dopiero po pokryciu AQL i URI,</w:t>
      </w:r>
    </w:p>
    <w:p>
      <w:pPr>
        <w:pStyle w:val="Compact"/>
        <w:numPr>
          <w:ilvl w:val="0"/>
          <w:numId w:val="1025"/>
        </w:numPr>
      </w:pPr>
      <w:r>
        <w:t xml:space="preserve">AQL określa granice działania,</w:t>
      </w:r>
    </w:p>
    <w:p>
      <w:pPr>
        <w:pStyle w:val="Compact"/>
        <w:numPr>
          <w:ilvl w:val="0"/>
          <w:numId w:val="1025"/>
        </w:numPr>
      </w:pPr>
      <w:r>
        <w:t xml:space="preserve">OQL materializuje przebieg,</w:t>
      </w:r>
    </w:p>
    <w:p>
      <w:pPr>
        <w:pStyle w:val="Compact"/>
        <w:numPr>
          <w:ilvl w:val="0"/>
          <w:numId w:val="1025"/>
        </w:numPr>
      </w:pPr>
      <w:r>
        <w:t xml:space="preserve">EQL dopuszcza handoff,</w:t>
      </w:r>
    </w:p>
    <w:p>
      <w:pPr>
        <w:pStyle w:val="Compact"/>
        <w:numPr>
          <w:ilvl w:val="0"/>
          <w:numId w:val="1025"/>
        </w:numPr>
      </w:pPr>
      <w:r>
        <w:t xml:space="preserve">receipt dowodzi, co faktycznie wykonano.</w:t>
      </w:r>
    </w:p>
    <w:bookmarkStart w:id="67" w:name="intencja-skrócona-do-kontraktu"/>
    <w:p>
      <w:pPr>
        <w:pStyle w:val="Heading2"/>
      </w:pPr>
      <w:r>
        <w:t xml:space="preserve">9.1 Intencja skrócona do kontraktu</w:t>
      </w:r>
    </w:p>
    <w:p>
      <w:pPr>
        <w:pStyle w:val="FirstParagraph"/>
      </w:pPr>
      <w:r>
        <w:t xml:space="preserve">Opis narracyjny:</w:t>
      </w:r>
    </w:p>
    <w:p>
      <w:pPr>
        <w:pStyle w:val="BlockText"/>
      </w:pPr>
      <w:r>
        <w:t xml:space="preserve">Router może korzystać z portretu Digital Twin przy wyborze człowieka, bota</w:t>
      </w:r>
      <w:r>
        <w:t xml:space="preserve"> </w:t>
      </w:r>
      <w:r>
        <w:t xml:space="preserve">albo serwisu, ale nie może na jego podstawie rozszerzyć uprawnień. Kandydat</w:t>
      </w:r>
      <w:r>
        <w:t xml:space="preserve"> </w:t>
      </w:r>
      <w:r>
        <w:t xml:space="preserve">musi mieć pokrycie AQL i rozwiązywalny URI. Następny ticket może rozpocząć się</w:t>
      </w:r>
      <w:r>
        <w:t xml:space="preserve"> </w:t>
      </w:r>
      <w:r>
        <w:t xml:space="preserve">dopiero po terminalnym receipcie poprzednika i zielonym EQL.</w:t>
      </w:r>
    </w:p>
    <w:p>
      <w:pPr>
        <w:pStyle w:val="FirstParagraph"/>
      </w:pPr>
      <w:r>
        <w:t xml:space="preserve">Ta sama decyzja w krótkim DSL:</w:t>
      </w:r>
    </w:p>
    <w:p>
      <w:pPr>
        <w:pStyle w:val="SourceCode"/>
      </w:pPr>
      <w:r>
        <w:rPr>
          <w:rStyle w:val="FunctionTok"/>
        </w:rPr>
        <w:t xml:space="preserve">intent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route_ticket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portrait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read_only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inherited_only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aql_coverage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uri_resolvable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eql_handoff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green</w:t>
      </w:r>
    </w:p>
    <w:p>
      <w:pPr>
        <w:pStyle w:val="FirstParagraph"/>
      </w:pPr>
      <w:r>
        <w:t xml:space="preserve">Proza wyjaśnia sens. DSL oddziela pola, które można walidować, testować,</w:t>
      </w:r>
      <w:r>
        <w:t xml:space="preserve"> </w:t>
      </w:r>
      <w:r>
        <w:t xml:space="preserve">wersjonować i wdrażać.</w:t>
      </w:r>
    </w:p>
    <w:bookmarkEnd w:id="67"/>
    <w:bookmarkStart w:id="68" w:name="łańcuch-wykonania"/>
    <w:p>
      <w:pPr>
        <w:pStyle w:val="Heading2"/>
      </w:pPr>
      <w:r>
        <w:t xml:space="preserve">9.2 Łańcuch wykonania</w:t>
      </w:r>
    </w:p>
    <w:p>
      <w:pPr>
        <w:pStyle w:val="FirstParagraph"/>
      </w:pPr>
      <w:r>
        <w:t xml:space="preserve">Orchestrator materializuje</w:t>
      </w:r>
      <w:r>
        <w:t xml:space="preserve"> </w:t>
      </w:r>
      <w:r>
        <w:rPr>
          <w:rStyle w:val="VerbatimChar"/>
        </w:rPr>
        <w:t xml:space="preserve">subactor.ticket-execution-chain/v1</w:t>
      </w:r>
      <w:r>
        <w:t xml:space="preserve">. Kandydatem może</w:t>
      </w:r>
      <w:r>
        <w:t xml:space="preserve"> </w:t>
      </w:r>
      <w:r>
        <w:t xml:space="preserve">być człowiek, bot lub serwis. Handoff wymaga terminalnego receiptu poprzednika i</w:t>
      </w:r>
      <w:r>
        <w:t xml:space="preserve"> </w:t>
      </w:r>
      <w:r>
        <w:t xml:space="preserve">zielonego EQL:</w:t>
      </w:r>
    </w:p>
    <w:p>
      <w:pPr>
        <w:pStyle w:val="SourceCode"/>
      </w:pPr>
      <w:r>
        <w:rPr>
          <w:rStyle w:val="VerbatimChar"/>
        </w:rPr>
        <w:t xml:space="preserve">Intent -&gt; Composer -&gt; DOQL snapshot -&gt; Digital Twin Router</w:t>
      </w:r>
      <w:r>
        <w:br/>
      </w:r>
      <w:r>
        <w:rPr>
          <w:rStyle w:val="VerbatimChar"/>
        </w:rPr>
        <w:t xml:space="preserve">                                      /      |       \</w:t>
      </w:r>
      <w:r>
        <w:br/>
      </w:r>
      <w:r>
        <w:rPr>
          <w:rStyle w:val="VerbatimChar"/>
        </w:rPr>
        <w:t xml:space="preserve">                                   human    bot    service</w:t>
      </w:r>
      <w:r>
        <w:br/>
      </w:r>
      <w:r>
        <w:rPr>
          <w:rStyle w:val="VerbatimChar"/>
        </w:rPr>
        <w:t xml:space="preserve">                                      \      |       /</w:t>
      </w:r>
      <w:r>
        <w:br/>
      </w:r>
      <w:r>
        <w:rPr>
          <w:rStyle w:val="VerbatimChar"/>
        </w:rPr>
        <w:t xml:space="preserve">                                  receipt + EQL handoff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następny ticket</w:t>
      </w:r>
    </w:p>
    <w:p>
      <w:pPr>
        <w:pStyle w:val="FirstParagraph"/>
      </w:pPr>
      <w:r>
        <w:t xml:space="preserve">Odmowa readiness nie może tworzyć pętli bez postępu. False-ready przechodzi do</w:t>
      </w:r>
      <w:r>
        <w:t xml:space="preserve"> </w:t>
      </w:r>
      <w:r>
        <w:rPr>
          <w:rStyle w:val="VerbatimChar"/>
        </w:rPr>
        <w:t xml:space="preserve">waiting_input</w:t>
      </w:r>
      <w:r>
        <w:t xml:space="preserve"> </w:t>
      </w:r>
      <w:r>
        <w:t xml:space="preserve">z dokładnym kodem bramki. Scheduler nie ponawia niezmienionego</w:t>
      </w:r>
      <w:r>
        <w:t xml:space="preserve"> </w:t>
      </w:r>
      <w:r>
        <w:t xml:space="preserve">błędu.</w:t>
      </w:r>
    </w:p>
    <w:p>
      <w:pPr>
        <w:pStyle w:val="SourceCode"/>
      </w:pPr>
      <w:r>
        <w:rPr>
          <w:rStyle w:val="FunctionTok"/>
        </w:rPr>
        <w:t xml:space="preserve">on_false_ready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waiting_input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retry_unchanged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68"/>
    <w:bookmarkStart w:id="69" w:name="dowód-z-próby-wdrożeniowej"/>
    <w:p>
      <w:pPr>
        <w:pStyle w:val="Heading2"/>
      </w:pPr>
      <w:r>
        <w:t xml:space="preserve">9.3 Dowód z próby wdrożeniowej</w:t>
      </w:r>
    </w:p>
    <w:p>
      <w:pPr>
        <w:pStyle w:val="FirstParagraph"/>
      </w:pPr>
      <w:r>
        <w:t xml:space="preserve">Poniższe liczby są snapshotem pojedynczej próby projektu Subactor z 24 lipca</w:t>
      </w:r>
      <w:r>
        <w:t xml:space="preserve"> </w:t>
      </w:r>
      <w:r>
        <w:t xml:space="preserve">2026, zapisanym w dołączonym Process Packu. Nie są benchmarkiem wydajności ani</w:t>
      </w:r>
      <w:r>
        <w:t xml:space="preserve"> </w:t>
      </w:r>
      <w:r>
        <w:t xml:space="preserve">podstawą do uogólnienia na inne systemy. Pokazują format dowodu:</w:t>
      </w:r>
    </w:p>
    <w:p>
      <w:pPr>
        <w:pStyle w:val="Compact"/>
        <w:numPr>
          <w:ilvl w:val="0"/>
          <w:numId w:val="1026"/>
        </w:numPr>
      </w:pPr>
      <w:r>
        <w:t xml:space="preserve">przeskanował 55 ticketów,</w:t>
      </w:r>
    </w:p>
    <w:p>
      <w:pPr>
        <w:pStyle w:val="Compact"/>
        <w:numPr>
          <w:ilvl w:val="0"/>
          <w:numId w:val="1026"/>
        </w:numPr>
      </w:pPr>
      <w:r>
        <w:t xml:space="preserve">rozważył 33 kandydatów,</w:t>
      </w:r>
    </w:p>
    <w:p>
      <w:pPr>
        <w:pStyle w:val="Compact"/>
        <w:numPr>
          <w:ilvl w:val="0"/>
          <w:numId w:val="1026"/>
        </w:numPr>
      </w:pPr>
      <w:r>
        <w:t xml:space="preserve">sprawdził pięć oczekujących ticketów,</w:t>
      </w:r>
    </w:p>
    <w:p>
      <w:pPr>
        <w:pStyle w:val="Compact"/>
        <w:numPr>
          <w:ilvl w:val="0"/>
          <w:numId w:val="1026"/>
        </w:numPr>
      </w:pPr>
      <w:r>
        <w:t xml:space="preserve">nie promował żadnego bez zielonych bramek,</w:t>
      </w:r>
    </w:p>
    <w:p>
      <w:pPr>
        <w:pStyle w:val="Compact"/>
        <w:numPr>
          <w:ilvl w:val="0"/>
          <w:numId w:val="1026"/>
        </w:numPr>
      </w:pPr>
      <w:r>
        <w:t xml:space="preserve">zakończył</w:t>
      </w:r>
      <w:r>
        <w:t xml:space="preserve"> </w:t>
      </w:r>
      <w:r>
        <w:rPr>
          <w:rStyle w:val="VerbatimChar"/>
        </w:rPr>
        <w:t xml:space="preserve">queue_execution</w:t>
      </w:r>
      <w:r>
        <w:t xml:space="preserve"> </w:t>
      </w:r>
      <w:r>
        <w:t xml:space="preserve">w 18,8 s.</w:t>
      </w:r>
    </w:p>
    <w:p>
      <w:pPr>
        <w:pStyle w:val="FirstParagraph"/>
      </w:pPr>
      <w:r>
        <w:t xml:space="preserve">Kontroler wykonuje sweep co 300 000 ms. Błąd wymagający reakcji może zlecić</w:t>
      </w:r>
      <w:r>
        <w:t xml:space="preserve"> </w:t>
      </w:r>
      <w:r>
        <w:t xml:space="preserve">dodatkowy cykl po 1 s, z deduplikacją i cooldownem 5 minut. Sam błąd nie</w:t>
      </w:r>
      <w:r>
        <w:t xml:space="preserve"> </w:t>
      </w:r>
      <w:r>
        <w:t xml:space="preserve">rozszerza authority ani nie omija lifecycle.</w:t>
      </w:r>
    </w:p>
    <w:p>
      <w:pPr>
        <w:pStyle w:val="BodyText"/>
      </w:pPr>
      <w:r>
        <w:t xml:space="preserve">W rejestrze lifecycle</w:t>
      </w:r>
      <w:r>
        <w:t xml:space="preserve"> </w:t>
      </w:r>
      <w:r>
        <w:rPr>
          <w:rStyle w:val="VerbatimChar"/>
        </w:rPr>
        <w:t xml:space="preserve">digital_twin_profile</w:t>
      </w:r>
      <w:r>
        <w:t xml:space="preserve"> </w:t>
      </w:r>
      <w:r>
        <w:t xml:space="preserve">miał status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a</w:t>
      </w:r>
      <w:r>
        <w:t xml:space="preserve"> </w:t>
      </w:r>
      <w:r>
        <w:rPr>
          <w:rStyle w:val="VerbatimChar"/>
        </w:rPr>
        <w:t xml:space="preserve">autonomy.enabled=false</w:t>
      </w:r>
      <w:r>
        <w:t xml:space="preserve">. Portret był użyteczny dla routingu, ale nie otrzymał</w:t>
      </w:r>
      <w:r>
        <w:t xml:space="preserve"> </w:t>
      </w:r>
      <w:r>
        <w:t xml:space="preserve">prawa do samodzielnej migracji profilu lub modyfikacji uprawnień.</w:t>
      </w:r>
    </w:p>
    <w:p>
      <w:pPr>
        <w:pStyle w:val="BodyText"/>
      </w:pPr>
      <w:r>
        <w:t xml:space="preserve">Próba potwierdziła wykonanie wewnętrznego lejka przez</w:t>
      </w:r>
      <w:r>
        <w:t xml:space="preserve"> </w:t>
      </w:r>
      <w:r>
        <w:rPr>
          <w:rStyle w:val="VerbatimChar"/>
        </w:rPr>
        <w:t xml:space="preserve">operations-operator-bot</w:t>
      </w:r>
      <w:r>
        <w:t xml:space="preserve">, audyt connectorów social przez</w:t>
      </w:r>
      <w:r>
        <w:t xml:space="preserve"> </w:t>
      </w:r>
      <w:r>
        <w:rPr>
          <w:rStyle w:val="VerbatimChar"/>
        </w:rPr>
        <w:t xml:space="preserve">marketing-operator-bot</w:t>
      </w:r>
      <w:r>
        <w:t xml:space="preserve"> </w:t>
      </w:r>
      <w:r>
        <w:t xml:space="preserve">oraz powiązanie dwóch skrzynek Plesk z portretami w</w:t>
      </w:r>
      <w:r>
        <w:t xml:space="preserve"> </w:t>
      </w:r>
      <w:r>
        <w:t xml:space="preserve">Organization Core. Research</w:t>
      </w:r>
      <w:r>
        <w:t xml:space="preserve"> </w:t>
      </w:r>
      <w:r>
        <w:rPr>
          <w:rStyle w:val="VerbatimChar"/>
        </w:rPr>
        <w:t xml:space="preserve">PLF-847</w:t>
      </w:r>
      <w:r>
        <w:t xml:space="preserve"> </w:t>
      </w:r>
      <w:r>
        <w:t xml:space="preserve">pozostał poprawnie zablokowany do czasu</w:t>
      </w:r>
      <w:r>
        <w:t xml:space="preserve"> </w:t>
      </w:r>
      <w:r>
        <w:t xml:space="preserve">implementacji dokładnych adapterów browser i analytics.</w:t>
      </w:r>
    </w:p>
    <w:bookmarkEnd w:id="69"/>
    <w:bookmarkStart w:id="70" w:name="eksperyment-dla-własnego-workflow"/>
    <w:p>
      <w:pPr>
        <w:pStyle w:val="Heading2"/>
      </w:pPr>
      <w:r>
        <w:t xml:space="preserve">9.4 Eksperyment dla własnego workflow</w:t>
      </w:r>
    </w:p>
    <w:p>
      <w:pPr>
        <w:pStyle w:val="FirstParagraph"/>
      </w:pPr>
      <w:r>
        <w:t xml:space="preserve">Nie zaczynaj od profilu osobowości ani oceny „który model jest najlepszy”.</w:t>
      </w:r>
      <w:r>
        <w:t xml:space="preserve"> </w:t>
      </w:r>
      <w:r>
        <w:t xml:space="preserve">Zbuduj mały portret operacyjny z faktów:</w:t>
      </w:r>
    </w:p>
    <w:p>
      <w:pPr>
        <w:pStyle w:val="SourceCode"/>
      </w:pPr>
      <w:r>
        <w:rPr>
          <w:rStyle w:val="FunctionTok"/>
        </w:rPr>
        <w:t xml:space="preserve">portrait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"2026-07-24T09:00:00Z"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small_bug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accepted_changes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median_human_minutes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review_required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human_active_tasks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ai_running_tasks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waiting_reviews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autonomy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Router może użyć tych danych do rekomendacji wykonawcy albo kolejności odbioru.</w:t>
      </w:r>
      <w:r>
        <w:t xml:space="preserve"> </w:t>
      </w:r>
      <w:r>
        <w:t xml:space="preserve">Nie może na ich podstawie sam nadać dostępu do repozytorium, zwiększyć budżetu</w:t>
      </w:r>
      <w:r>
        <w:t xml:space="preserve"> </w:t>
      </w:r>
      <w:r>
        <w:t xml:space="preserve">czy opublikować zmiany.</w:t>
      </w:r>
    </w:p>
    <w:bookmarkEnd w:id="70"/>
    <w:bookmarkStart w:id="71" w:name="wniosek"/>
    <w:p>
      <w:pPr>
        <w:pStyle w:val="Heading2"/>
      </w:pPr>
      <w:r>
        <w:t xml:space="preserve">9.5 Wniosek</w:t>
      </w:r>
    </w:p>
    <w:p>
      <w:pPr>
        <w:pStyle w:val="FirstParagraph"/>
      </w:pPr>
      <w:r>
        <w:t xml:space="preserve">Wartością Digital Twina nie jest naśladowanie człowieka. Jest nią coraz lepszy,</w:t>
      </w:r>
      <w:r>
        <w:t xml:space="preserve"> </w:t>
      </w:r>
      <w:r>
        <w:t xml:space="preserve">sprawdzalny routing pracy bez rozszerzania uprawnień na podstawie predykcji.</w:t>
      </w:r>
      <w:r>
        <w:t xml:space="preserve"> </w:t>
      </w:r>
      <w:r>
        <w:t xml:space="preserve">Dobry portret mówi również, czego jeszcze nie wiadomo i kiedy obserwacja</w:t>
      </w:r>
      <w:r>
        <w:t xml:space="preserve"> </w:t>
      </w:r>
      <w:r>
        <w:t xml:space="preserve">przestaje być świeża.</w:t>
      </w:r>
    </w:p>
    <w:bookmarkEnd w:id="71"/>
    <w:bookmarkEnd w:id="72"/>
    <w:bookmarkStart w:id="80" w:name="dsl-idea-którą-można-uruchomić"/>
    <w:p>
      <w:pPr>
        <w:pStyle w:val="Heading1"/>
      </w:pPr>
      <w:r>
        <w:t xml:space="preserve">10. DSL: idea, którą można uruchomić</w:t>
      </w:r>
    </w:p>
    <w:p>
      <w:pPr>
        <w:pStyle w:val="FirstParagraph"/>
      </w:pPr>
      <w:r>
        <w:t xml:space="preserve">Naturalny język dobrze przenosi kontekst, motywację i wyjątki. Słabo nadaje się</w:t>
      </w:r>
      <w:r>
        <w:t xml:space="preserve"> </w:t>
      </w:r>
      <w:r>
        <w:t xml:space="preserve">jednak do jednoznacznego wykrywania brakujących pól, porównywania wersji i</w:t>
      </w:r>
      <w:r>
        <w:t xml:space="preserve"> </w:t>
      </w:r>
      <w:r>
        <w:t xml:space="preserve">automatycznego testowania.</w:t>
      </w:r>
    </w:p>
    <w:p>
      <w:pPr>
        <w:pStyle w:val="BodyText"/>
      </w:pPr>
      <w:r>
        <w:t xml:space="preserve">Badania ReAct pokazują wartość przeplatania rozumowania z działaniami</w:t>
      </w:r>
      <w:r>
        <w:t xml:space="preserve"> </w:t>
      </w:r>
      <w:r>
        <w:t xml:space="preserve">wykonywanymi w środowisku</w:t>
      </w:r>
      <w:r>
        <w:t xml:space="preserve"> </w:t>
      </w:r>
      <w:r>
        <w:t xml:space="preserve">(Yao et al. 2023)</w:t>
      </w:r>
      <w:r>
        <w:t xml:space="preserve">. Z kolei SWE-agent wskazuje, że</w:t>
      </w:r>
      <w:r>
        <w:t xml:space="preserve"> </w:t>
      </w:r>
      <w:r>
        <w:t xml:space="preserve">projekt interfejsu agent–komputer wpływa na skuteczność agenta</w:t>
      </w:r>
      <w:r>
        <w:t xml:space="preserve"> </w:t>
      </w:r>
      <w:r>
        <w:t xml:space="preserve">(Yang et al. 2024)</w:t>
      </w:r>
      <w:r>
        <w:t xml:space="preserve">. DSL w tej książce pełni właśnie rolę ograniczonego</w:t>
      </w:r>
      <w:r>
        <w:t xml:space="preserve"> </w:t>
      </w:r>
      <w:r>
        <w:t xml:space="preserve">interfejsu: zmniejsza przestrzeń możliwych działań i wymusza jawny dowód.</w:t>
      </w:r>
    </w:p>
    <w:p>
      <w:pPr>
        <w:pStyle w:val="BodyText"/>
      </w:pPr>
      <w:r>
        <w:t xml:space="preserve">DSL zwiększa wartość idei, gdy formalizuje pięć elementów:</w:t>
      </w:r>
    </w:p>
    <w:p>
      <w:pPr>
        <w:pStyle w:val="Compact"/>
        <w:numPr>
          <w:ilvl w:val="0"/>
          <w:numId w:val="1027"/>
        </w:numPr>
      </w:pPr>
      <w:r>
        <w:t xml:space="preserve">intencję,</w:t>
      </w:r>
    </w:p>
    <w:p>
      <w:pPr>
        <w:pStyle w:val="Compact"/>
        <w:numPr>
          <w:ilvl w:val="0"/>
          <w:numId w:val="1027"/>
        </w:numPr>
      </w:pPr>
      <w:r>
        <w:t xml:space="preserve">granice authority,</w:t>
      </w:r>
    </w:p>
    <w:p>
      <w:pPr>
        <w:pStyle w:val="Compact"/>
        <w:numPr>
          <w:ilvl w:val="0"/>
          <w:numId w:val="1027"/>
        </w:numPr>
      </w:pPr>
      <w:r>
        <w:t xml:space="preserve">przebieg operacji,</w:t>
      </w:r>
    </w:p>
    <w:p>
      <w:pPr>
        <w:pStyle w:val="Compact"/>
        <w:numPr>
          <w:ilvl w:val="0"/>
          <w:numId w:val="1027"/>
        </w:numPr>
      </w:pPr>
      <w:r>
        <w:t xml:space="preserve">oczekiwany dowód,</w:t>
      </w:r>
    </w:p>
    <w:p>
      <w:pPr>
        <w:pStyle w:val="Compact"/>
        <w:numPr>
          <w:ilvl w:val="0"/>
          <w:numId w:val="1027"/>
        </w:numPr>
      </w:pPr>
      <w:r>
        <w:t xml:space="preserve">reakcję na brak gotowości.</w:t>
      </w:r>
    </w:p>
    <w:bookmarkStart w:id="74" w:name="języki-i-odpowiedzialności"/>
    <w:p>
      <w:pPr>
        <w:pStyle w:val="Heading2"/>
      </w:pPr>
      <w:r>
        <w:t xml:space="preserve">10.1 Języki i odpowiedzialności</w:t>
      </w:r>
    </w:p>
    <w:p>
      <w:pPr>
        <w:pStyle w:val="FirstParagraph"/>
      </w:pPr>
      <w:r>
        <w:t xml:space="preserve">W przykładach używamy rodziny DSL-i rozwijanych w projektach Subactora: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Warstwa</w:t>
            </w:r>
          </w:p>
        </w:tc>
        <w:tc>
          <w:tcPr/>
          <w:p>
            <w:pPr>
              <w:pStyle w:val="Compact"/>
            </w:pPr>
            <w:r>
              <w:t xml:space="preserve">Rola w eksperymencie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Contract</w:t>
            </w:r>
          </w:p>
        </w:tc>
        <w:tc>
          <w:tcPr/>
          <w:p>
            <w:pPr>
              <w:pStyle w:val="Compact"/>
            </w:pPr>
            <w:r>
              <w:t xml:space="preserve">zaakceptowany cel, ograniczenia i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DSL</w:t>
            </w:r>
          </w:p>
        </w:tc>
        <w:tc>
          <w:tcPr/>
          <w:p>
            <w:pPr>
              <w:pStyle w:val="Compact"/>
            </w:pPr>
            <w:r>
              <w:t xml:space="preserve">wybór zatwierdzonej strategii oraz abstrakcyjnych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AQL</w:t>
            </w:r>
          </w:p>
        </w:tc>
        <w:tc>
          <w:tcPr/>
          <w:p>
            <w:pPr>
              <w:pStyle w:val="Compact"/>
            </w:pPr>
            <w:r>
              <w:t xml:space="preserve">authority aktora, allow/deny, limity i delegacja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OQL</w:t>
            </w:r>
          </w:p>
        </w:tc>
        <w:tc>
          <w:tcPr/>
          <w:p>
            <w:pPr>
              <w:pStyle w:val="Compact"/>
            </w:pPr>
            <w:r>
              <w:t xml:space="preserve">plan operacji oraz zależności między krokami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 Process</w:t>
            </w:r>
          </w:p>
        </w:tc>
        <w:tc>
          <w:tcPr/>
          <w:p>
            <w:pPr>
              <w:pStyle w:val="Compact"/>
            </w:pPr>
            <w:r>
              <w:t xml:space="preserve">binding capability do konkretnego runtime lub connectora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EQL/Expectation</w:t>
            </w:r>
          </w:p>
        </w:tc>
        <w:tc>
          <w:tcPr/>
          <w:p>
            <w:pPr>
              <w:pStyle w:val="Compact"/>
            </w:pPr>
            <w:r>
              <w:t xml:space="preserve">preflight, postcondition i read-back wyniku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EQL/Pressure</w:t>
            </w:r>
          </w:p>
        </w:tc>
        <w:tc>
          <w:tcPr/>
          <w:p>
            <w:pPr>
              <w:pStyle w:val="Compact"/>
            </w:pPr>
            <w:r>
              <w:t xml:space="preserve">ograniczona ocena presji, kosztu lub momentu eskalacji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TestQL</w:t>
            </w:r>
          </w:p>
        </w:tc>
        <w:tc>
          <w:tcPr/>
          <w:p>
            <w:pPr>
              <w:pStyle w:val="Compact"/>
            </w:pPr>
            <w:r>
              <w:t xml:space="preserve">deterministyczna bramka gotowości i jakości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DOQL/Situation</w:t>
            </w:r>
          </w:p>
        </w:tc>
        <w:tc>
          <w:tcPr/>
          <w:p>
            <w:pPr>
              <w:pStyle w:val="Compact"/>
            </w:pPr>
            <w:r>
              <w:t xml:space="preserve">ograniczony obraz sytuacji Digital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DQL/Diagnostic</w:t>
            </w:r>
          </w:p>
        </w:tc>
        <w:tc>
          <w:tcPr/>
          <w:p>
            <w:pPr>
              <w:pStyle w:val="Compact"/>
            </w:pPr>
            <w:r>
              <w:t xml:space="preserve">diagnostyka inwariantów tylko do odczytu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SODL</w:t>
            </w:r>
          </w:p>
        </w:tc>
        <w:tc>
          <w:tcPr/>
          <w:p>
            <w:pPr>
              <w:pStyle w:val="Compact"/>
            </w:pPr>
            <w:r>
              <w:t xml:space="preserve">append-only historia zdarzeń i decyzji</w:t>
            </w:r>
          </w:p>
        </w:tc>
      </w:tr>
    </w:tbl>
    <w:p>
      <w:pPr>
        <w:pStyle w:val="BodyText"/>
      </w:pPr>
      <w:r>
        <w:t xml:space="preserve">Nie są to wymienne nazwy dla jednego pliku. Każdy język chroni inną granicę.</w:t>
      </w:r>
      <w:r>
        <w:t xml:space="preserve"> </w:t>
      </w:r>
      <w:r>
        <w:t xml:space="preserve">AQL nie wykonuje operacji, DOQL nie nadaje uprawnień, a zielona odpowiedź</w:t>
      </w:r>
      <w:r>
        <w:t xml:space="preserve"> </w:t>
      </w:r>
      <w:r>
        <w:t xml:space="preserve">connectora nie zastępuje EQL.</w:t>
      </w:r>
    </w:p>
    <w:bookmarkStart w:id="73" w:name="kwalifikuj-profile"/>
    <w:p>
      <w:pPr>
        <w:pStyle w:val="Heading3"/>
      </w:pPr>
      <w:r>
        <w:t xml:space="preserve">10.1.1 Kwalifikuj profile</w:t>
      </w:r>
    </w:p>
    <w:p>
      <w:pPr>
        <w:pStyle w:val="FirstParagraph"/>
      </w:pPr>
      <w:r>
        <w:t xml:space="preserve">W ekosystemie występują historyczne lub projektowe profile o tych samych</w:t>
      </w:r>
      <w:r>
        <w:t xml:space="preserve"> </w:t>
      </w:r>
      <w:r>
        <w:t xml:space="preserve">skrótach. Dlatego w książce piszemy: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DOQL/App</w:t>
      </w:r>
      <w:r>
        <w:t xml:space="preserve"> </w:t>
      </w:r>
      <w:r>
        <w:t xml:space="preserve">dla deklaracji aplikacji w składni</w:t>
      </w:r>
      <w:r>
        <w:t xml:space="preserve"> </w:t>
      </w:r>
      <w:r>
        <w:rPr>
          <w:rStyle w:val="VerbatimChar"/>
        </w:rPr>
        <w:t xml:space="preserve">app.doql.less</w:t>
      </w:r>
      <w:r>
        <w:t xml:space="preserve">,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DOQL/Situation</w:t>
      </w:r>
      <w:r>
        <w:t xml:space="preserve"> </w:t>
      </w:r>
      <w:r>
        <w:t xml:space="preserve">dla agregacji sytuacji Digital Twin,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DQL/Diagnostic</w:t>
      </w:r>
      <w:r>
        <w:t xml:space="preserve"> </w:t>
      </w:r>
      <w:r>
        <w:t xml:space="preserve">dla read-only autodiagnostyki,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DQL/DOM</w:t>
      </w:r>
      <w:r>
        <w:t xml:space="preserve"> </w:t>
      </w:r>
      <w:r>
        <w:t xml:space="preserve">dla ograniczonego planu adaptacji interfejsu,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EQL/Expectation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EQL/Pressure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EQL/Web</w:t>
      </w:r>
      <w:r>
        <w:t xml:space="preserve"> </w:t>
      </w:r>
      <w:r>
        <w:t xml:space="preserve">dla różnych profili EQL.</w:t>
      </w:r>
    </w:p>
    <w:p>
      <w:pPr>
        <w:pStyle w:val="FirstParagraph"/>
      </w:pPr>
      <w:r>
        <w:t xml:space="preserve">Kwalifikator jest częścią kontraktu czytelniczego. Zapobiega przypadkowemu</w:t>
      </w:r>
      <w:r>
        <w:t xml:space="preserve"> </w:t>
      </w:r>
      <w:r>
        <w:t xml:space="preserve">przeniesieniu semantyki mutacji do języka diagnostycznego.</w:t>
      </w:r>
    </w:p>
    <w:bookmarkEnd w:id="73"/>
    <w:bookmarkEnd w:id="74"/>
    <w:bookmarkStart w:id="75" w:name="kompresja-bez-utraty-znaczenia"/>
    <w:p>
      <w:pPr>
        <w:pStyle w:val="Heading2"/>
      </w:pPr>
      <w:r>
        <w:t xml:space="preserve">10.2 Kompresja bez utraty znaczenia</w:t>
      </w:r>
    </w:p>
    <w:p>
      <w:pPr>
        <w:pStyle w:val="FirstParagraph"/>
      </w:pPr>
      <w:r>
        <w:t xml:space="preserve">Krótszy zapis nie jest celem samym w sobie. Dobra kompresja usuwa powtórzenia,</w:t>
      </w:r>
      <w:r>
        <w:t xml:space="preserve"> </w:t>
      </w:r>
      <w:r>
        <w:t xml:space="preserve">ale zachowuje decyzje:</w:t>
      </w:r>
    </w:p>
    <w:p>
      <w:pPr>
        <w:pStyle w:val="SourceCode"/>
      </w:pPr>
      <w:r>
        <w:rPr>
          <w:rStyle w:val="FunctionTok"/>
        </w:rPr>
        <w:t xml:space="preserve">intent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route-ticket-v1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"Wybrać bezpiecznego wykonawcę ticketu"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portrait_mutation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authority_expansion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definition_of_done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terminal_receipt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eql_handoff_green</w:t>
      </w:r>
    </w:p>
    <w:p>
      <w:pPr>
        <w:pStyle w:val="FirstParagraph"/>
      </w:pPr>
      <w:r>
        <w:t xml:space="preserve">Taki kontrakt może jednocześnie:</w:t>
      </w:r>
    </w:p>
    <w:p>
      <w:pPr>
        <w:pStyle w:val="Compact"/>
        <w:numPr>
          <w:ilvl w:val="0"/>
          <w:numId w:val="1029"/>
        </w:numPr>
      </w:pPr>
      <w:r>
        <w:t xml:space="preserve">przejść walidację schematu,</w:t>
      </w:r>
    </w:p>
    <w:p>
      <w:pPr>
        <w:pStyle w:val="Compact"/>
        <w:numPr>
          <w:ilvl w:val="0"/>
          <w:numId w:val="1029"/>
        </w:numPr>
      </w:pPr>
      <w:r>
        <w:t xml:space="preserve">zostać porównany jako mały diff,</w:t>
      </w:r>
    </w:p>
    <w:p>
      <w:pPr>
        <w:pStyle w:val="Compact"/>
        <w:numPr>
          <w:ilvl w:val="0"/>
          <w:numId w:val="1029"/>
        </w:numPr>
      </w:pPr>
      <w:r>
        <w:t xml:space="preserve">zasilić router,</w:t>
      </w:r>
    </w:p>
    <w:p>
      <w:pPr>
        <w:pStyle w:val="Compact"/>
        <w:numPr>
          <w:ilvl w:val="0"/>
          <w:numId w:val="1029"/>
        </w:numPr>
      </w:pPr>
      <w:r>
        <w:t xml:space="preserve">wygenerować test gotowości,</w:t>
      </w:r>
    </w:p>
    <w:p>
      <w:pPr>
        <w:pStyle w:val="Compact"/>
        <w:numPr>
          <w:ilvl w:val="0"/>
          <w:numId w:val="1029"/>
        </w:numPr>
      </w:pPr>
      <w:r>
        <w:t xml:space="preserve">wejść do dokumentacji jako przykład.</w:t>
      </w:r>
    </w:p>
    <w:bookmarkEnd w:id="75"/>
    <w:bookmarkStart w:id="76" w:name="minimalny-przebieg"/>
    <w:p>
      <w:pPr>
        <w:pStyle w:val="Heading2"/>
      </w:pPr>
      <w:r>
        <w:t xml:space="preserve">10.3 Minimalny przebieg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 -&gt; Intent Contract</w:t>
      </w:r>
      <w:r>
        <w:br/>
      </w:r>
      <w:r>
        <w:rPr>
          <w:rStyle w:val="VerbatimChar"/>
        </w:rPr>
        <w:t xml:space="preserve">  -&gt; AQL + URI validation</w:t>
      </w:r>
      <w:r>
        <w:br/>
      </w:r>
      <w:r>
        <w:rPr>
          <w:rStyle w:val="VerbatimChar"/>
        </w:rPr>
        <w:t xml:space="preserve">  -&gt; OQL prototype</w:t>
      </w:r>
      <w:r>
        <w:br/>
      </w:r>
      <w:r>
        <w:rPr>
          <w:rStyle w:val="VerbatimChar"/>
        </w:rPr>
        <w:t xml:space="preserve">  -&gt; EQL + TestQL gate</w:t>
      </w:r>
      <w:r>
        <w:br/>
      </w:r>
      <w:r>
        <w:rPr>
          <w:rStyle w:val="VerbatimChar"/>
        </w:rPr>
        <w:t xml:space="preserve">  -&gt; SODL receipt</w:t>
      </w:r>
      <w:r>
        <w:br/>
      </w:r>
      <w:r>
        <w:rPr>
          <w:rStyle w:val="VerbatimChar"/>
        </w:rPr>
        <w:t xml:space="preserve">  -&gt; retrospective</w:t>
      </w:r>
      <w:r>
        <w:br/>
      </w:r>
      <w:r>
        <w:rPr>
          <w:rStyle w:val="VerbatimChar"/>
        </w:rPr>
        <w:t xml:space="preserve">  -&gt; version + 1</w:t>
      </w:r>
    </w:p>
    <w:p>
      <w:pPr>
        <w:pStyle w:val="FirstParagraph"/>
      </w:pPr>
      <w:r>
        <w:t xml:space="preserve">Każdy przebieg dostarcza dowodu. Następna wersja zmienia jedną hipotezę lub</w:t>
      </w:r>
      <w:r>
        <w:t xml:space="preserve"> </w:t>
      </w:r>
      <w:r>
        <w:t xml:space="preserve">regułę, dzięki czemu można przypisać zmianę wyniku do konkretnego diffu.</w:t>
      </w:r>
    </w:p>
    <w:bookmarkEnd w:id="76"/>
    <w:bookmarkStart w:id="77" w:name="process-pack"/>
    <w:p>
      <w:pPr>
        <w:pStyle w:val="Heading2"/>
      </w:pPr>
      <w:r>
        <w:t xml:space="preserve">10.4 Process Pack</w:t>
      </w:r>
    </w:p>
    <w:p>
      <w:pPr>
        <w:pStyle w:val="SourceCode"/>
      </w:pPr>
      <w:r>
        <w:rPr>
          <w:rStyle w:val="VerbatimChar"/>
        </w:rPr>
        <w:t xml:space="preserve">digital-twin-router/</w:t>
      </w:r>
      <w:r>
        <w:br/>
      </w:r>
      <w:r>
        <w:rPr>
          <w:rStyle w:val="VerbatimChar"/>
        </w:rPr>
        <w:t xml:space="preserve">├── intent.yaml</w:t>
      </w:r>
      <w:r>
        <w:br/>
      </w:r>
      <w:r>
        <w:rPr>
          <w:rStyle w:val="VerbatimChar"/>
        </w:rPr>
        <w:t xml:space="preserve">├── authority.contract.aql</w:t>
      </w:r>
      <w:r>
        <w:br/>
      </w:r>
      <w:r>
        <w:rPr>
          <w:rStyle w:val="VerbatimChar"/>
        </w:rPr>
        <w:t xml:space="preserve">├── routing.strategy.yaml</w:t>
      </w:r>
      <w:r>
        <w:br/>
      </w:r>
      <w:r>
        <w:rPr>
          <w:rStyle w:val="VerbatimChar"/>
        </w:rPr>
        <w:t xml:space="preserve">├── portrait.doql.json</w:t>
      </w:r>
      <w:r>
        <w:br/>
      </w:r>
      <w:r>
        <w:rPr>
          <w:rStyle w:val="VerbatimChar"/>
        </w:rPr>
        <w:t xml:space="preserve">├── execution-chain.oql</w:t>
      </w:r>
      <w:r>
        <w:br/>
      </w:r>
      <w:r>
        <w:rPr>
          <w:rStyle w:val="VerbatimChar"/>
        </w:rPr>
        <w:t xml:space="preserve">├── handoff.eql</w:t>
      </w:r>
      <w:r>
        <w:br/>
      </w:r>
      <w:r>
        <w:rPr>
          <w:rStyle w:val="VerbatimChar"/>
        </w:rPr>
        <w:t xml:space="preserve">├── readiness.testql</w:t>
      </w:r>
      <w:r>
        <w:br/>
      </w:r>
      <w:r>
        <w:rPr>
          <w:rStyle w:val="VerbatimChar"/>
        </w:rPr>
        <w:t xml:space="preserve">├── events.sodl.jsonl</w:t>
      </w:r>
      <w:r>
        <w:br/>
      </w:r>
      <w:r>
        <w:rPr>
          <w:rStyle w:val="VerbatimChar"/>
        </w:rPr>
        <w:t xml:space="preserve">└── retrospective.md</w:t>
      </w:r>
    </w:p>
    <w:p>
      <w:pPr>
        <w:pStyle w:val="FirstParagraph"/>
      </w:pPr>
      <w:r>
        <w:t xml:space="preserve">Pakiet z książki jest demonstracją edukacyjną opartą na rozwiązaniu opisanym w</w:t>
      </w:r>
      <w:r>
        <w:t xml:space="preserve"> </w:t>
      </w:r>
      <w:r>
        <w:t xml:space="preserve">Subactorze. Kanoniczna składnia produkcyjna pozostaje w repozytorium projektu,</w:t>
      </w:r>
      <w:r>
        <w:t xml:space="preserve"> </w:t>
      </w:r>
      <w:r>
        <w:t xml:space="preserve">a przykład może ewoluować niezależnie wraz z kolejnymi wydaniami książki.</w:t>
      </w:r>
    </w:p>
    <w:bookmarkEnd w:id="77"/>
    <w:bookmarkStart w:id="78" w:name="reguła-ewolucji"/>
    <w:p>
      <w:pPr>
        <w:pStyle w:val="Heading2"/>
      </w:pPr>
      <w:r>
        <w:t xml:space="preserve">10.5 Reguła ewolucji</w:t>
      </w:r>
    </w:p>
    <w:p>
      <w:pPr>
        <w:pStyle w:val="FirstParagraph"/>
      </w:pPr>
      <w:r>
        <w:t xml:space="preserve">Nie zwiększamy autonomii dlatego, że nowa wersja brzmi przekonująco. Zwiększamy</w:t>
      </w:r>
      <w:r>
        <w:t xml:space="preserve"> </w:t>
      </w:r>
      <w:r>
        <w:t xml:space="preserve">ją, gdy walidowalny kontrakt, testy, receipts i wyniki powtarzalnych prób</w:t>
      </w:r>
      <w:r>
        <w:t xml:space="preserve"> </w:t>
      </w:r>
      <w:r>
        <w:t xml:space="preserve">potwierdzają bezpieczny postęp.</w:t>
      </w:r>
    </w:p>
    <w:bookmarkEnd w:id="78"/>
    <w:bookmarkStart w:id="79" w:name="granica-między-przykładem-a-runtime"/>
    <w:p>
      <w:pPr>
        <w:pStyle w:val="Heading2"/>
      </w:pPr>
      <w:r>
        <w:t xml:space="preserve">10.6 Granica między przykładem a runtime</w:t>
      </w:r>
    </w:p>
    <w:p>
      <w:pPr>
        <w:pStyle w:val="FirstParagraph"/>
      </w:pPr>
      <w:r>
        <w:t xml:space="preserve">Process Pack dołączony do książki jest materiałem edukacyjnym. Składnia</w:t>
      </w:r>
      <w:r>
        <w:t xml:space="preserve"> </w:t>
      </w:r>
      <w:r>
        <w:t xml:space="preserve">inspirowana Subactorem nie staje się przez to produkcyjnym grantem. Przed</w:t>
      </w:r>
      <w:r>
        <w:t xml:space="preserve"> </w:t>
      </w:r>
      <w:r>
        <w:t xml:space="preserve">wykonaniem system musi:</w:t>
      </w:r>
    </w:p>
    <w:p>
      <w:pPr>
        <w:pStyle w:val="Compact"/>
        <w:numPr>
          <w:ilvl w:val="0"/>
          <w:numId w:val="1030"/>
        </w:numPr>
      </w:pPr>
      <w:r>
        <w:t xml:space="preserve">zwalidować dokument względem konkretnej wersji schematu,</w:t>
      </w:r>
    </w:p>
    <w:p>
      <w:pPr>
        <w:pStyle w:val="Compact"/>
        <w:numPr>
          <w:ilvl w:val="0"/>
          <w:numId w:val="1030"/>
        </w:numPr>
      </w:pPr>
      <w:r>
        <w:t xml:space="preserve">rozwiązać principal i authority z rzeczywistego kontraktu,</w:t>
      </w:r>
    </w:p>
    <w:p>
      <w:pPr>
        <w:pStyle w:val="Compact"/>
        <w:numPr>
          <w:ilvl w:val="0"/>
          <w:numId w:val="1030"/>
        </w:numPr>
      </w:pPr>
      <w:r>
        <w:t xml:space="preserve">związać plan, payload i approval jednym hashem,</w:t>
      </w:r>
    </w:p>
    <w:p>
      <w:pPr>
        <w:pStyle w:val="Compact"/>
        <w:numPr>
          <w:ilvl w:val="0"/>
          <w:numId w:val="1030"/>
        </w:numPr>
      </w:pPr>
      <w:r>
        <w:t xml:space="preserve">wybrać istniejący URI przez kontrolowany binding,</w:t>
      </w:r>
    </w:p>
    <w:p>
      <w:pPr>
        <w:pStyle w:val="Compact"/>
        <w:numPr>
          <w:ilvl w:val="0"/>
          <w:numId w:val="1030"/>
        </w:numPr>
      </w:pPr>
      <w:r>
        <w:t xml:space="preserve">zapisać niezależny receipt rezultatu.</w:t>
      </w:r>
    </w:p>
    <w:p>
      <w:pPr>
        <w:pStyle w:val="FirstParagraph"/>
      </w:pPr>
      <w:r>
        <w:t xml:space="preserve">LLM może zaproponować treść kontraktu, ale nie powinien sam tworzyć authority,</w:t>
      </w:r>
      <w:r>
        <w:t xml:space="preserve"> </w:t>
      </w:r>
      <w:r>
        <w:t xml:space="preserve">sekretu, transportu ani nieznanego URI.</w:t>
      </w:r>
    </w:p>
    <w:bookmarkEnd w:id="79"/>
    <w:bookmarkEnd w:id="80"/>
    <w:bookmarkStart w:id="85" w:name="cotygodniowa-retrospektywa"/>
    <w:p>
      <w:pPr>
        <w:pStyle w:val="Heading1"/>
      </w:pPr>
      <w:r>
        <w:t xml:space="preserve">11. Cotygodniowa retrospektywa</w:t>
      </w:r>
    </w:p>
    <w:p>
      <w:pPr>
        <w:pStyle w:val="FirstParagraph"/>
      </w:pPr>
      <w:r>
        <w:t xml:space="preserve">Raz w tygodniu wybieramy jedną rzecz do zachowania, jedną do usunięcia, jedną do</w:t>
      </w:r>
      <w:r>
        <w:t xml:space="preserve"> </w:t>
      </w:r>
      <w:r>
        <w:t xml:space="preserve">automatyzacji i jeden eksperyment. Proces ma być prostszy po każdym cyklu.</w:t>
      </w:r>
    </w:p>
    <w:p>
      <w:pPr>
        <w:pStyle w:val="BodyText"/>
      </w:pPr>
      <w:r>
        <w:t xml:space="preserve">Retrospektywa nie jest spotkaniem do wymiany wrażeń. Jest domknięciem pętli:</w:t>
      </w:r>
      <w:r>
        <w:t xml:space="preserve"> </w:t>
      </w:r>
      <w:r>
        <w:t xml:space="preserve">porównuje intencję z wykonaniem, wskazuje dowód i tworzy małą zmianę następnej</w:t>
      </w:r>
      <w:r>
        <w:t xml:space="preserve"> </w:t>
      </w:r>
      <w:r>
        <w:t xml:space="preserve">wersji procesu.</w:t>
      </w:r>
    </w:p>
    <w:bookmarkStart w:id="81" w:name="dane-wejściowe"/>
    <w:p>
      <w:pPr>
        <w:pStyle w:val="Heading2"/>
      </w:pPr>
      <w:r>
        <w:t xml:space="preserve">11.1 Dane wejściowe</w:t>
      </w:r>
    </w:p>
    <w:p>
      <w:pPr>
        <w:pStyle w:val="FirstParagraph"/>
      </w:pPr>
      <w:r>
        <w:t xml:space="preserve">Przed rozpoczęciem zbierz:</w:t>
      </w:r>
    </w:p>
    <w:p>
      <w:pPr>
        <w:pStyle w:val="Compact"/>
        <w:numPr>
          <w:ilvl w:val="0"/>
          <w:numId w:val="1031"/>
        </w:numPr>
      </w:pPr>
      <w:r>
        <w:t xml:space="preserve">zaakceptowane i odrzucone zadania,</w:t>
      </w:r>
    </w:p>
    <w:p>
      <w:pPr>
        <w:pStyle w:val="Compact"/>
        <w:numPr>
          <w:ilvl w:val="0"/>
          <w:numId w:val="1031"/>
        </w:numPr>
      </w:pPr>
      <w:r>
        <w:t xml:space="preserve">czas aktywnej pracy człowieka,</w:t>
      </w:r>
    </w:p>
    <w:p>
      <w:pPr>
        <w:pStyle w:val="Compact"/>
        <w:numPr>
          <w:ilvl w:val="0"/>
          <w:numId w:val="1031"/>
        </w:numPr>
      </w:pPr>
      <w:r>
        <w:t xml:space="preserve">długość kolejki review,</w:t>
      </w:r>
    </w:p>
    <w:p>
      <w:pPr>
        <w:pStyle w:val="Compact"/>
        <w:numPr>
          <w:ilvl w:val="0"/>
          <w:numId w:val="1031"/>
        </w:numPr>
      </w:pPr>
      <w:r>
        <w:t xml:space="preserve">przekroczone budżety,</w:t>
      </w:r>
    </w:p>
    <w:p>
      <w:pPr>
        <w:pStyle w:val="Compact"/>
        <w:numPr>
          <w:ilvl w:val="0"/>
          <w:numId w:val="1031"/>
        </w:numPr>
      </w:pPr>
      <w:r>
        <w:t xml:space="preserve">rework i defekty po odbiorze,</w:t>
      </w:r>
    </w:p>
    <w:p>
      <w:pPr>
        <w:pStyle w:val="Compact"/>
        <w:numPr>
          <w:ilvl w:val="0"/>
          <w:numId w:val="1031"/>
        </w:numPr>
      </w:pPr>
      <w:r>
        <w:t xml:space="preserve">zdarzenia, przy których potrzebna była eskalacja.</w:t>
      </w:r>
    </w:p>
    <w:p>
      <w:pPr>
        <w:pStyle w:val="FirstParagraph"/>
      </w:pPr>
      <w:r>
        <w:t xml:space="preserve">Nie potrzebujesz kompletnej telemetrii. Potrzebujesz danych wystarczających do</w:t>
      </w:r>
      <w:r>
        <w:t xml:space="preserve"> </w:t>
      </w:r>
      <w:r>
        <w:t xml:space="preserve">odróżnienia zdarzenia jednorazowego od powtarzającego się wzorca.</w:t>
      </w:r>
    </w:p>
    <w:bookmarkEnd w:id="81"/>
    <w:bookmarkStart w:id="82" w:name="szablon"/>
    <w:p>
      <w:pPr>
        <w:pStyle w:val="Heading2"/>
      </w:pPr>
      <w:r>
        <w:t xml:space="preserve">11.2 Szablon</w:t>
      </w:r>
    </w:p>
    <w:p>
      <w:pPr>
        <w:pStyle w:val="SourceCode"/>
      </w:pPr>
      <w:r>
        <w:rPr>
          <w:rStyle w:val="FunctionTok"/>
        </w:rPr>
        <w:t xml:space="preserve">retrospective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2026-W31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hypothesis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"Niezależny review zmniejszy rework"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"rework_minutes -20%, bez wzrostu lead_time"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comparable_tasks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inconclusive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"review wykrył dwa brakujące testy"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"kolejka odbioru dwukrotnie przekroczyła limit"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decisions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"niezależny review dla zmian wysokiego ryzyka"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"podwójne odpowiedzi dla zmian mechanicznych"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"zapis czasu gotowości wyniku"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experiment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"odbiór wyników o 11:30 i 15:30"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"human:programmer"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"7d"</w:t>
      </w:r>
    </w:p>
    <w:bookmarkEnd w:id="82"/>
    <w:bookmarkStart w:id="83" w:name="cztery-pytania"/>
    <w:p>
      <w:pPr>
        <w:pStyle w:val="Heading2"/>
      </w:pPr>
      <w:r>
        <w:t xml:space="preserve">11.3 Cztery pytania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 zachować?</w:t>
      </w:r>
      <w:r>
        <w:t xml:space="preserve"> </w:t>
      </w:r>
      <w:r>
        <w:t xml:space="preserve">Wskaż praktykę i dowód, nie ogólne odczucie.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 usunąć?</w:t>
      </w:r>
      <w:r>
        <w:t xml:space="preserve"> </w:t>
      </w:r>
      <w:r>
        <w:t xml:space="preserve">Usuń krok, który nie zmienia decyzji ani jakości.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 zautomatyzować?</w:t>
      </w:r>
      <w:r>
        <w:t xml:space="preserve"> </w:t>
      </w:r>
      <w:r>
        <w:t xml:space="preserve">Wybierz powtarzalną czynność z jednoznacznym wynikiem.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 sprawdzić?</w:t>
      </w:r>
      <w:r>
        <w:t xml:space="preserve"> </w:t>
      </w:r>
      <w:r>
        <w:t xml:space="preserve">Zmień jedną hipotezę i określ warunek zatrzymania.</w:t>
      </w:r>
    </w:p>
    <w:p>
      <w:pPr>
        <w:pStyle w:val="FirstParagraph"/>
      </w:pPr>
      <w:r>
        <w:t xml:space="preserve">Jeżeli wynik jest niejednoznaczny, nie wymuszaj werdyktu. Zapisz brakujące dane</w:t>
      </w:r>
      <w:r>
        <w:t xml:space="preserve"> </w:t>
      </w:r>
      <w:r>
        <w:t xml:space="preserve">i zaprojektuj mniejszą próbę.</w:t>
      </w:r>
    </w:p>
    <w:bookmarkEnd w:id="83"/>
    <w:bookmarkStart w:id="84" w:name="pierwsze-trzydzieści-dni"/>
    <w:p>
      <w:pPr>
        <w:pStyle w:val="Heading2"/>
      </w:pPr>
      <w:r>
        <w:t xml:space="preserve">11.4 Pierwsze trzydzieści dni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Tydzień 1:</w:t>
      </w:r>
      <w:r>
        <w:t xml:space="preserve"> </w:t>
      </w:r>
      <w:r>
        <w:t xml:space="preserve">tylko pomiar stanu bazowego i Human WIP = 1.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Tydzień 2:</w:t>
      </w:r>
      <w:r>
        <w:t xml:space="preserve"> </w:t>
      </w:r>
      <w:r>
        <w:t xml:space="preserve">kolejka odbioru oraz stałe okna review.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Tydzień 3:</w:t>
      </w:r>
      <w:r>
        <w:t xml:space="preserve"> </w:t>
      </w:r>
      <w:r>
        <w:t xml:space="preserve">rozdzielenie ról dwóch modeli dla jednej klasy zadań.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Tydzień 4:</w:t>
      </w:r>
      <w:r>
        <w:t xml:space="preserve"> </w:t>
      </w:r>
      <w:r>
        <w:t xml:space="preserve">budżety, plan degradacji i pierwszy Process Pack.</w:t>
      </w:r>
    </w:p>
    <w:p>
      <w:pPr>
        <w:pStyle w:val="FirstParagraph"/>
      </w:pPr>
      <w:r>
        <w:t xml:space="preserve">Po miesiącu powinieneś mieć mniej zasad niż na początku, ale każda z nich</w:t>
      </w:r>
      <w:r>
        <w:t xml:space="preserve"> </w:t>
      </w:r>
      <w:r>
        <w:t xml:space="preserve">powinna być oparta na obserwacji. Celem nie jest maksymalna autonomia. Celem</w:t>
      </w:r>
      <w:r>
        <w:t xml:space="preserve"> </w:t>
      </w:r>
      <w:r>
        <w:t xml:space="preserve">jest system pracy, który potrafi wyjaśnić, dlaczego dany poziom autonomii jest</w:t>
      </w:r>
      <w:r>
        <w:t xml:space="preserve"> </w:t>
      </w:r>
      <w:r>
        <w:t xml:space="preserve">w tej chwili bezpieczny i opłacalny.</w:t>
      </w:r>
    </w:p>
    <w:bookmarkEnd w:id="84"/>
    <w:bookmarkEnd w:id="85"/>
    <w:bookmarkStart w:id="95" w:name="od-soa-do-poa-uri-process"/>
    <w:p>
      <w:pPr>
        <w:pStyle w:val="Heading1"/>
      </w:pPr>
      <w:r>
        <w:t xml:space="preserve">12. Od SOA do POA: URI Process</w:t>
      </w:r>
    </w:p>
    <w:p>
      <w:pPr>
        <w:pStyle w:val="FirstParagraph"/>
      </w:pPr>
      <w:r>
        <w:t xml:space="preserve">Architektura zorientowana na usługi odpowiada na pytanie,</w:t>
      </w:r>
      <w:r>
        <w:t xml:space="preserve"> </w:t>
      </w:r>
      <w:r>
        <w:rPr>
          <w:b/>
          <w:bCs/>
        </w:rPr>
        <w:t xml:space="preserve">jaka usługa</w:t>
      </w:r>
      <w:r>
        <w:rPr>
          <w:b/>
          <w:bCs/>
        </w:rPr>
        <w:t xml:space="preserve"> </w:t>
      </w:r>
      <w:r>
        <w:rPr>
          <w:b/>
          <w:bCs/>
        </w:rPr>
        <w:t xml:space="preserve">udostępnia zdolność</w:t>
      </w:r>
      <w:r>
        <w:t xml:space="preserve">. Architektura zorientowana na proces odpowiada na pytanie,</w:t>
      </w:r>
      <w:r>
        <w:t xml:space="preserve"> </w:t>
      </w:r>
      <w:r>
        <w:rPr>
          <w:b/>
          <w:bCs/>
        </w:rPr>
        <w:t xml:space="preserve">jaki kontrolowany przebieg doprowadzi do oczekiwanego efektu</w:t>
      </w:r>
      <w:r>
        <w:t xml:space="preserve">.</w:t>
      </w:r>
    </w:p>
    <w:p>
      <w:pPr>
        <w:pStyle w:val="BodyText"/>
      </w:pPr>
      <w:r>
        <w:t xml:space="preserve">W tej książce używamy skrótu</w:t>
      </w:r>
      <w:r>
        <w:t xml:space="preserve"> </w:t>
      </w:r>
      <w:r>
        <w:rPr>
          <w:b/>
          <w:bCs/>
        </w:rPr>
        <w:t xml:space="preserve">POA</w:t>
      </w:r>
      <w:r>
        <w:t xml:space="preserve"> </w:t>
      </w:r>
      <w:r>
        <w:t xml:space="preserve">jako opisu architektury zorientowanej na</w:t>
      </w:r>
      <w:r>
        <w:t xml:space="preserve"> </w:t>
      </w:r>
      <w:r>
        <w:t xml:space="preserve">proces. Nie jest to oficjalna nazwa standardu</w:t>
      </w:r>
      <w:r>
        <w:t xml:space="preserve"> </w:t>
      </w:r>
      <w:r>
        <w:rPr>
          <w:rStyle w:val="VerbatimChar"/>
        </w:rPr>
        <w:t xml:space="preserve">urirun</w:t>
      </w:r>
      <w:r>
        <w:t xml:space="preserve">, lecz model pomagający</w:t>
      </w:r>
      <w:r>
        <w:t xml:space="preserve"> </w:t>
      </w:r>
      <w:r>
        <w:t xml:space="preserve">zrozumieć jego kontrakty.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Wymiar</w:t>
            </w:r>
          </w:p>
        </w:tc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POA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jednostka</w:t>
            </w:r>
          </w:p>
        </w:tc>
        <w:tc>
          <w:tcPr/>
          <w:p>
            <w:pPr>
              <w:pStyle w:val="Compact"/>
            </w:pPr>
            <w:r>
              <w:t xml:space="preserve">usługa</w:t>
            </w:r>
          </w:p>
        </w:tc>
        <w:tc>
          <w:tcPr/>
          <w:p>
            <w:pPr>
              <w:pStyle w:val="Compact"/>
            </w:pPr>
            <w:r>
              <w:t xml:space="preserve">proces lub krok procesu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interfejs</w:t>
            </w:r>
          </w:p>
        </w:tc>
        <w:tc>
          <w:tcPr/>
          <w:p>
            <w:pPr>
              <w:pStyle w:val="Compact"/>
            </w:pPr>
            <w:r>
              <w:t xml:space="preserve">endpoint API</w:t>
            </w:r>
          </w:p>
        </w:tc>
        <w:tc>
          <w:tcPr/>
          <w:p>
            <w:pPr>
              <w:pStyle w:val="Compact"/>
            </w:pPr>
            <w:r>
              <w:t xml:space="preserve">typowany kontrakt wykonania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kompozycja</w:t>
            </w:r>
          </w:p>
        </w:tc>
        <w:tc>
          <w:tcPr/>
          <w:p>
            <w:pPr>
              <w:pStyle w:val="Compact"/>
            </w:pPr>
            <w:r>
              <w:t xml:space="preserve">wywołania usług</w:t>
            </w:r>
          </w:p>
        </w:tc>
        <w:tc>
          <w:tcPr/>
          <w:p>
            <w:pPr>
              <w:pStyle w:val="Compact"/>
            </w:pPr>
            <w:r>
              <w:t xml:space="preserve">plan, zależności i bramki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sukces</w:t>
            </w:r>
          </w:p>
        </w:tc>
        <w:tc>
          <w:tcPr/>
          <w:p>
            <w:pPr>
              <w:pStyle w:val="Compact"/>
            </w:pPr>
            <w:r>
              <w:t xml:space="preserve">odpowiedź usługi</w:t>
            </w:r>
          </w:p>
        </w:tc>
        <w:tc>
          <w:tcPr/>
          <w:p>
            <w:pPr>
              <w:pStyle w:val="Compact"/>
            </w:pPr>
            <w:r>
              <w:t xml:space="preserve">zweryfikowany 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lokalizacja</w:t>
            </w:r>
          </w:p>
        </w:tc>
        <w:tc>
          <w:tcPr/>
          <w:p>
            <w:pPr>
              <w:pStyle w:val="Compact"/>
            </w:pPr>
            <w:r>
              <w:t xml:space="preserve">związana z wdrożeniem</w:t>
            </w:r>
          </w:p>
        </w:tc>
        <w:tc>
          <w:tcPr/>
          <w:p>
            <w:pPr>
              <w:pStyle w:val="Compact"/>
            </w:pPr>
            <w:r>
              <w:t xml:space="preserve">ustalana przez routing</w:t>
            </w:r>
          </w:p>
        </w:tc>
      </w:tr>
    </w:tbl>
    <w:p>
      <w:pPr>
        <w:pStyle w:val="BodyText"/>
      </w:pPr>
      <w:r>
        <w:t xml:space="preserve">POA nie zastępuje SOA. Długo działająca usługa nadal posiada cykl życia,</w:t>
      </w:r>
      <w:r>
        <w:t xml:space="preserve"> </w:t>
      </w:r>
      <w:r>
        <w:t xml:space="preserve">port, stan i endpointy. Proces składa zdolności jednej lub wielu usług w</w:t>
      </w:r>
      <w:r>
        <w:t xml:space="preserve"> </w:t>
      </w:r>
      <w:r>
        <w:t xml:space="preserve">operację, którą można zaplanować, autoryzować, wykonać i zweryfikować.</w:t>
      </w:r>
    </w:p>
    <w:p>
      <w:pPr>
        <w:pStyle w:val="BodyText"/>
      </w:pPr>
      <w:r>
        <w:t xml:space="preserve">Badania nad wzorcami workflow pokazują, że kontrola przepływu, danych, zasobów</w:t>
      </w:r>
      <w:r>
        <w:t xml:space="preserve"> </w:t>
      </w:r>
      <w:r>
        <w:t xml:space="preserve">i wyjątków jest osobnym problemem względem implementacji pojedynczej usługi</w:t>
      </w:r>
      <w:r>
        <w:t xml:space="preserve"> </w:t>
      </w:r>
      <w:r>
        <w:t xml:space="preserve">(Aalst et al. 2003)</w:t>
      </w:r>
      <w:r>
        <w:t xml:space="preserve">.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Relacja usługi, procesu URI, routera i dowodu wykonania." title="" id="87" name="Picture"/>
            <a:graphic>
              <a:graphicData uri="http://schemas.openxmlformats.org/drawingml/2006/picture">
                <pic:pic>
                  <pic:nvPicPr>
                    <pic:cNvPr descr="chapters/../figures/soa-poa-uri-proces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Relacja usługi, procesu URI, routera i dowodu wykonania.</w:t>
      </w:r>
    </w:p>
    <w:bookmarkStart w:id="89" w:name="uri-jest-nazwą-nie-transportem"/>
    <w:p>
      <w:pPr>
        <w:pStyle w:val="Heading2"/>
      </w:pPr>
      <w:r>
        <w:t xml:space="preserve">12.1 URI jest nazwą, nie transportem</w:t>
      </w:r>
    </w:p>
    <w:p>
      <w:pPr>
        <w:pStyle w:val="FirstParagraph"/>
      </w:pPr>
      <w:r>
        <w:t xml:space="preserve">RFC 3986 rozdziela identyfikację od interakcji: URI identyfikuje zasób, lecz</w:t>
      </w:r>
      <w:r>
        <w:t xml:space="preserve"> </w:t>
      </w:r>
      <w:r>
        <w:t xml:space="preserve">nie gwarantuje konkretnego sposobu dostępu</w:t>
      </w:r>
      <w:r>
        <w:t xml:space="preserve"> </w:t>
      </w:r>
      <w:r>
        <w:t xml:space="preserve">(Berners-Lee et al. 2005)</w:t>
      </w:r>
      <w:r>
        <w:t xml:space="preserve">. To rozdzielenie jest</w:t>
      </w:r>
      <w:r>
        <w:t xml:space="preserve"> </w:t>
      </w:r>
      <w:r>
        <w:t xml:space="preserve">podstawą URI Process. Adres:</w:t>
      </w:r>
    </w:p>
    <w:p>
      <w:pPr>
        <w:pStyle w:val="SourceCode"/>
      </w:pPr>
      <w:r>
        <w:rPr>
          <w:rStyle w:val="VerbatimChar"/>
        </w:rPr>
        <w:t xml:space="preserve">plesk://host/site/command/sync</w:t>
      </w:r>
    </w:p>
    <w:p>
      <w:pPr>
        <w:pStyle w:val="FirstParagraph"/>
      </w:pPr>
      <w:r>
        <w:t xml:space="preserve">nie mówi, czy wykonanie użyje lokalnej funkcji, HTTP, SFTP, kolejki czy zdalnego</w:t>
      </w:r>
      <w:r>
        <w:t xml:space="preserve"> </w:t>
      </w:r>
      <w:r>
        <w:t xml:space="preserve">node’a. Mówi,</w:t>
      </w:r>
      <w:r>
        <w:t xml:space="preserve"> </w:t>
      </w:r>
      <w:r>
        <w:rPr>
          <w:b/>
          <w:bCs/>
        </w:rPr>
        <w:t xml:space="preserve">jaki logiczny proces ma zostać wykonany</w:t>
      </w:r>
      <w:r>
        <w:t xml:space="preserve">. Router wybiera</w:t>
      </w:r>
      <w:r>
        <w:t xml:space="preserve"> </w:t>
      </w:r>
      <w:r>
        <w:t xml:space="preserve">rzeczywisty runtime dopiero po sprawdzeniu registry, targetu i polityki.</w:t>
      </w:r>
    </w:p>
    <w:p>
      <w:pPr>
        <w:pStyle w:val="BodyText"/>
      </w:pPr>
      <w:r>
        <w:t xml:space="preserve">Podobną korzyść daje jednolity interfejs REST: implementacja może ewoluować</w:t>
      </w:r>
      <w:r>
        <w:t xml:space="preserve"> </w:t>
      </w:r>
      <w:r>
        <w:t xml:space="preserve">niezależnie od udostępnianej zdolności</w:t>
      </w:r>
      <w:r>
        <w:t xml:space="preserve"> </w:t>
      </w:r>
      <w:r>
        <w:t xml:space="preserve">(Fielding 2000)</w:t>
      </w:r>
      <w:r>
        <w:t xml:space="preserve">. URI Process</w:t>
      </w:r>
      <w:r>
        <w:t xml:space="preserve"> </w:t>
      </w:r>
      <w:r>
        <w:t xml:space="preserve">przenosi tę zasadę z reprezentacji zasobów na wykonywalne operacje.</w:t>
      </w:r>
    </w:p>
    <w:bookmarkEnd w:id="89"/>
    <w:bookmarkStart w:id="90" w:name="kontrakt-procesu"/>
    <w:p>
      <w:pPr>
        <w:pStyle w:val="Heading2"/>
      </w:pPr>
      <w:r>
        <w:t xml:space="preserve">12.2 Kontrakt procesu</w:t>
      </w:r>
    </w:p>
    <w:p>
      <w:pPr>
        <w:pStyle w:val="FirstParagraph"/>
      </w:pPr>
      <w:r>
        <w:t xml:space="preserve">Minimalny proces zawiera: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"Opublikuj wydanie"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"plesk://host/site/command/sync"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"verify"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"human_approval"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Kontrakt oddziela:</w:t>
      </w:r>
    </w:p>
    <w:p>
      <w:pPr>
        <w:pStyle w:val="Compact"/>
        <w:numPr>
          <w:ilvl w:val="0"/>
          <w:numId w:val="1034"/>
        </w:numPr>
      </w:pPr>
      <w:r>
        <w:t xml:space="preserve">tożsamość kroku,</w:t>
      </w:r>
    </w:p>
    <w:p>
      <w:pPr>
        <w:pStyle w:val="Compact"/>
        <w:numPr>
          <w:ilvl w:val="0"/>
          <w:numId w:val="1034"/>
        </w:numPr>
      </w:pPr>
      <w:r>
        <w:t xml:space="preserve">aktora,</w:t>
      </w:r>
    </w:p>
    <w:p>
      <w:pPr>
        <w:pStyle w:val="Compact"/>
        <w:numPr>
          <w:ilvl w:val="0"/>
          <w:numId w:val="1034"/>
        </w:numPr>
      </w:pPr>
      <w:r>
        <w:t xml:space="preserve">logiczny adres procesu,</w:t>
      </w:r>
    </w:p>
    <w:p>
      <w:pPr>
        <w:pStyle w:val="Compact"/>
        <w:numPr>
          <w:ilvl w:val="0"/>
          <w:numId w:val="1034"/>
        </w:numPr>
      </w:pPr>
      <w:r>
        <w:t xml:space="preserve">dane wejściowe,</w:t>
      </w:r>
    </w:p>
    <w:p>
      <w:pPr>
        <w:pStyle w:val="Compact"/>
        <w:numPr>
          <w:ilvl w:val="0"/>
          <w:numId w:val="1034"/>
        </w:numPr>
      </w:pPr>
      <w:r>
        <w:t xml:space="preserve">zależności,</w:t>
      </w:r>
    </w:p>
    <w:p>
      <w:pPr>
        <w:pStyle w:val="Compact"/>
        <w:numPr>
          <w:ilvl w:val="0"/>
          <w:numId w:val="1034"/>
        </w:numPr>
      </w:pPr>
      <w:r>
        <w:t xml:space="preserve">approval,</w:t>
      </w:r>
    </w:p>
    <w:p>
      <w:pPr>
        <w:pStyle w:val="Compact"/>
        <w:numPr>
          <w:ilvl w:val="0"/>
          <w:numId w:val="1034"/>
        </w:numPr>
      </w:pPr>
      <w:r>
        <w:t xml:space="preserve">zachowanie czasu i ponowień.</w:t>
      </w:r>
    </w:p>
    <w:p>
      <w:pPr>
        <w:pStyle w:val="FirstParagraph"/>
      </w:pPr>
      <w:r>
        <w:t xml:space="preserve">Lista takich obiektów tworzy mały DAG. Zależności są walidowane przed</w:t>
      </w:r>
      <w:r>
        <w:t xml:space="preserve"> </w:t>
      </w:r>
      <w:r>
        <w:t xml:space="preserve">wykonaniem, a cykl jest błędem kontraktu, nie problemem odkrywanym dopiero</w:t>
      </w:r>
      <w:r>
        <w:t xml:space="preserve"> </w:t>
      </w:r>
      <w:r>
        <w:t xml:space="preserve">podczas dispatchu.</w:t>
      </w:r>
    </w:p>
    <w:bookmarkEnd w:id="90"/>
    <w:bookmarkStart w:id="91" w:name="od-bindings-do-dowodu"/>
    <w:p>
      <w:pPr>
        <w:pStyle w:val="Heading2"/>
      </w:pPr>
      <w:r>
        <w:t xml:space="preserve">12.3 Od bindings do dowodu</w:t>
      </w:r>
    </w:p>
    <w:p>
      <w:pPr>
        <w:pStyle w:val="SourceCode"/>
      </w:pPr>
      <w:r>
        <w:rPr>
          <w:rStyle w:val="VerbatimChar"/>
        </w:rPr>
        <w:t xml:space="preserve">deklaracja connectora</w:t>
      </w:r>
      <w:r>
        <w:br/>
      </w:r>
      <w:r>
        <w:rPr>
          <w:rStyle w:val="VerbatimChar"/>
        </w:rPr>
        <w:t xml:space="preserve">  -&gt; bindings + schema</w:t>
      </w:r>
      <w:r>
        <w:br/>
      </w:r>
      <w:r>
        <w:rPr>
          <w:rStyle w:val="VerbatimChar"/>
        </w:rPr>
        <w:t xml:space="preserve">  -&gt; skompilowane registry</w:t>
      </w:r>
      <w:r>
        <w:br/>
      </w:r>
      <w:r>
        <w:rPr>
          <w:rStyle w:val="VerbatimChar"/>
        </w:rPr>
        <w:t xml:space="preserve">  -&gt; routing diagnosis</w:t>
      </w:r>
      <w:r>
        <w:br/>
      </w:r>
      <w:r>
        <w:rPr>
          <w:rStyle w:val="VerbatimChar"/>
        </w:rPr>
        <w:t xml:space="preserve">  -&gt; policy / grant</w:t>
      </w:r>
      <w:r>
        <w:br/>
      </w:r>
      <w:r>
        <w:rPr>
          <w:rStyle w:val="VerbatimChar"/>
        </w:rPr>
        <w:t xml:space="preserve">  -&gt; dispatch przez adapter</w:t>
      </w:r>
      <w:r>
        <w:br/>
      </w:r>
      <w:r>
        <w:rPr>
          <w:rStyle w:val="VerbatimChar"/>
        </w:rPr>
        <w:t xml:space="preserve">  -&gt; walidacja outputu</w:t>
      </w:r>
      <w:r>
        <w:br/>
      </w:r>
      <w:r>
        <w:rPr>
          <w:rStyle w:val="VerbatimChar"/>
        </w:rPr>
        <w:t xml:space="preserve">  -&gt; EQL read-back</w:t>
      </w:r>
      <w:r>
        <w:br/>
      </w:r>
      <w:r>
        <w:rPr>
          <w:rStyle w:val="VerbatimChar"/>
        </w:rPr>
        <w:t xml:space="preserve">  -&gt; journal + artifact</w:t>
      </w:r>
    </w:p>
    <w:p>
      <w:pPr>
        <w:pStyle w:val="FirstParagraph"/>
      </w:pPr>
      <w:r>
        <w:rPr>
          <w:rStyle w:val="VerbatimChar"/>
        </w:rPr>
        <w:t xml:space="preserve">query</w:t>
      </w:r>
      <w:r>
        <w:t xml:space="preserve"> </w:t>
      </w:r>
      <w:r>
        <w:t xml:space="preserve">oznacza operację tylko do odczytu.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oznacza możliwy efekt</w:t>
      </w:r>
      <w:r>
        <w:t xml:space="preserve"> </w:t>
      </w:r>
      <w:r>
        <w:t xml:space="preserve">uboczny i wymaga polityki wykonania. Sama obecność słowa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w URI nie</w:t>
      </w:r>
      <w:r>
        <w:t xml:space="preserve"> </w:t>
      </w:r>
      <w:r>
        <w:t xml:space="preserve">jest jednak wystarczającym zabezpieczeniem. Docelowo efekt powinien być również</w:t>
      </w:r>
      <w:r>
        <w:t xml:space="preserve"> </w:t>
      </w:r>
      <w:r>
        <w:t xml:space="preserve">typowanym polem kontraktu, aby bramka nie opierała decyzji wyłącznie na parsowaniu</w:t>
      </w:r>
      <w:r>
        <w:t xml:space="preserve"> </w:t>
      </w:r>
      <w:r>
        <w:t xml:space="preserve">tekstu adresu.</w:t>
      </w:r>
    </w:p>
    <w:bookmarkEnd w:id="91"/>
    <w:bookmarkStart w:id="92" w:name="przykład-publikacji"/>
    <w:p>
      <w:pPr>
        <w:pStyle w:val="Heading2"/>
      </w:pPr>
      <w:r>
        <w:t xml:space="preserve">12.4 Przykład publikacji</w:t>
      </w:r>
    </w:p>
    <w:p>
      <w:pPr>
        <w:pStyle w:val="FirstParagraph"/>
      </w:pPr>
      <w:r>
        <w:t xml:space="preserve">Publikacja strony może korzystać z wielu usług, lecz pozostaje jednym procesem</w:t>
      </w:r>
      <w:r>
        <w:t xml:space="preserve"> </w:t>
      </w:r>
      <w:r>
        <w:t xml:space="preserve">biznesowym:</w:t>
      </w:r>
    </w:p>
    <w:p>
      <w:pPr>
        <w:pStyle w:val="SourceCode"/>
      </w:pPr>
      <w:r>
        <w:rPr>
          <w:rStyle w:val="VerbatimChar"/>
        </w:rPr>
        <w:t xml:space="preserve">repo://host/release/query/inventory</w:t>
      </w:r>
      <w:r>
        <w:br/>
      </w:r>
      <w:r>
        <w:rPr>
          <w:rStyle w:val="VerbatimChar"/>
        </w:rPr>
        <w:t xml:space="preserve">  -&gt; book://host/release/command/build</w:t>
      </w:r>
      <w:r>
        <w:br/>
      </w:r>
      <w:r>
        <w:rPr>
          <w:rStyle w:val="VerbatimChar"/>
        </w:rPr>
        <w:t xml:space="preserve">  -&gt; test://host/release/query/verify</w:t>
      </w:r>
      <w:r>
        <w:br/>
      </w:r>
      <w:r>
        <w:rPr>
          <w:rStyle w:val="VerbatimChar"/>
        </w:rPr>
        <w:t xml:space="preserve">  -&gt; plesk://host/site/command/release-upload</w:t>
      </w:r>
      <w:r>
        <w:br/>
      </w:r>
      <w:r>
        <w:rPr>
          <w:rStyle w:val="VerbatimChar"/>
        </w:rPr>
        <w:t xml:space="preserve">  -&gt; plesk://host/site/command/release-verify</w:t>
      </w:r>
      <w:r>
        <w:br/>
      </w:r>
      <w:r>
        <w:rPr>
          <w:rStyle w:val="VerbatimChar"/>
        </w:rPr>
        <w:t xml:space="preserve">  -&gt; plesk://host/site/command/release-activate</w:t>
      </w:r>
      <w:r>
        <w:br/>
      </w:r>
      <w:r>
        <w:rPr>
          <w:rStyle w:val="VerbatimChar"/>
        </w:rPr>
        <w:t xml:space="preserve">  -&gt; https://public/site/query/fingerprint</w:t>
      </w:r>
    </w:p>
    <w:p>
      <w:pPr>
        <w:pStyle w:val="FirstParagraph"/>
      </w:pPr>
      <w:r>
        <w:t xml:space="preserve">Odpowiedź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z uploadu oznacza jedynie poprawny dispatch. Dopiero</w:t>
      </w:r>
      <w:r>
        <w:t xml:space="preserve"> </w:t>
      </w:r>
      <w:r>
        <w:t xml:space="preserve">read-back publicznego fingerprintu jest dowodem opublikowanego efektu.</w:t>
      </w:r>
    </w:p>
    <w:p>
      <w:pPr>
        <w:pStyle w:val="BodyText"/>
      </w:pPr>
      <w:r>
        <w:t xml:space="preserve">Kompletny przykład znajduje się w dołączonym pakiecie</w:t>
      </w:r>
      <w:r>
        <w:t xml:space="preserve"> </w:t>
      </w:r>
      <w:r>
        <w:rPr>
          <w:rStyle w:val="VerbatimChar"/>
        </w:rPr>
        <w:t xml:space="preserve">dsl/examples/uri-process-publication/</w:t>
      </w:r>
      <w:r>
        <w:t xml:space="preserve">.</w:t>
      </w:r>
    </w:p>
    <w:bookmarkEnd w:id="92"/>
    <w:bookmarkStart w:id="93" w:name="granice-bezpieczeństwa"/>
    <w:p>
      <w:pPr>
        <w:pStyle w:val="Heading2"/>
      </w:pPr>
      <w:r>
        <w:t xml:space="preserve">12.5 Granice bezpieczeństwa</w:t>
      </w:r>
    </w:p>
    <w:p>
      <w:pPr>
        <w:pStyle w:val="FirstParagraph"/>
      </w:pPr>
      <w:r>
        <w:t xml:space="preserve">URI Process nie nadaje authority. Rozwiązywalna trasa mówi, że coś</w:t>
      </w:r>
      <w:r>
        <w:t xml:space="preserve"> </w:t>
      </w:r>
      <w:r>
        <w:rPr>
          <w:b/>
          <w:bCs/>
        </w:rPr>
        <w:t xml:space="preserve">może</w:t>
      </w:r>
      <w:r>
        <w:t xml:space="preserve"> </w:t>
      </w:r>
      <w:r>
        <w:t xml:space="preserve">zostać wykonane technicznie, a nie że dany aktor</w:t>
      </w:r>
      <w:r>
        <w:t xml:space="preserve"> </w:t>
      </w:r>
      <w:r>
        <w:rPr>
          <w:b/>
          <w:bCs/>
        </w:rPr>
        <w:t xml:space="preserve">ma prawo</w:t>
      </w:r>
      <w:r>
        <w:t xml:space="preserve"> </w:t>
      </w:r>
      <w:r>
        <w:t xml:space="preserve">to wykonać.</w:t>
      </w:r>
    </w:p>
    <w:p>
      <w:pPr>
        <w:pStyle w:val="BodyText"/>
      </w:pPr>
      <w:r>
        <w:t xml:space="preserve">Dlatego proces wymaga osobnych warstw:</w:t>
      </w:r>
    </w:p>
    <w:p>
      <w:pPr>
        <w:pStyle w:val="Compact"/>
        <w:numPr>
          <w:ilvl w:val="0"/>
          <w:numId w:val="1035"/>
        </w:numPr>
      </w:pPr>
      <w:r>
        <w:t xml:space="preserve">AQL ogranicza aktora i klasy efektów.</w:t>
      </w:r>
    </w:p>
    <w:p>
      <w:pPr>
        <w:pStyle w:val="Compact"/>
        <w:numPr>
          <w:ilvl w:val="0"/>
          <w:numId w:val="1035"/>
        </w:numPr>
      </w:pPr>
      <w:r>
        <w:t xml:space="preserve">Router potwierdza target oraz capability.</w:t>
      </w:r>
    </w:p>
    <w:p>
      <w:pPr>
        <w:pStyle w:val="Compact"/>
        <w:numPr>
          <w:ilvl w:val="0"/>
          <w:numId w:val="1035"/>
        </w:numPr>
      </w:pPr>
      <w:r>
        <w:t xml:space="preserve">Grant wiąże zgodę z hashem planu i payloadu.</w:t>
      </w:r>
    </w:p>
    <w:p>
      <w:pPr>
        <w:pStyle w:val="Compact"/>
        <w:numPr>
          <w:ilvl w:val="0"/>
          <w:numId w:val="1035"/>
        </w:numPr>
      </w:pPr>
      <w:r>
        <w:t xml:space="preserve">EQL sprawdza stan po wykonaniu.</w:t>
      </w:r>
    </w:p>
    <w:p>
      <w:pPr>
        <w:pStyle w:val="Compact"/>
        <w:numPr>
          <w:ilvl w:val="0"/>
          <w:numId w:val="1035"/>
        </w:numPr>
      </w:pPr>
      <w:r>
        <w:t xml:space="preserve">Journal odróżnia dispatch od efektu.</w:t>
      </w:r>
    </w:p>
    <w:p>
      <w:pPr>
        <w:pStyle w:val="FirstParagraph"/>
      </w:pPr>
      <w:r>
        <w:t xml:space="preserve">LLM może wybrać proces wyłącznie z registry. Nie powinien wymyślać URI,</w:t>
      </w:r>
      <w:r>
        <w:t xml:space="preserve"> </w:t>
      </w:r>
      <w:r>
        <w:t xml:space="preserve">transportu, surowej komendy ani uprawnienia.</w:t>
      </w:r>
    </w:p>
    <w:bookmarkEnd w:id="93"/>
    <w:bookmarkStart w:id="94" w:name="eksperyment-7"/>
    <w:p>
      <w:pPr>
        <w:pStyle w:val="Heading2"/>
      </w:pPr>
      <w:r>
        <w:t xml:space="preserve">12.6 Eksperyment</w:t>
      </w:r>
    </w:p>
    <w:p>
      <w:pPr>
        <w:pStyle w:val="FirstParagraph"/>
      </w:pPr>
      <w:r>
        <w:t xml:space="preserve">Wybierz proces, który obecnie jest pojedynczym skryptem lub runbookiem.</w:t>
      </w:r>
    </w:p>
    <w:p>
      <w:pPr>
        <w:pStyle w:val="Compact"/>
        <w:numPr>
          <w:ilvl w:val="0"/>
          <w:numId w:val="1036"/>
        </w:numPr>
      </w:pPr>
      <w:r>
        <w:t xml:space="preserve">Rozbij go na kroki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Nadaj każdemu stabilny URI.</w:t>
      </w:r>
    </w:p>
    <w:p>
      <w:pPr>
        <w:pStyle w:val="Compact"/>
        <w:numPr>
          <w:ilvl w:val="0"/>
          <w:numId w:val="1036"/>
        </w:numPr>
      </w:pPr>
      <w:r>
        <w:t xml:space="preserve">Zapisz zależności oraz wymagane approval.</w:t>
      </w:r>
    </w:p>
    <w:p>
      <w:pPr>
        <w:pStyle w:val="Compact"/>
        <w:numPr>
          <w:ilvl w:val="0"/>
          <w:numId w:val="1036"/>
        </w:numPr>
      </w:pPr>
      <w:r>
        <w:t xml:space="preserve">Dodaj read-back efektu.</w:t>
      </w:r>
    </w:p>
    <w:p>
      <w:pPr>
        <w:pStyle w:val="Compact"/>
        <w:numPr>
          <w:ilvl w:val="0"/>
          <w:numId w:val="1036"/>
        </w:numPr>
      </w:pPr>
      <w:r>
        <w:t xml:space="preserve">Uruchom najpierw w trybie dry-run.</w:t>
      </w:r>
    </w:p>
    <w:p>
      <w:pPr>
        <w:pStyle w:val="Compact"/>
        <w:numPr>
          <w:ilvl w:val="0"/>
          <w:numId w:val="1036"/>
        </w:numPr>
      </w:pPr>
      <w:r>
        <w:t xml:space="preserve">Porównaj liczbę niejawnych założeń przed i po formalizacji.</w:t>
      </w:r>
    </w:p>
    <w:p>
      <w:pPr>
        <w:pStyle w:val="FirstParagraph"/>
      </w:pPr>
      <w:r>
        <w:t xml:space="preserve">Sukcesem nie jest większa liczba URI. Sukcesem jest proces, którego granice,</w:t>
      </w:r>
      <w:r>
        <w:t xml:space="preserve"> </w:t>
      </w:r>
      <w:r>
        <w:t xml:space="preserve">miejsce wykonania i efekt można wyjaśnić na podstawie kontraktu i receiptu.</w:t>
      </w:r>
    </w:p>
    <w:bookmarkEnd w:id="94"/>
    <w:bookmarkEnd w:id="95"/>
    <w:bookmarkStart w:id="103" w:name="X8db8c9ce8af88eff03bd3d39f4073a0e6d23708"/>
    <w:p>
      <w:pPr>
        <w:pStyle w:val="Heading1"/>
      </w:pPr>
      <w:r>
        <w:t xml:space="preserve">13. Książka jako wykonywalny system publikacji</w:t>
      </w:r>
    </w:p>
    <w:p>
      <w:pPr>
        <w:pStyle w:val="FirstParagraph"/>
      </w:pPr>
      <w:r>
        <w:t xml:space="preserve">Książka jako kod nie kończy się na przechowywaniu rozdziałów w Git. Źródło</w:t>
      </w:r>
      <w:r>
        <w:t xml:space="preserve"> </w:t>
      </w:r>
      <w:r>
        <w:t xml:space="preserve">powinno deterministycznie zasilać wszystkie kanały:</w:t>
      </w:r>
    </w:p>
    <w:p>
      <w:pPr>
        <w:pStyle w:val="SourceCode"/>
      </w:pPr>
      <w:r>
        <w:rPr>
          <w:rStyle w:val="VerbatimChar"/>
        </w:rPr>
        <w:t xml:space="preserve">QMD + BibTeX + DSL + SVG</w:t>
      </w:r>
      <w:r>
        <w:br/>
      </w:r>
      <w:r>
        <w:rPr>
          <w:rStyle w:val="VerbatimChar"/>
        </w:rPr>
        <w:t xml:space="preserve">  -&gt; walidacja</w:t>
      </w:r>
      <w:r>
        <w:br/>
      </w:r>
      <w:r>
        <w:rPr>
          <w:rStyle w:val="VerbatimChar"/>
        </w:rPr>
        <w:t xml:space="preserve">  -&gt; HTML + PDF + EPUB + DOCX</w:t>
      </w:r>
      <w:r>
        <w:br/>
      </w:r>
      <w:r>
        <w:rPr>
          <w:rStyle w:val="VerbatimChar"/>
        </w:rPr>
        <w:t xml:space="preserve">  -&gt; tekst narratora</w:t>
      </w:r>
      <w:r>
        <w:br/>
      </w:r>
      <w:r>
        <w:rPr>
          <w:rStyle w:val="VerbatimChar"/>
        </w:rPr>
        <w:t xml:space="preserve">  -&gt; TTS + MP3</w:t>
      </w:r>
      <w:r>
        <w:br/>
      </w:r>
      <w:r>
        <w:rPr>
          <w:rStyle w:val="VerbatimChar"/>
        </w:rPr>
        <w:t xml:space="preserve">  -&gt; manifest wydania</w:t>
      </w:r>
      <w:r>
        <w:br/>
      </w:r>
      <w:r>
        <w:rPr>
          <w:rStyle w:val="VerbatimChar"/>
        </w:rPr>
        <w:t xml:space="preserve">  -&gt; GitHub Pages + landing page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Pipeline publikacji wieloformatowej." title="" id="97" name="Picture"/>
            <a:graphic>
              <a:graphicData uri="http://schemas.openxmlformats.org/drawingml/2006/picture">
                <pic:pic>
                  <pic:nvPicPr>
                    <pic:cNvPr descr="chapters/../figures/publication-pipelin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publikacji wieloformatowej.</w:t>
      </w:r>
    </w:p>
    <w:bookmarkStart w:id="99" w:name="jedno-źródło-różne-projekcje"/>
    <w:p>
      <w:pPr>
        <w:pStyle w:val="Heading2"/>
      </w:pPr>
      <w:r>
        <w:t xml:space="preserve">13.1 Jedno źródło, różne projekcje</w:t>
      </w:r>
    </w:p>
    <w:p>
      <w:pPr>
        <w:pStyle w:val="FirstParagraph"/>
      </w:pPr>
      <w:r>
        <w:t xml:space="preserve">HTML służy do wyszukiwania i linkowania. EPUB daje płynny skład na czytniku.</w:t>
      </w:r>
      <w:r>
        <w:t xml:space="preserve"> </w:t>
      </w:r>
      <w:r>
        <w:t xml:space="preserve">PDF utrwala skład. DOCX jest formatem wymiany redakcyjnej. Audio jest odrębną</w:t>
      </w:r>
      <w:r>
        <w:t xml:space="preserve"> </w:t>
      </w:r>
      <w:r>
        <w:t xml:space="preserve">projekcją narracyjną, która usuwa tabele, kod i elementy czysto wizualne.</w:t>
      </w:r>
    </w:p>
    <w:p>
      <w:pPr>
        <w:pStyle w:val="BodyText"/>
      </w:pPr>
      <w:r>
        <w:t xml:space="preserve">Generator nie powinien kopiować wiedzy ręcznie. Powinien:</w:t>
      </w:r>
    </w:p>
    <w:p>
      <w:pPr>
        <w:pStyle w:val="Compact"/>
        <w:numPr>
          <w:ilvl w:val="0"/>
          <w:numId w:val="1037"/>
        </w:numPr>
      </w:pPr>
      <w:r>
        <w:t xml:space="preserve">renderować wszystkie formaty z tej samej rewizji,</w:t>
      </w:r>
    </w:p>
    <w:p>
      <w:pPr>
        <w:pStyle w:val="Compact"/>
        <w:numPr>
          <w:ilvl w:val="0"/>
          <w:numId w:val="1037"/>
        </w:numPr>
      </w:pPr>
      <w:r>
        <w:t xml:space="preserve">pakować przykłady DSL,</w:t>
      </w:r>
    </w:p>
    <w:p>
      <w:pPr>
        <w:pStyle w:val="Compact"/>
        <w:numPr>
          <w:ilvl w:val="0"/>
          <w:numId w:val="1037"/>
        </w:numPr>
      </w:pPr>
      <w:r>
        <w:t xml:space="preserve">tworzyć manifest z rozmiarami i sumami SHA-256,</w:t>
      </w:r>
    </w:p>
    <w:p>
      <w:pPr>
        <w:pStyle w:val="Compact"/>
        <w:numPr>
          <w:ilvl w:val="0"/>
          <w:numId w:val="1037"/>
        </w:numPr>
      </w:pPr>
      <w:r>
        <w:t xml:space="preserve">podpisywać pochodzenie numerem wersji i commitem,</w:t>
      </w:r>
    </w:p>
    <w:p>
      <w:pPr>
        <w:pStyle w:val="Compact"/>
        <w:numPr>
          <w:ilvl w:val="0"/>
          <w:numId w:val="1037"/>
        </w:numPr>
      </w:pPr>
      <w:r>
        <w:t xml:space="preserve">publikować tylko po przejściu walidacji.</w:t>
      </w:r>
    </w:p>
    <w:bookmarkEnd w:id="99"/>
    <w:bookmarkStart w:id="100" w:name="audio-jako-artefakt"/>
    <w:p>
      <w:pPr>
        <w:pStyle w:val="Heading2"/>
      </w:pPr>
      <w:r>
        <w:t xml:space="preserve">13.2 Audio jako artefakt</w:t>
      </w:r>
    </w:p>
    <w:p>
      <w:pPr>
        <w:pStyle w:val="FirstParagraph"/>
      </w:pPr>
      <w:r>
        <w:t xml:space="preserve">Synteza mowy jest operacją zewnętrzną i kosztową. Tekst dzielimy w granicach</w:t>
      </w:r>
      <w:r>
        <w:t xml:space="preserve"> </w:t>
      </w:r>
      <w:r>
        <w:t xml:space="preserve">akapitów, a wynik każdego segmentu zapisujemy osobno. Manifest zachowuje nazwę</w:t>
      </w:r>
      <w:r>
        <w:t xml:space="preserve"> </w:t>
      </w:r>
      <w:r>
        <w:t xml:space="preserve">providera, głosu, modelu, liczbę znaków i informację o głosie syntetycznym.</w:t>
      </w:r>
    </w:p>
    <w:p>
      <w:pPr>
        <w:pStyle w:val="BodyText"/>
      </w:pPr>
      <w:r>
        <w:t xml:space="preserve">Provider nie jest częścią treści. Ten sam tekst może zostać przetworzony przez</w:t>
      </w:r>
      <w:r>
        <w:t xml:space="preserve"> </w:t>
      </w:r>
      <w:r>
        <w:t xml:space="preserve">Google Cloud Text-to-Speech, OpenAI, ElevenLabs albo lokalny</w:t>
      </w:r>
      <w:r>
        <w:t xml:space="preserve"> </w:t>
      </w:r>
      <w:r>
        <w:rPr>
          <w:rStyle w:val="VerbatimChar"/>
        </w:rPr>
        <w:t xml:space="preserve">espeak-ng</w:t>
      </w:r>
      <w:r>
        <w:t xml:space="preserve">.</w:t>
      </w:r>
      <w:r>
        <w:t xml:space="preserve"> </w:t>
      </w:r>
      <w:r>
        <w:t xml:space="preserve">Wydanie testowe wykorzystuje lokalny provider, aby CI nie wymagało sekretów.</w:t>
      </w:r>
      <w:r>
        <w:t xml:space="preserve"> </w:t>
      </w:r>
      <w:r>
        <w:t xml:space="preserve">Wydanie produkcyjne może użyć Google lub innego API po dostarczeniu credentials.</w:t>
      </w:r>
    </w:p>
    <w:bookmarkEnd w:id="100"/>
    <w:bookmarkStart w:id="101" w:name="reprodukowalność"/>
    <w:p>
      <w:pPr>
        <w:pStyle w:val="Heading2"/>
      </w:pPr>
      <w:r>
        <w:t xml:space="preserve">13.3 Reprodukowalność</w:t>
      </w:r>
    </w:p>
    <w:p>
      <w:pPr>
        <w:pStyle w:val="FirstParagraph"/>
      </w:pPr>
      <w:r>
        <w:t xml:space="preserve">Manifest wydania powinien umożliwić odpowiedź na cztery pytania:</w:t>
      </w:r>
    </w:p>
    <w:p>
      <w:pPr>
        <w:pStyle w:val="Compact"/>
        <w:numPr>
          <w:ilvl w:val="0"/>
          <w:numId w:val="1038"/>
        </w:numPr>
      </w:pPr>
      <w:r>
        <w:t xml:space="preserve">Z jakiego commita powstał plik?</w:t>
      </w:r>
    </w:p>
    <w:p>
      <w:pPr>
        <w:pStyle w:val="Compact"/>
        <w:numPr>
          <w:ilvl w:val="0"/>
          <w:numId w:val="1038"/>
        </w:numPr>
      </w:pPr>
      <w:r>
        <w:t xml:space="preserve">Jaki generator i provider go utworzył?</w:t>
      </w:r>
    </w:p>
    <w:p>
      <w:pPr>
        <w:pStyle w:val="Compact"/>
        <w:numPr>
          <w:ilvl w:val="0"/>
          <w:numId w:val="1038"/>
        </w:numPr>
      </w:pPr>
      <w:r>
        <w:t xml:space="preserve">Czy plik zmienił się od czasu publikacji?</w:t>
      </w:r>
    </w:p>
    <w:p>
      <w:pPr>
        <w:pStyle w:val="Compact"/>
        <w:numPr>
          <w:ilvl w:val="0"/>
          <w:numId w:val="1038"/>
        </w:numPr>
      </w:pPr>
      <w:r>
        <w:t xml:space="preserve">Czy wszystkie linki landing page prowadzą do tej samej wersji?</w:t>
      </w:r>
    </w:p>
    <w:p>
      <w:pPr>
        <w:pStyle w:val="FirstParagraph"/>
      </w:pPr>
      <w:r>
        <w:t xml:space="preserve">Dlatego suma kontrolna jest częścią produktu, a nie wyłącznie szczegółem CI.</w:t>
      </w:r>
    </w:p>
    <w:bookmarkEnd w:id="101"/>
    <w:bookmarkStart w:id="102" w:name="test-wydania"/>
    <w:p>
      <w:pPr>
        <w:pStyle w:val="Heading2"/>
      </w:pPr>
      <w:r>
        <w:t xml:space="preserve">13.4 Test wydania</w:t>
      </w:r>
    </w:p>
    <w:p>
      <w:pPr>
        <w:pStyle w:val="FirstParagraph"/>
      </w:pPr>
      <w:r>
        <w:t xml:space="preserve">Przed publikacją:</w:t>
      </w:r>
    </w:p>
    <w:p>
      <w:pPr>
        <w:pStyle w:val="SourceCode"/>
      </w:pPr>
      <w:r>
        <w:rPr>
          <w:rStyle w:val="VerbatimChar"/>
        </w:rPr>
        <w:t xml:space="preserve">validate sources</w:t>
      </w:r>
      <w:r>
        <w:br/>
      </w:r>
      <w:r>
        <w:rPr>
          <w:rStyle w:val="VerbatimChar"/>
        </w:rPr>
        <w:t xml:space="preserve">  -&gt; render book</w:t>
      </w:r>
      <w:r>
        <w:br/>
      </w:r>
      <w:r>
        <w:rPr>
          <w:rStyle w:val="VerbatimChar"/>
        </w:rPr>
        <w:t xml:space="preserve">  -&gt; validate links and formats</w:t>
      </w:r>
      <w:r>
        <w:br/>
      </w:r>
      <w:r>
        <w:rPr>
          <w:rStyle w:val="VerbatimChar"/>
        </w:rPr>
        <w:t xml:space="preserve">  -&gt; probe audio with ffprobe</w:t>
      </w:r>
      <w:r>
        <w:br/>
      </w:r>
      <w:r>
        <w:rPr>
          <w:rStyle w:val="VerbatimChar"/>
        </w:rPr>
        <w:t xml:space="preserve">  -&gt; build application</w:t>
      </w:r>
      <w:r>
        <w:br/>
      </w:r>
      <w:r>
        <w:rPr>
          <w:rStyle w:val="VerbatimChar"/>
        </w:rPr>
        <w:t xml:space="preserve">  -&gt; smoke test landing page</w:t>
      </w:r>
      <w:r>
        <w:br/>
      </w:r>
      <w:r>
        <w:rPr>
          <w:rStyle w:val="VerbatimChar"/>
        </w:rPr>
        <w:t xml:space="preserve">  -&gt; commit and push</w:t>
      </w:r>
      <w:r>
        <w:br/>
      </w:r>
      <w:r>
        <w:rPr>
          <w:rStyle w:val="VerbatimChar"/>
        </w:rPr>
        <w:t xml:space="preserve">  -&gt; deploy saved Sites version</w:t>
      </w:r>
    </w:p>
    <w:p>
      <w:pPr>
        <w:pStyle w:val="FirstParagraph"/>
      </w:pPr>
      <w:r>
        <w:t xml:space="preserve">Proces publikacji jest przykładem POA opisanym w poprzednim rozdziale: łączy</w:t>
      </w:r>
      <w:r>
        <w:t xml:space="preserve"> </w:t>
      </w:r>
      <w:r>
        <w:t xml:space="preserve">usługi, lecz jego jednostką sukcesu jest dostępne i zweryfikowane wydanie.</w:t>
      </w:r>
    </w:p>
    <w:bookmarkEnd w:id="102"/>
    <w:bookmarkEnd w:id="103"/>
    <w:bookmarkStart w:id="119" w:name="forma-współpracy-authority-i-dowód-pracy"/>
    <w:p>
      <w:pPr>
        <w:pStyle w:val="Heading1"/>
      </w:pPr>
      <w:r>
        <w:t xml:space="preserve">14. Forma współpracy, authority i dowód pracy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tmp/retrospektywa-quarto/quarto-1.9.38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Zakres rozdziału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materiał edukacyjny, nie porada prawna ani wzór umowy. Ocena zależy od</w:t>
            </w:r>
            <w:r>
              <w:t xml:space="preserve"> </w:t>
            </w:r>
            <w:r>
              <w:t xml:space="preserve">treści kontraktu i faktycznego sposobu współpracy. Stan źródeł sprawdzono</w:t>
            </w:r>
            <w:r>
              <w:t xml:space="preserve"> </w:t>
            </w:r>
            <w:r>
              <w:t xml:space="preserve">24 lipca 2026 r.; przed zastosowaniem należy ponownie sprawdzić akty prawne</w:t>
            </w:r>
            <w:r>
              <w:t xml:space="preserve"> </w:t>
            </w:r>
            <w:r>
              <w:t xml:space="preserve">i skonsultować konkretny przypadek.</w:t>
            </w:r>
          </w:p>
          <w:p/>
        </w:tc>
      </w:tr>
    </w:tbl>
    <w:p>
      <w:pPr>
        <w:pStyle w:val="BodyText"/>
      </w:pPr>
      <w:r>
        <w:t xml:space="preserve">Najważniejsza korekta brzmi:</w:t>
      </w:r>
      <w:r>
        <w:t xml:space="preserve"> </w:t>
      </w:r>
      <w:r>
        <w:rPr>
          <w:b/>
          <w:bCs/>
        </w:rPr>
        <w:t xml:space="preserve">umowa zlecenia nie jest umową rezultatu</w:t>
      </w:r>
      <w:r>
        <w:t xml:space="preserve">.</w:t>
      </w:r>
      <w:r>
        <w:t xml:space="preserve"> </w:t>
      </w:r>
      <w:r>
        <w:t xml:space="preserve">Zarówno stosunek pracy, jak i zlecenie opierają się zasadniczo na starannym</w:t>
      </w:r>
      <w:r>
        <w:t xml:space="preserve"> </w:t>
      </w:r>
      <w:r>
        <w:t xml:space="preserve">działaniu. Oznaczony rezultat jest centralny przede wszystkim dla umowy</w:t>
      </w:r>
      <w:r>
        <w:t xml:space="preserve"> </w:t>
      </w:r>
      <w:r>
        <w:t xml:space="preserve">o dzieło.</w:t>
      </w:r>
    </w:p>
    <w:p>
      <w:pPr>
        <w:pStyle w:val="BodyText"/>
      </w:pPr>
      <w:r>
        <w:t xml:space="preserve">Nie oznacza to, że zleceniodawca nie może ustalać sposobu współpracy. Artykuł</w:t>
      </w:r>
      <w:r>
        <w:t xml:space="preserve"> </w:t>
      </w:r>
      <w:r>
        <w:t xml:space="preserve">737 Kodeksu cywilnego zakłada możliwość wskazania sposobu wykonania zlecenia,</w:t>
      </w:r>
      <w:r>
        <w:t xml:space="preserve"> </w:t>
      </w:r>
      <w:r>
        <w:t xml:space="preserve">a art. 740 wymaga udzielania potrzebnych informacji o przebiegu sprawy i</w:t>
      </w:r>
      <w:r>
        <w:t xml:space="preserve"> </w:t>
      </w:r>
      <w:r>
        <w:t xml:space="preserve">złożenia sprawozdania</w:t>
      </w:r>
      <w:r>
        <w:t xml:space="preserve"> </w:t>
      </w:r>
      <w:r>
        <w:t xml:space="preserve">(Kancelaria Sejmu 2026)</w:t>
      </w:r>
      <w:r>
        <w:t xml:space="preserve">.</w:t>
      </w:r>
    </w:p>
    <w:bookmarkStart w:id="107" w:name="główne-formy-współpracy"/>
    <w:p>
      <w:pPr>
        <w:pStyle w:val="Heading2"/>
      </w:pPr>
      <w:r>
        <w:t xml:space="preserve">14.1 Główne formy współpracy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Co faktycznie „kupuje” organizacja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Wpływ na sposób pracy</w:t>
            </w:r>
          </w:p>
        </w:tc>
        <w:tc>
          <w:tcPr/>
          <w:p>
            <w:pPr>
              <w:pStyle w:val="Compact"/>
            </w:pPr>
            <w:r>
              <w:t xml:space="preserve">Co można kontraktować lub organizować</w:t>
            </w:r>
          </w:p>
        </w:tc>
        <w:tc>
          <w:tcPr/>
          <w:p>
            <w:pPr>
              <w:pStyle w:val="Compact"/>
            </w:pPr>
            <w:r>
              <w:t xml:space="preserve">Główna walidacja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Umowa o pracę</w:t>
            </w:r>
          </w:p>
        </w:tc>
        <w:tc>
          <w:tcPr/>
          <w:p>
            <w:pPr>
              <w:pStyle w:val="Compact"/>
            </w:pPr>
            <w:r>
              <w:t xml:space="preserve">pracę określonego rodzaju, wykonywaną osobiście pod kierownictwem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duży</w:t>
            </w:r>
          </w:p>
        </w:tc>
        <w:tc>
          <w:tcPr/>
          <w:p>
            <w:pPr>
              <w:pStyle w:val="Compact"/>
            </w:pPr>
            <w:r>
              <w:t xml:space="preserve">środowisko, procedury, kolejność, raportowanie, checkpointy, zgodne z prawem polecenia</w:t>
            </w:r>
          </w:p>
        </w:tc>
        <w:tc>
          <w:tcPr/>
          <w:p>
            <w:pPr>
              <w:pStyle w:val="Compact"/>
            </w:pPr>
            <w:r>
              <w:t xml:space="preserve">staranność, proces, jakość i realizacja zadań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Zlecenie / usługi</w:t>
            </w:r>
          </w:p>
        </w:tc>
        <w:tc>
          <w:tcPr/>
          <w:p>
            <w:pPr>
              <w:pStyle w:val="Compact"/>
            </w:pPr>
            <w:r>
              <w:t xml:space="preserve">staranne wykonywanie umówionych czynności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średni</w:t>
            </w:r>
          </w:p>
        </w:tc>
        <w:tc>
          <w:tcPr/>
          <w:p>
            <w:pPr>
              <w:pStyle w:val="Compact"/>
            </w:pPr>
            <w:r>
              <w:t xml:space="preserve">zakres, instrukcje, standardy, informacje o przebiegu, dokumentację i bezpieczną infrastrukturę</w:t>
            </w:r>
          </w:p>
        </w:tc>
        <w:tc>
          <w:tcPr/>
          <w:p>
            <w:pPr>
              <w:pStyle w:val="Compact"/>
            </w:pPr>
            <w:r>
              <w:t xml:space="preserve">należyte wykonywanie czynności zgodnie z umową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Umowa o dzieło</w:t>
            </w:r>
          </w:p>
        </w:tc>
        <w:tc>
          <w:tcPr/>
          <w:p>
            <w:pPr>
              <w:pStyle w:val="Compact"/>
            </w:pPr>
            <w:r>
              <w:t xml:space="preserve">oznaczony, indywidualny i sprawdzalny rezultat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mały operacyjnie, duży przy odbiorze</w:t>
            </w:r>
          </w:p>
        </w:tc>
        <w:tc>
          <w:tcPr/>
          <w:p>
            <w:pPr>
              <w:pStyle w:val="Compact"/>
            </w:pPr>
            <w:r>
              <w:t xml:space="preserve">specyfikację, format, termin, ograniczenia, testy odbiorowe i kamienie milowe</w:t>
            </w:r>
          </w:p>
        </w:tc>
        <w:tc>
          <w:tcPr/>
          <w:p>
            <w:pPr>
              <w:pStyle w:val="Compact"/>
            </w:pPr>
            <w:r>
              <w:t xml:space="preserve">zgodność dzieła ze specyfikacją i kryteriami odbioru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usługę albo rezultat, zależnie od kontraktu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kontraktowy</w:t>
            </w:r>
          </w:p>
        </w:tc>
        <w:tc>
          <w:tcPr/>
          <w:p>
            <w:pPr>
              <w:pStyle w:val="Compact"/>
            </w:pPr>
            <w:r>
              <w:t xml:space="preserve">SLA, standardy bezpieczeństwa, interfejs współpracy, artefakty, logi i kryteria odbioru</w:t>
            </w:r>
          </w:p>
        </w:tc>
        <w:tc>
          <w:tcPr/>
          <w:p>
            <w:pPr>
              <w:pStyle w:val="Compact"/>
            </w:pPr>
            <w:r>
              <w:t xml:space="preserve">SLA, należyte wykonanie lub rezultat — według umowy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Praca tymczasowa</w:t>
            </w:r>
          </w:p>
        </w:tc>
        <w:tc>
          <w:tcPr/>
          <w:p>
            <w:pPr>
              <w:pStyle w:val="Compact"/>
            </w:pPr>
            <w:r>
              <w:t xml:space="preserve">pracę osoby zatrudnionej przez agencję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duży, ale podzielony</w:t>
            </w:r>
          </w:p>
        </w:tc>
        <w:tc>
          <w:tcPr/>
          <w:p>
            <w:pPr>
              <w:pStyle w:val="Compact"/>
            </w:pPr>
            <w:r>
              <w:t xml:space="preserve">pracodawca użytkownik wyznacza zadania, organizuje pracę i kontroluje wykonanie</w:t>
            </w:r>
          </w:p>
        </w:tc>
        <w:tc>
          <w:tcPr/>
          <w:p>
            <w:pPr>
              <w:pStyle w:val="Compact"/>
            </w:pPr>
            <w:r>
              <w:t xml:space="preserve">jak przy pracy, z ustawowym podziałem obowiązków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Kontrakt menedżerski</w:t>
            </w:r>
          </w:p>
        </w:tc>
        <w:tc>
          <w:tcPr/>
          <w:p>
            <w:pPr>
              <w:pStyle w:val="Compact"/>
            </w:pPr>
            <w:r>
              <w:t xml:space="preserve">zarządzanie organizacją albo jej częścią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zależny od podstawy prawnej</w:t>
            </w:r>
          </w:p>
        </w:tc>
        <w:tc>
          <w:tcPr/>
          <w:p>
            <w:pPr>
              <w:pStyle w:val="Compact"/>
            </w:pPr>
            <w:r>
              <w:t xml:space="preserve">mandat, cele, budżety, uprawnienia, KPI i raportowanie</w:t>
            </w:r>
          </w:p>
        </w:tc>
        <w:tc>
          <w:tcPr/>
          <w:p>
            <w:pPr>
              <w:pStyle w:val="Compact"/>
            </w:pPr>
            <w:r>
              <w:t xml:space="preserve">należyta staranność, zgodność z mandatem i umówione wyniki</w:t>
            </w:r>
          </w:p>
        </w:tc>
      </w:tr>
    </w:tbl>
    <w:p>
      <w:pPr>
        <w:pStyle w:val="BodyText"/>
      </w:pPr>
      <w:r>
        <w:t xml:space="preserve">B2B nie jest jednym nazwanym typem umowy. Opisuje relację przedsiębiorców,</w:t>
      </w:r>
      <w:r>
        <w:t xml:space="preserve"> </w:t>
      </w:r>
      <w:r>
        <w:t xml:space="preserve">pod którą może znajdować się świadczenie usług, dzieło, umowa agencyjna albo</w:t>
      </w:r>
      <w:r>
        <w:t xml:space="preserve"> </w:t>
      </w:r>
      <w:r>
        <w:t xml:space="preserve">kontrakt mieszany. Podobnie „kontrakt menedżerski” jest nazwą praktyczną; jego</w:t>
      </w:r>
      <w:r>
        <w:t xml:space="preserve"> </w:t>
      </w:r>
      <w:r>
        <w:t xml:space="preserve">charakter trzeba ustalić z konkretnej treści i sposobu wykonania. PIP podkreśla,</w:t>
      </w:r>
      <w:r>
        <w:t xml:space="preserve"> </w:t>
      </w:r>
      <w:r>
        <w:t xml:space="preserve">że B2B jest relacją niezależnych przedsiębiorców, a o kwalifikacji zatrudnienia</w:t>
      </w:r>
      <w:r>
        <w:t xml:space="preserve"> </w:t>
      </w:r>
      <w:r>
        <w:t xml:space="preserve">nie rozstrzyga sama etykieta dokumentu</w:t>
      </w:r>
      <w:r>
        <w:t xml:space="preserve"> </w:t>
      </w:r>
      <w:r>
        <w:t xml:space="preserve">(Państwowa Inspekcja Pracy, b.d.-b)</w:t>
      </w:r>
      <w:r>
        <w:t xml:space="preserve">.</w:t>
      </w:r>
    </w:p>
    <w:bookmarkEnd w:id="107"/>
    <w:bookmarkStart w:id="108" w:name="lifecycle-relacji"/>
    <w:p>
      <w:pPr>
        <w:pStyle w:val="Heading2"/>
      </w:pPr>
      <w:r>
        <w:t xml:space="preserve">14.2 Lifecycle relacji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Typowy cykl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UoP</w:t>
            </w:r>
          </w:p>
        </w:tc>
        <w:tc>
          <w:tcPr/>
          <w:p>
            <w:pPr>
              <w:pStyle w:val="Compact"/>
            </w:pPr>
            <w:r>
              <w:t xml:space="preserve">rola i obowiązki → onboarding → przydzielanie pracy → wykonywanie poleceń → feedback i ocena → kolejne zadania albo zakończenie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Zlecenie</w:t>
            </w:r>
          </w:p>
        </w:tc>
        <w:tc>
          <w:tcPr/>
          <w:p>
            <w:pPr>
              <w:pStyle w:val="Compact"/>
            </w:pPr>
            <w:r>
              <w:t xml:space="preserve">zakres czynności → instrukcje i warunki → staranne działanie → informacje o przebiegu → sprawozdanie i rozliczenie → kontynuacja albo wypowiedzenie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Dzieło</w:t>
            </w:r>
          </w:p>
        </w:tc>
        <w:tc>
          <w:tcPr/>
          <w:p>
            <w:pPr>
              <w:pStyle w:val="Compact"/>
            </w:pPr>
            <w:r>
              <w:t xml:space="preserve">specyfikacja → kryteria odbioru → samodzielne wykonanie → dostarczenie → testy → odbiór lub poprawki → zapłata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umowa ramowa → zamówienie/SOW → SLA i ograniczenia → wykonanie → dowody i milestone’y → odbiór/faktura → odnowienie albo zakończenie</w:t>
            </w:r>
          </w:p>
        </w:tc>
      </w:tr>
    </w:tbl>
    <w:p>
      <w:pPr>
        <w:pStyle w:val="BodyText"/>
      </w:pPr>
      <w:r>
        <w:t xml:space="preserve">Artykuł 627 Kodeksu cywilnego definiuje dzieło przez zobowiązanie do wykonania</w:t>
      </w:r>
      <w:r>
        <w:t xml:space="preserve"> </w:t>
      </w:r>
      <w:r>
        <w:t xml:space="preserve">oznaczonego dzieła. Zamawiający nie musi jednak ignorować wykonania: jeżeli</w:t>
      </w:r>
      <w:r>
        <w:t xml:space="preserve"> </w:t>
      </w:r>
      <w:r>
        <w:t xml:space="preserve">praca przebiega wadliwie albo sprzecznie z umową, art. 636 pozwala wezwać do</w:t>
      </w:r>
      <w:r>
        <w:t xml:space="preserve"> </w:t>
      </w:r>
      <w:r>
        <w:t xml:space="preserve">zmiany sposobu wykonania i wyznaczyć odpowiedni termin</w:t>
      </w:r>
      <w:r>
        <w:t xml:space="preserve"> </w:t>
      </w:r>
      <w:r>
        <w:t xml:space="preserve">(Kancelaria Sejmu 2026)</w:t>
      </w:r>
      <w:r>
        <w:t xml:space="preserve">.</w:t>
      </w:r>
      <w:r>
        <w:t xml:space="preserve"> </w:t>
      </w:r>
      <w:r>
        <w:t xml:space="preserve">Nie jest to automatycznie prawo do codziennego kierowania wykonawcą tak jak</w:t>
      </w:r>
      <w:r>
        <w:t xml:space="preserve"> </w:t>
      </w:r>
      <w:r>
        <w:t xml:space="preserve">pracownikiem.</w:t>
      </w:r>
    </w:p>
    <w:bookmarkEnd w:id="108"/>
    <w:bookmarkStart w:id="109" w:name="ile-może-organizować-pracodawca"/>
    <w:p>
      <w:pPr>
        <w:pStyle w:val="Heading2"/>
      </w:pPr>
      <w:r>
        <w:t xml:space="preserve">14.3 Ile może organizować pracodawca</w:t>
      </w:r>
    </w:p>
    <w:p>
      <w:pPr>
        <w:pStyle w:val="FirstParagraph"/>
      </w:pPr>
      <w:r>
        <w:t xml:space="preserve">Artykuł 22 Kodeksu pracy wiąże stosunek pracy z wykonywaniem pracy pod</w:t>
      </w:r>
      <w:r>
        <w:t xml:space="preserve"> </w:t>
      </w:r>
      <w:r>
        <w:t xml:space="preserve">kierownictwem pracodawcy oraz w wyznaczonym miejscu i czasie. Artykuł 100</w:t>
      </w:r>
      <w:r>
        <w:t xml:space="preserve"> </w:t>
      </w:r>
      <w:r>
        <w:t xml:space="preserve">wymaga pracy sumiennej i starannej oraz stosowania się do zgodnych z prawem i</w:t>
      </w:r>
      <w:r>
        <w:t xml:space="preserve"> </w:t>
      </w:r>
      <w:r>
        <w:t xml:space="preserve">umową poleceń dotyczących pracy</w:t>
      </w:r>
      <w:r>
        <w:t xml:space="preserve"> </w:t>
      </w:r>
      <w:r>
        <w:t xml:space="preserve">(Kancelaria Sejmu, b.d.)</w:t>
      </w:r>
      <w:r>
        <w:t xml:space="preserve">.</w:t>
      </w:r>
    </w:p>
    <w:p>
      <w:pPr>
        <w:pStyle w:val="BodyText"/>
      </w:pPr>
      <w:r>
        <w:t xml:space="preserve">Organizacja może zatem wymagać między innymi: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Obszar</w:t>
            </w:r>
          </w:p>
        </w:tc>
        <w:tc>
          <w:tcPr/>
          <w:p>
            <w:pPr>
              <w:pStyle w:val="Compact"/>
            </w:pPr>
            <w:r>
              <w:t xml:space="preserve">Przykładowa reguła procesu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środowisko</w:t>
            </w:r>
          </w:p>
        </w:tc>
        <w:tc>
          <w:tcPr/>
          <w:p>
            <w:pPr>
              <w:pStyle w:val="Compact"/>
            </w:pPr>
            <w:r>
              <w:t xml:space="preserve">zadania wykonujemy w firmowym repozytorium i na zarządzanym urządzeniu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</w:t>
            </w:r>
          </w:p>
        </w:tc>
        <w:tc>
          <w:tcPr/>
          <w:p>
            <w:pPr>
              <w:pStyle w:val="Compact"/>
            </w:pPr>
            <w:r>
              <w:t xml:space="preserve">każde zadanie przechodzi plan, wykonanie, test i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dowody</w:t>
            </w:r>
          </w:p>
        </w:tc>
        <w:tc>
          <w:tcPr/>
          <w:p>
            <w:pPr>
              <w:pStyle w:val="Compact"/>
            </w:pPr>
            <w:r>
              <w:t xml:space="preserve">zmiana stanu ticketu wymaga wyniku testu albo artefaktu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komunikacja</w:t>
            </w:r>
          </w:p>
        </w:tc>
        <w:tc>
          <w:tcPr/>
          <w:p>
            <w:pPr>
              <w:pStyle w:val="Compact"/>
            </w:pPr>
            <w:r>
              <w:t xml:space="preserve">blokada przekraczająca ustalony czas uruchamia eskalację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jakość</w:t>
            </w:r>
          </w:p>
        </w:tc>
        <w:tc>
          <w:tcPr/>
          <w:p>
            <w:pPr>
              <w:pStyle w:val="Compact"/>
            </w:pPr>
            <w:r>
              <w:t xml:space="preserve">zadanie nie jest ukończone bez testów i Definition of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kontrola</w:t>
            </w:r>
          </w:p>
        </w:tc>
        <w:tc>
          <w:tcPr/>
          <w:p>
            <w:pPr>
              <w:pStyle w:val="Compact"/>
            </w:pPr>
            <w:r>
              <w:t xml:space="preserve">działanie wysokiego ryzyka wymaga akceptacji drugiej osoby</w:t>
            </w:r>
          </w:p>
        </w:tc>
      </w:tr>
    </w:tbl>
    <w:p>
      <w:pPr>
        <w:pStyle w:val="BodyText"/>
      </w:pPr>
      <w:r>
        <w:t xml:space="preserve">Przy pracy tymczasowej pracodawca użytkownik wyznacza zadania i kontroluje ich</w:t>
      </w:r>
      <w:r>
        <w:t xml:space="preserve"> </w:t>
      </w:r>
      <w:r>
        <w:t xml:space="preserve">wykonanie, a agencja pozostaje pracodawcą. Ustawa rozdziela więc obowiązki</w:t>
      </w:r>
      <w:r>
        <w:t xml:space="preserve"> </w:t>
      </w:r>
      <w:r>
        <w:t xml:space="preserve">organizacyjne i formalne między dwa podmioty</w:t>
      </w:r>
      <w:r>
        <w:t xml:space="preserve"> </w:t>
      </w:r>
      <w:r>
        <w:t xml:space="preserve">(Kancelaria Sejmu 2023)</w:t>
      </w:r>
      <w:r>
        <w:t xml:space="preserve">.</w:t>
      </w:r>
    </w:p>
    <w:bookmarkEnd w:id="109"/>
    <w:bookmarkStart w:id="110" w:name="proces-zamiast-totalnego-monitoringu"/>
    <w:p>
      <w:pPr>
        <w:pStyle w:val="Heading2"/>
      </w:pPr>
      <w:r>
        <w:t xml:space="preserve">14.4 Proces zamiast totalnego monitoringu</w:t>
      </w:r>
    </w:p>
    <w:p>
      <w:pPr>
        <w:pStyle w:val="FirstParagraph"/>
      </w:pPr>
      <w:r>
        <w:t xml:space="preserve">Prawo organizowania pracy nie oznacza nieograniczonego śledzenia człowieka.</w:t>
      </w:r>
      <w:r>
        <w:t xml:space="preserve"> </w:t>
      </w:r>
      <w:r>
        <w:t xml:space="preserve">Najbezpieczniejszy projekt systemu zapisuje</w:t>
      </w:r>
      <w:r>
        <w:t xml:space="preserve"> </w:t>
      </w:r>
      <w:r>
        <w:rPr>
          <w:b/>
          <w:bCs/>
        </w:rPr>
        <w:t xml:space="preserve">zdarzenia procesu i dowody</w:t>
      </w:r>
      <w:r>
        <w:rPr>
          <w:b/>
          <w:bCs/>
        </w:rPr>
        <w:t xml:space="preserve"> </w:t>
      </w:r>
      <w:r>
        <w:rPr>
          <w:b/>
          <w:bCs/>
        </w:rPr>
        <w:t xml:space="preserve">wykonania</w:t>
      </w:r>
      <w:r>
        <w:t xml:space="preserve">, a nie każdy klik, treść prywatnej komunikacji czy ciągły obraz</w:t>
      </w:r>
      <w:r>
        <w:t xml:space="preserve"> </w:t>
      </w:r>
      <w:r>
        <w:t xml:space="preserve">ekranu.</w:t>
      </w:r>
    </w:p>
    <w:p>
      <w:pPr>
        <w:pStyle w:val="BodyText"/>
      </w:pPr>
      <w:r>
        <w:t xml:space="preserve">UODO wskazuje, że monitoring musi realizować określony prawem cel, przejść test</w:t>
      </w:r>
      <w:r>
        <w:t xml:space="preserve"> </w:t>
      </w:r>
      <w:r>
        <w:t xml:space="preserve">niezbędności i proporcjonalności oraz ustąpić mniej inwazyjnemu środkowi, jeśli</w:t>
      </w:r>
      <w:r>
        <w:t xml:space="preserve"> </w:t>
      </w:r>
      <w:r>
        <w:t xml:space="preserve">ten pozwala osiągnąć ten sam cel</w:t>
      </w:r>
      <w:r>
        <w:t xml:space="preserve"> </w:t>
      </w:r>
      <w:r>
        <w:t xml:space="preserve">(Urząd Ochrony Danych Osobowych, b.d.)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preferowane:</w:t>
      </w:r>
      <w:r>
        <w:br/>
      </w:r>
      <w:r>
        <w:rPr>
          <w:rStyle w:val="VerbatimChar"/>
        </w:rPr>
        <w:t xml:space="preserve">  ticket.started</w:t>
      </w:r>
      <w:r>
        <w:br/>
      </w:r>
      <w:r>
        <w:rPr>
          <w:rStyle w:val="VerbatimChar"/>
        </w:rPr>
        <w:t xml:space="preserve">  test.completed</w:t>
      </w:r>
      <w:r>
        <w:br/>
      </w:r>
      <w:r>
        <w:rPr>
          <w:rStyle w:val="VerbatimChar"/>
        </w:rPr>
        <w:t xml:space="preserve">  approval.requested</w:t>
      </w:r>
      <w:r>
        <w:br/>
      </w:r>
      <w:r>
        <w:rPr>
          <w:rStyle w:val="VerbatimChar"/>
        </w:rPr>
        <w:t xml:space="preserve">  artifact.published</w:t>
      </w:r>
      <w:r>
        <w:br/>
      </w:r>
      <w:r>
        <w:br/>
      </w:r>
      <w:r>
        <w:rPr>
          <w:rStyle w:val="VerbatimChar"/>
        </w:rPr>
        <w:t xml:space="preserve">ryzykowne bez odrębnej podstawy i analizy:</w:t>
      </w:r>
      <w:r>
        <w:br/>
      </w:r>
      <w:r>
        <w:rPr>
          <w:rStyle w:val="VerbatimChar"/>
        </w:rPr>
        <w:t xml:space="preserve">  every.keystroke</w:t>
      </w:r>
      <w:r>
        <w:br/>
      </w:r>
      <w:r>
        <w:rPr>
          <w:rStyle w:val="VerbatimChar"/>
        </w:rPr>
        <w:t xml:space="preserve">  continuous.screenshot</w:t>
      </w:r>
      <w:r>
        <w:br/>
      </w:r>
      <w:r>
        <w:rPr>
          <w:rStyle w:val="VerbatimChar"/>
        </w:rPr>
        <w:t xml:space="preserve">  private.message.content</w:t>
      </w:r>
    </w:p>
    <w:bookmarkEnd w:id="110"/>
    <w:bookmarkStart w:id="114" w:name="granica-między-uop-a-relacją-cywilną"/>
    <w:p>
      <w:pPr>
        <w:pStyle w:val="Heading2"/>
      </w:pPr>
      <w:r>
        <w:t xml:space="preserve">14.5 Granica między UoP a relacją cywilną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Orientacyjne drzewo cech relacji współpracy." title="" id="112" name="Picture"/>
            <a:graphic>
              <a:graphicData uri="http://schemas.openxmlformats.org/drawingml/2006/picture">
                <pic:pic>
                  <pic:nvPicPr>
                    <pic:cNvPr descr="chapters/../figures/legal-relation-guid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Orientacyjne drzewo cech relacji współpracy.</w:t>
      </w:r>
    </w:p>
    <w:p>
      <w:pPr>
        <w:pStyle w:val="BodyText"/>
      </w:pPr>
      <w:r>
        <w:t xml:space="preserve">To drzewo jest narzędziem orientacyjnym, nie kwalifikatorem prawnym. Artykuł</w:t>
      </w:r>
      <w:r>
        <w:t xml:space="preserve"> </w:t>
      </w:r>
      <w:r>
        <w:t xml:space="preserve">22 Kodeksu pracy zabrania zastępowania umowy o pracę kontraktem cywilnym przy</w:t>
      </w:r>
      <w:r>
        <w:t xml:space="preserve"> </w:t>
      </w:r>
      <w:r>
        <w:t xml:space="preserve">zachowaniu warunków stosunku pracy</w:t>
      </w:r>
      <w:r>
        <w:t xml:space="preserve"> </w:t>
      </w:r>
      <w:r>
        <w:t xml:space="preserve">(Kancelaria Sejmu, b.d.)</w:t>
      </w:r>
      <w:r>
        <w:t xml:space="preserve">. PIP wymienia podporządkowanie,</w:t>
      </w:r>
      <w:r>
        <w:t xml:space="preserve"> </w:t>
      </w:r>
      <w:r>
        <w:t xml:space="preserve">osobiste świadczenie, powtarzalność, miejsce, czas i ryzyko pracodawcy jako</w:t>
      </w:r>
      <w:r>
        <w:t xml:space="preserve"> </w:t>
      </w:r>
      <w:r>
        <w:t xml:space="preserve">istotne cechy, które trzeba oceniać łącznie</w:t>
      </w:r>
      <w:r>
        <w:t xml:space="preserve"> </w:t>
      </w:r>
      <w:r>
        <w:t xml:space="preserve">(Państwowa Inspekcja Pracy, b.d.-a)</w:t>
      </w:r>
      <w:r>
        <w:t xml:space="preserve">.</w:t>
      </w:r>
    </w:p>
    <w:bookmarkEnd w:id="114"/>
    <w:bookmarkStart w:id="118" w:name="wniosek-dla-modelu-actoragent"/>
    <w:p>
      <w:pPr>
        <w:pStyle w:val="Heading2"/>
      </w:pPr>
      <w:r>
        <w:t xml:space="preserve">14.6 Wniosek dla modelu actor/agent</w:t>
      </w:r>
    </w:p>
    <w:p>
      <w:pPr>
        <w:pStyle w:val="FirstParagraph"/>
      </w:pPr>
      <w:r>
        <w:rPr>
          <w:b/>
          <w:bCs/>
        </w:rPr>
        <w:t xml:space="preserve">Forma prawna wpływa na zakres authority, ale jakość wytwarza protokół pracy.</w:t>
      </w:r>
    </w:p>
    <w:p>
      <w:pPr>
        <w:pStyle w:val="SourceCode"/>
      </w:pPr>
      <w:r>
        <w:rPr>
          <w:rStyle w:val="VerbatimChar"/>
        </w:rPr>
        <w:t xml:space="preserve">ticket</w:t>
      </w:r>
      <w:r>
        <w:br/>
      </w:r>
      <w:r>
        <w:rPr>
          <w:rStyle w:val="VerbatimChar"/>
        </w:rPr>
        <w:t xml:space="preserve">  goal: oczekiwany stan końcowy</w:t>
      </w:r>
      <w:r>
        <w:br/>
      </w:r>
      <w:r>
        <w:rPr>
          <w:rStyle w:val="VerbatimChar"/>
        </w:rPr>
        <w:t xml:space="preserve">  authority: dozwolone działania</w:t>
      </w:r>
      <w:r>
        <w:br/>
      </w:r>
      <w:r>
        <w:rPr>
          <w:rStyle w:val="VerbatimChar"/>
        </w:rPr>
        <w:t xml:space="preserve">  constraints: środowisko, bezpieczeństwo, budżet</w:t>
      </w:r>
      <w:r>
        <w:br/>
      </w:r>
      <w:r>
        <w:rPr>
          <w:rStyle w:val="VerbatimChar"/>
        </w:rPr>
        <w:t xml:space="preserve">  checkpoints: kiedy potrzebna jest walidacja</w:t>
      </w:r>
      <w:r>
        <w:br/>
      </w:r>
      <w:r>
        <w:rPr>
          <w:rStyle w:val="VerbatimChar"/>
        </w:rPr>
        <w:t xml:space="preserve">  evidence: jakie zdarzenia i artefakty należy zapisać</w:t>
      </w:r>
      <w:r>
        <w:br/>
      </w:r>
      <w:r>
        <w:rPr>
          <w:rStyle w:val="VerbatimChar"/>
        </w:rPr>
        <w:t xml:space="preserve">  acceptance: walidowalne kryteria ukończenia</w:t>
      </w:r>
      <w:r>
        <w:br/>
      </w:r>
      <w:r>
        <w:rPr>
          <w:rStyle w:val="VerbatimChar"/>
        </w:rPr>
        <w:t xml:space="preserve">  escalation: kiedy actor musi oddać decyzję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Pętla od celu przez działanie, dowód i walidację do akceptacji." title="" id="116" name="Picture"/>
            <a:graphic>
              <a:graphicData uri="http://schemas.openxmlformats.org/drawingml/2006/picture">
                <pic:pic>
                  <pic:nvPicPr>
                    <pic:cNvPr descr="chapters/../figures/authority-validation-loop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Pętla od celu przez działanie, dowód i walidację do akceptacji.</w:t>
      </w:r>
    </w:p>
    <w:p>
      <w:pPr>
        <w:pStyle w:val="BodyText"/>
      </w:pPr>
      <w:r>
        <w:t xml:space="preserve">Na UoP pracodawca może tę pętlę w dużym stopniu organizować w granicach prawa</w:t>
      </w:r>
      <w:r>
        <w:t xml:space="preserve"> </w:t>
      </w:r>
      <w:r>
        <w:t xml:space="preserve">i umowy. Przy zleceniu lub B2B powinna wynikać z umówionego protokołu</w:t>
      </w:r>
      <w:r>
        <w:t xml:space="preserve"> </w:t>
      </w:r>
      <w:r>
        <w:t xml:space="preserve">współpracy. Przy dziele koncentruje się przede wszystkim na specyfikacji,</w:t>
      </w:r>
      <w:r>
        <w:t xml:space="preserve"> </w:t>
      </w:r>
      <w:r>
        <w:t xml:space="preserve">ryzykach, wykrywaniu wadliwego wykonania i odbiorze oznaczonego rezultatu.</w:t>
      </w:r>
    </w:p>
    <w:p>
      <w:pPr>
        <w:pStyle w:val="BodyText"/>
      </w:pPr>
      <w:r>
        <w:t xml:space="preserve">Ciągła walidacja kosztuje zlecającego, ale część kosztu można przenieść do</w:t>
      </w:r>
      <w:r>
        <w:t xml:space="preserve"> </w:t>
      </w:r>
      <w:r>
        <w:t xml:space="preserve">automatycznych testów. Człowiek uczestniczy wtedy głównie przy wyjątku, zmianie</w:t>
      </w:r>
      <w:r>
        <w:t xml:space="preserve"> </w:t>
      </w:r>
      <w:r>
        <w:t xml:space="preserve">celu, przekroczeniu authority albo działaniu wysokiego ryzyka.</w:t>
      </w:r>
    </w:p>
    <w:bookmarkEnd w:id="118"/>
    <w:bookmarkEnd w:id="119"/>
    <w:bookmarkStart w:id="121" w:name="mapa-badań-i-siła-dowodu"/>
    <w:p>
      <w:pPr>
        <w:pStyle w:val="Heading1"/>
      </w:pPr>
      <w:r>
        <w:t xml:space="preserve">15. Mapa badań i siła dowodu</w:t>
      </w:r>
    </w:p>
    <w:p>
      <w:pPr>
        <w:pStyle w:val="FirstParagraph"/>
      </w:pPr>
      <w:r>
        <w:t xml:space="preserve">Publikacje w książce pełnią trzy role: dostarczają obserwacji o pracy ludzi,</w:t>
      </w:r>
      <w:r>
        <w:t xml:space="preserve"> </w:t>
      </w:r>
      <w:r>
        <w:t xml:space="preserve">wyników eksperymentów z AI oraz modeli formalnych dla workflow i architektury.</w:t>
      </w:r>
      <w:r>
        <w:t xml:space="preserve"> </w:t>
      </w:r>
      <w:r>
        <w:t xml:space="preserve">Nie wszystkie wyniki mają tę samą siłę ani zakres.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Obszar</w:t>
            </w:r>
          </w:p>
        </w:tc>
        <w:tc>
          <w:tcPr/>
          <w:p>
            <w:pPr>
              <w:pStyle w:val="Compact"/>
            </w:pPr>
            <w: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t xml:space="preserve">Co wspiera</w:t>
            </w:r>
          </w:p>
        </w:tc>
        <w:tc>
          <w:tcPr/>
          <w:p>
            <w:pPr>
              <w:pStyle w:val="Compact"/>
            </w:pPr>
            <w:r>
              <w:t xml:space="preserve">Ograniczenie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przerwania</w:t>
            </w:r>
          </w:p>
        </w:tc>
        <w:tc>
          <w:tcPr/>
          <w:p>
            <w:pPr>
              <w:pStyle w:val="Compact"/>
            </w:pPr>
            <w:r>
              <w:t xml:space="preserve">Parnin i Rugaber (2011)</w:t>
            </w:r>
          </w:p>
        </w:tc>
        <w:tc>
          <w:tcPr/>
          <w:p>
            <w:pPr>
              <w:pStyle w:val="Compact"/>
            </w:pPr>
            <w:r>
              <w:t xml:space="preserve">koszt rekonstrukcji kontekstu</w:t>
            </w:r>
          </w:p>
        </w:tc>
        <w:tc>
          <w:tcPr/>
          <w:p>
            <w:pPr>
              <w:pStyle w:val="Compact"/>
            </w:pPr>
            <w:r>
              <w:t xml:space="preserve">badanie obserwacyjne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produktywność</w:t>
            </w:r>
          </w:p>
        </w:tc>
        <w:tc>
          <w:tcPr/>
          <w:p>
            <w:pPr>
              <w:pStyle w:val="Compact"/>
            </w:pPr>
            <w:r>
              <w:t xml:space="preserve">Meyer et al. (2014)</w:t>
            </w:r>
          </w:p>
        </w:tc>
        <w:tc>
          <w:tcPr/>
          <w:p>
            <w:pPr>
              <w:pStyle w:val="Compact"/>
            </w:pPr>
            <w:r>
              <w:t xml:space="preserve">wielowymiarowe rozumienie produktywności</w:t>
            </w:r>
          </w:p>
        </w:tc>
        <w:tc>
          <w:tcPr/>
          <w:p>
            <w:pPr>
              <w:pStyle w:val="Compact"/>
            </w:pPr>
            <w:r>
              <w:t xml:space="preserve">percepcja nie jest samym wynikiem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interakcja z AI</w:t>
            </w:r>
          </w:p>
        </w:tc>
        <w:tc>
          <w:tcPr/>
          <w:p>
            <w:pPr>
              <w:pStyle w:val="Compact"/>
            </w:pPr>
            <w:r>
              <w:t xml:space="preserve">Barke et al. (2023)</w:t>
            </w:r>
          </w:p>
        </w:tc>
        <w:tc>
          <w:tcPr/>
          <w:p>
            <w:pPr>
              <w:pStyle w:val="Compact"/>
            </w:pPr>
            <w:r>
              <w:t xml:space="preserve">tryby przyspieszenia i eksploracji</w:t>
            </w:r>
          </w:p>
        </w:tc>
        <w:tc>
          <w:tcPr/>
          <w:p>
            <w:pPr>
              <w:pStyle w:val="Compact"/>
            </w:pPr>
            <w:r>
              <w:t xml:space="preserve">20 uczestników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szybkość z AI</w:t>
            </w:r>
          </w:p>
        </w:tc>
        <w:tc>
          <w:tcPr/>
          <w:p>
            <w:pPr>
              <w:pStyle w:val="Compact"/>
            </w:pPr>
            <w:r>
              <w:t xml:space="preserve">Peng et al. (2023)</w:t>
            </w:r>
          </w:p>
        </w:tc>
        <w:tc>
          <w:tcPr/>
          <w:p>
            <w:pPr>
              <w:pStyle w:val="Compact"/>
            </w:pPr>
            <w:r>
              <w:t xml:space="preserve">eksperymentalny wpływ na jedno zadanie</w:t>
            </w:r>
          </w:p>
        </w:tc>
        <w:tc>
          <w:tcPr/>
          <w:p>
            <w:pPr>
              <w:pStyle w:val="Compact"/>
            </w:pPr>
            <w:r>
              <w:t xml:space="preserve">zadanie greenfield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zadania repozytoryjne</w:t>
            </w:r>
          </w:p>
        </w:tc>
        <w:tc>
          <w:tcPr/>
          <w:p>
            <w:pPr>
              <w:pStyle w:val="Compact"/>
            </w:pPr>
            <w:r>
              <w:t xml:space="preserve">Jimenez et al. (2024)</w:t>
            </w:r>
          </w:p>
        </w:tc>
        <w:tc>
          <w:tcPr/>
          <w:p>
            <w:pPr>
              <w:pStyle w:val="Compact"/>
            </w:pPr>
            <w:r>
              <w:t xml:space="preserve">trudność realnych issue</w:t>
            </w:r>
          </w:p>
        </w:tc>
        <w:tc>
          <w:tcPr/>
          <w:p>
            <w:pPr>
              <w:pStyle w:val="Compact"/>
            </w:pPr>
            <w:r>
              <w:t xml:space="preserve">benchmark nie odwzorowuje całej pracy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interfejs agenta</w:t>
            </w:r>
          </w:p>
        </w:tc>
        <w:tc>
          <w:tcPr/>
          <w:p>
            <w:pPr>
              <w:pStyle w:val="Compact"/>
            </w:pPr>
            <w:r>
              <w:t xml:space="preserve">Yang et al. (2024)</w:t>
            </w:r>
          </w:p>
        </w:tc>
        <w:tc>
          <w:tcPr/>
          <w:p>
            <w:pPr>
              <w:pStyle w:val="Compact"/>
            </w:pPr>
            <w:r>
              <w:t xml:space="preserve">wpływ ACI na skuteczność</w:t>
            </w:r>
          </w:p>
        </w:tc>
        <w:tc>
          <w:tcPr/>
          <w:p>
            <w:pPr>
              <w:pStyle w:val="Compact"/>
            </w:pPr>
            <w:r>
              <w:t xml:space="preserve">wynik zależny od benchmarku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Aalst et al. (2003)</w:t>
            </w:r>
          </w:p>
        </w:tc>
        <w:tc>
          <w:tcPr/>
          <w:p>
            <w:pPr>
              <w:pStyle w:val="Compact"/>
            </w:pPr>
            <w:r>
              <w:t xml:space="preserve">wzorce kontroli przepływu</w:t>
            </w:r>
          </w:p>
        </w:tc>
        <w:tc>
          <w:tcPr/>
          <w:p>
            <w:pPr>
              <w:pStyle w:val="Compact"/>
            </w:pPr>
            <w:r>
              <w:t xml:space="preserve">domena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 i REST</w:t>
            </w:r>
          </w:p>
        </w:tc>
        <w:tc>
          <w:tcPr/>
          <w:p>
            <w:pPr>
              <w:pStyle w:val="Compact"/>
            </w:pPr>
            <w:r>
              <w:t xml:space="preserve">Berners-Lee et al. (2005)</w:t>
            </w:r>
            <w:r>
              <w:t xml:space="preserve">;</w:t>
            </w:r>
            <w:r>
              <w:t xml:space="preserve"> </w:t>
            </w:r>
            <w:r>
              <w:t xml:space="preserve">Fielding (2000)</w:t>
            </w:r>
          </w:p>
        </w:tc>
        <w:tc>
          <w:tcPr/>
          <w:p>
            <w:pPr>
              <w:pStyle w:val="Compact"/>
            </w:pPr>
            <w:r>
              <w:t xml:space="preserve">identyfikacja i jednolity interfejs</w:t>
            </w:r>
          </w:p>
        </w:tc>
        <w:tc>
          <w:tcPr/>
          <w:p>
            <w:pPr>
              <w:pStyle w:val="Compact"/>
            </w:pPr>
            <w:r>
              <w:t xml:space="preserve">nie definiują URI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granica możliwości AI</w:t>
            </w:r>
          </w:p>
        </w:tc>
        <w:tc>
          <w:tcPr/>
          <w:p>
            <w:pPr>
              <w:pStyle w:val="Compact"/>
            </w:pPr>
            <w:r>
              <w:t xml:space="preserve">Dell’Acqua et al. (2026)</w:t>
            </w:r>
          </w:p>
        </w:tc>
        <w:tc>
          <w:tcPr/>
          <w:p>
            <w:pPr>
              <w:pStyle w:val="Compact"/>
            </w:pPr>
            <w:r>
              <w:t xml:space="preserve">nierówny wpływ AI zależnie od zadania</w:t>
            </w:r>
          </w:p>
        </w:tc>
        <w:tc>
          <w:tcPr/>
          <w:p>
            <w:pPr>
              <w:pStyle w:val="Compact"/>
            </w:pPr>
            <w:r>
              <w:t xml:space="preserve">praca konsultantów, nie programowanie</w:t>
            </w:r>
          </w:p>
        </w:tc>
      </w:tr>
    </w:tbl>
    <w:bookmarkStart w:id="120" w:name="jak-interpretować-wyniki"/>
    <w:p>
      <w:pPr>
        <w:pStyle w:val="Heading2"/>
      </w:pPr>
      <w:r>
        <w:t xml:space="preserve">15.1 Jak interpretować wyniki</w:t>
      </w:r>
    </w:p>
    <w:p>
      <w:pPr>
        <w:pStyle w:val="FirstParagraph"/>
      </w:pPr>
      <w:r>
        <w:t xml:space="preserve">Nie traktujemy pojedynczego procentu jako stałej właściwości AI. Wynik zależy od</w:t>
      </w:r>
      <w:r>
        <w:t xml:space="preserve"> </w:t>
      </w:r>
      <w:r>
        <w:t xml:space="preserve">zadania, ludzi, narzędzia, czasu badania i kryterium jakości. Dlatego książka</w:t>
      </w:r>
      <w:r>
        <w:t xml:space="preserve"> </w:t>
      </w:r>
      <w:r>
        <w:t xml:space="preserve">zaleca lokalny eksperyment porównawczy zamiast przyjęcia obcej średniej jako</w:t>
      </w:r>
      <w:r>
        <w:t xml:space="preserve"> </w:t>
      </w:r>
      <w:r>
        <w:t xml:space="preserve">obiecanego zwrotu.</w:t>
      </w:r>
    </w:p>
    <w:p>
      <w:pPr>
        <w:pStyle w:val="BodyText"/>
      </w:pPr>
      <w:r>
        <w:t xml:space="preserve">W szczególności szybsze ukończenie krótkiego zadania nie dowodzi mniejszego</w:t>
      </w:r>
      <w:r>
        <w:t xml:space="preserve"> </w:t>
      </w:r>
      <w:r>
        <w:t xml:space="preserve">reworku, bezpieczniejszej publikacji ani lepszej pracy z dojrzałym systemem.</w:t>
      </w:r>
      <w:r>
        <w:t xml:space="preserve"> </w:t>
      </w:r>
      <w:r>
        <w:t xml:space="preserve">Potwierdza hipotezę, którą należy ponownie przetestować w swojej klasie zadań.</w:t>
      </w:r>
    </w:p>
    <w:bookmarkEnd w:id="120"/>
    <w:bookmarkEnd w:id="121"/>
    <w:bookmarkStart w:id="158" w:name="process-pack-do-pobrania"/>
    <w:p>
      <w:pPr>
        <w:pStyle w:val="Heading1"/>
      </w:pPr>
      <w:r>
        <w:t xml:space="preserve">16. Process Pack do pobrania</w:t>
      </w:r>
    </w:p>
    <w:p>
      <w:pPr>
        <w:pStyle w:val="FirstParagraph"/>
      </w:pPr>
      <w:r>
        <w:t xml:space="preserve">Repozytorium zawiera trzy kompletne przykłady: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two-models</w:t>
      </w:r>
      <w:r>
        <w:t xml:space="preserve"> </w:t>
      </w:r>
      <w:r>
        <w:t xml:space="preserve">— implementacja i niezależny review przy Human WIP = 1.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digital-twin-router</w:t>
      </w:r>
      <w:r>
        <w:t xml:space="preserve"> </w:t>
      </w:r>
      <w:r>
        <w:t xml:space="preserve">— routing bez rozszerzania authority.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uri-process-publication</w:t>
      </w:r>
      <w:r>
        <w:t xml:space="preserve"> </w:t>
      </w:r>
      <w:r>
        <w:t xml:space="preserve">— wydanie książki jako kontrolowany URI Process.</w:t>
      </w:r>
    </w:p>
    <w:p>
      <w:pPr>
        <w:pStyle w:val="FirstParagraph"/>
      </w:pPr>
      <w:r>
        <w:t xml:space="preserve">Pakiet ZIP jest generowany przy każdym wydaniu. Zawiera źródła DSL, schematy</w:t>
      </w:r>
      <w:r>
        <w:t xml:space="preserve"> </w:t>
      </w:r>
      <w:r>
        <w:t xml:space="preserve">JSON i README, ale nie zawiera sekretów ani produkcyjnych grantów.</w:t>
      </w:r>
    </w:p>
    <w:bookmarkStart w:id="157" w:name="jak-pracować-z-przykładem"/>
    <w:p>
      <w:pPr>
        <w:pStyle w:val="Heading2"/>
      </w:pPr>
      <w:r>
        <w:t xml:space="preserve">16.1 Jak pracować z przykładem</w:t>
      </w:r>
    </w:p>
    <w:p>
      <w:pPr>
        <w:pStyle w:val="SourceCode"/>
      </w:pPr>
      <w:r>
        <w:rPr>
          <w:rStyle w:val="VerbatimChar"/>
        </w:rPr>
        <w:t xml:space="preserve">skopiuj katalog</w:t>
      </w:r>
      <w:r>
        <w:br/>
      </w:r>
      <w:r>
        <w:rPr>
          <w:rStyle w:val="VerbatimChar"/>
        </w:rPr>
        <w:t xml:space="preserve">  -&gt; zmień intent i payload</w:t>
      </w:r>
      <w:r>
        <w:br/>
      </w:r>
      <w:r>
        <w:rPr>
          <w:rStyle w:val="VerbatimChar"/>
        </w:rPr>
        <w:t xml:space="preserve">  -&gt; zwaliduj schema</w:t>
      </w:r>
      <w:r>
        <w:br/>
      </w:r>
      <w:r>
        <w:rPr>
          <w:rStyle w:val="VerbatimChar"/>
        </w:rPr>
        <w:t xml:space="preserve">  -&gt; wykonaj query/dry-run</w:t>
      </w:r>
      <w:r>
        <w:br/>
      </w:r>
      <w:r>
        <w:rPr>
          <w:rStyle w:val="VerbatimChar"/>
        </w:rPr>
        <w:t xml:space="preserve">  -&gt; sprawdź AQL</w:t>
      </w:r>
      <w:r>
        <w:br/>
      </w:r>
      <w:r>
        <w:rPr>
          <w:rStyle w:val="VerbatimChar"/>
        </w:rPr>
        <w:t xml:space="preserve">  -&gt; zatwierdź command</w:t>
      </w:r>
      <w:r>
        <w:br/>
      </w:r>
      <w:r>
        <w:rPr>
          <w:rStyle w:val="VerbatimChar"/>
        </w:rPr>
        <w:t xml:space="preserve">  -&gt; wykonaj EQL read-back</w:t>
      </w:r>
      <w:r>
        <w:br/>
      </w:r>
      <w:r>
        <w:rPr>
          <w:rStyle w:val="VerbatimChar"/>
        </w:rPr>
        <w:t xml:space="preserve">  -&gt; zapisz SODL i retrospektywę</w:t>
      </w:r>
    </w:p>
    <w:p>
      <w:pPr>
        <w:pStyle w:val="FirstParagraph"/>
      </w:pPr>
      <w:r>
        <w:t xml:space="preserve">Przykłady są materiałem edukacyjnym. URI należy związać z registry rzeczywistego</w:t>
      </w:r>
      <w:r>
        <w:t xml:space="preserve"> </w:t>
      </w:r>
      <w:r>
        <w:t xml:space="preserve">runtime’u, a authority rozwiązać z aktywnego kontraktu organizacji.</w:t>
      </w:r>
    </w:p>
    <w:bookmarkStart w:id="156" w:name="refs"/>
    <w:bookmarkStart w:id="123" w:name="ref-vanderAalst2003workflow"/>
    <w:p>
      <w:pPr>
        <w:pStyle w:val="Bibliography"/>
      </w:pPr>
      <w:r>
        <w:t xml:space="preserve">Aalst, Wil M. P. van der, Arthur H. M. ter Hofstede, Bartek Kiepuszewski, i Alistair P. Barros. 2003.</w:t>
      </w:r>
      <w:r>
        <w:t xml:space="preserve"> </w:t>
      </w:r>
      <w:r>
        <w:t xml:space="preserve">„Workflow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Distributed and Parallel Databases</w:t>
      </w:r>
      <w:r>
        <w:t xml:space="preserve"> </w:t>
      </w:r>
      <w:r>
        <w:t xml:space="preserve">14 (1): 5–51.</w:t>
      </w:r>
      <w:r>
        <w:t xml:space="preserve"> </w:t>
      </w:r>
      <w:hyperlink r:id="rId122">
        <w:r>
          <w:rPr>
            <w:rStyle w:val="Hyperlink"/>
          </w:rPr>
          <w:t xml:space="preserve">https://doi.org/10.1023/A:1022883727209</w:t>
        </w:r>
      </w:hyperlink>
      <w:r>
        <w:t xml:space="preserve">.</w:t>
      </w:r>
    </w:p>
    <w:bookmarkEnd w:id="123"/>
    <w:bookmarkStart w:id="125" w:name="ref-barke2023grounded"/>
    <w:p>
      <w:pPr>
        <w:pStyle w:val="Bibliography"/>
      </w:pPr>
      <w:r>
        <w:t xml:space="preserve">Barke, Shraddha, Michael B. James, i Nadia Polikarpova. 2023.</w:t>
      </w:r>
      <w:r>
        <w:t xml:space="preserve"> </w:t>
      </w:r>
      <w:r>
        <w:t xml:space="preserve">„Grounded Copilot: How Programmers Interact with Code-Generating Models”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ACM on Programming Languages</w:t>
      </w:r>
      <w:r>
        <w:t xml:space="preserve"> </w:t>
      </w:r>
      <w:r>
        <w:t xml:space="preserve">7 (OOPSLA1).</w:t>
      </w:r>
      <w:r>
        <w:t xml:space="preserve"> </w:t>
      </w:r>
      <w:hyperlink r:id="rId124">
        <w:r>
          <w:rPr>
            <w:rStyle w:val="Hyperlink"/>
          </w:rPr>
          <w:t xml:space="preserve">https://doi.org/10.1145/3586030</w:t>
        </w:r>
      </w:hyperlink>
      <w:r>
        <w:t xml:space="preserve">.</w:t>
      </w:r>
    </w:p>
    <w:bookmarkEnd w:id="125"/>
    <w:bookmarkStart w:id="127" w:name="ref-rfc3986"/>
    <w:p>
      <w:pPr>
        <w:pStyle w:val="Bibliography"/>
      </w:pPr>
      <w:r>
        <w:t xml:space="preserve">Berners-Lee, Tim, Roy Fielding, i Larry Masinter. 2005.</w:t>
      </w:r>
      <w:r>
        <w:t xml:space="preserve"> </w:t>
      </w:r>
      <w:r>
        <w:rPr>
          <w:i/>
          <w:iCs/>
        </w:rPr>
        <w:t xml:space="preserve">Uniform Resource Identifier (</w:t>
      </w:r>
      <w:r>
        <w:rPr>
          <w:i/>
          <w:iCs/>
        </w:rPr>
        <w:t xml:space="preserve">URI</w:t>
      </w:r>
      <w:r>
        <w:rPr>
          <w:i/>
          <w:iCs/>
        </w:rPr>
        <w:t xml:space="preserve">): Generic Syntax</w:t>
      </w:r>
      <w:r>
        <w:t xml:space="preserve">. RFC 3986. RFC Editor.</w:t>
      </w:r>
      <w:r>
        <w:t xml:space="preserve"> </w:t>
      </w:r>
      <w:hyperlink r:id="rId126">
        <w:r>
          <w:rPr>
            <w:rStyle w:val="Hyperlink"/>
          </w:rPr>
          <w:t xml:space="preserve">https://doi.org/10.17487/RFC3986</w:t>
        </w:r>
      </w:hyperlink>
      <w:r>
        <w:t xml:space="preserve">.</w:t>
      </w:r>
    </w:p>
    <w:bookmarkEnd w:id="127"/>
    <w:bookmarkStart w:id="129" w:name="ref-dellacqua2026jagged"/>
    <w:p>
      <w:pPr>
        <w:pStyle w:val="Bibliography"/>
      </w:pPr>
      <w:r>
        <w:t xml:space="preserve">Dell’Acqua, Fabrizio, Edward McFowland, Ethan Mollick, et al. 2026.</w:t>
      </w:r>
      <w:r>
        <w:t xml:space="preserve"> </w:t>
      </w:r>
      <w:r>
        <w:t xml:space="preserve">„Navigating the Jagged Technological Frontier: Field Experimental Evidence of the Effects of Artificial Intelligence on Knowledge Worker Productivity and Quality”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 Science</w:t>
      </w:r>
      <w:r>
        <w:t xml:space="preserve"> </w:t>
      </w:r>
      <w:r>
        <w:t xml:space="preserve">37 (2): 403–23.</w:t>
      </w:r>
      <w:r>
        <w:t xml:space="preserve"> </w:t>
      </w:r>
      <w:hyperlink r:id="rId128">
        <w:r>
          <w:rPr>
            <w:rStyle w:val="Hyperlink"/>
          </w:rPr>
          <w:t xml:space="preserve">https://doi.org/10.1287/orsc.2025.21838</w:t>
        </w:r>
      </w:hyperlink>
      <w:r>
        <w:t xml:space="preserve">.</w:t>
      </w:r>
    </w:p>
    <w:bookmarkEnd w:id="129"/>
    <w:bookmarkStart w:id="131" w:name="ref-fielding2000rest"/>
    <w:p>
      <w:pPr>
        <w:pStyle w:val="Bibliography"/>
      </w:pPr>
      <w:r>
        <w:t xml:space="preserve">Fielding, Roy Thomas. 2000.</w:t>
      </w:r>
      <w:r>
        <w:t xml:space="preserve"> </w:t>
      </w:r>
      <w:r>
        <w:t xml:space="preserve">„Architectural Styles and the Design of Network-based Software Architectures”</w:t>
      </w:r>
      <w:r>
        <w:t xml:space="preserve">. Phdthesis, University of California, Irvine.</w:t>
      </w:r>
      <w:r>
        <w:t xml:space="preserve"> </w:t>
      </w:r>
      <w:hyperlink r:id="rId130">
        <w:r>
          <w:rPr>
            <w:rStyle w:val="Hyperlink"/>
          </w:rPr>
          <w:t xml:space="preserve">https://www.ics.uci.edu/~fielding/pubs/dissertation/top.htm</w:t>
        </w:r>
      </w:hyperlink>
      <w:r>
        <w:t xml:space="preserve">.</w:t>
      </w:r>
    </w:p>
    <w:bookmarkEnd w:id="131"/>
    <w:bookmarkStart w:id="133" w:name="ref-jimenez2024swebench"/>
    <w:p>
      <w:pPr>
        <w:pStyle w:val="Bibliography"/>
      </w:pPr>
      <w:r>
        <w:t xml:space="preserve">Jimenez, Carlos E., John Yang, Alexander Wettig, et al. 2024.</w:t>
      </w:r>
      <w:r>
        <w:t xml:space="preserve"> </w:t>
      </w:r>
      <w:r>
        <w:t xml:space="preserve">„</w:t>
      </w:r>
      <w:r>
        <w:t xml:space="preserve">SWE</w:t>
      </w:r>
      <w:r>
        <w:t xml:space="preserve">-bench: Can Language Models Resolve Real-World</w:t>
      </w:r>
      <w:r>
        <w:t xml:space="preserve"> </w:t>
      </w:r>
      <w:r>
        <w:t xml:space="preserve">GitHub</w:t>
      </w:r>
      <w:r>
        <w:t xml:space="preserve"> </w:t>
      </w:r>
      <w:r>
        <w:t xml:space="preserve">Issues?”</w:t>
      </w:r>
      <w:r>
        <w:t xml:space="preserve"> </w:t>
      </w:r>
      <w:r>
        <w:rPr>
          <w:i/>
          <w:iCs/>
        </w:rPr>
        <w:t xml:space="preserve">The Twelfth International Conference on Learning Representations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https://openreview.net/forum?id=VTF8yNQM66</w:t>
        </w:r>
      </w:hyperlink>
      <w:r>
        <w:t xml:space="preserve">.</w:t>
      </w:r>
    </w:p>
    <w:bookmarkEnd w:id="133"/>
    <w:bookmarkStart w:id="135" w:name="ref-pracatymczasowa2023"/>
    <w:p>
      <w:pPr>
        <w:pStyle w:val="Bibliography"/>
      </w:pPr>
      <w:r>
        <w:t xml:space="preserve">Kancelaria Sejmu. 2023.</w:t>
      </w:r>
      <w:r>
        <w:t xml:space="preserve"> </w:t>
      </w:r>
      <w:r>
        <w:t xml:space="preserve">„Ustawa o zatrudnianiu pracowników tymczasowych — tekst jednolity”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https://eli.gov.pl/eli/DU/2023/1110/ogl</w:t>
        </w:r>
      </w:hyperlink>
      <w:r>
        <w:t xml:space="preserve">.</w:t>
      </w:r>
    </w:p>
    <w:bookmarkEnd w:id="135"/>
    <w:bookmarkStart w:id="137" w:name="ref-kodekscywilny2026"/>
    <w:p>
      <w:pPr>
        <w:pStyle w:val="Bibliography"/>
      </w:pPr>
      <w:r>
        <w:t xml:space="preserve">Kancelaria Sejmu. 2026.</w:t>
      </w:r>
      <w:r>
        <w:t xml:space="preserve"> </w:t>
      </w:r>
      <w:r>
        <w:t xml:space="preserve">„Kodeks cywilny — tekst jednolity”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https://eli.gov.pl/eli/DU/2026/795/ogl</w:t>
        </w:r>
      </w:hyperlink>
      <w:r>
        <w:t xml:space="preserve">.</w:t>
      </w:r>
    </w:p>
    <w:bookmarkEnd w:id="137"/>
    <w:bookmarkStart w:id="139" w:name="ref-kodekspracy"/>
    <w:p>
      <w:pPr>
        <w:pStyle w:val="Bibliography"/>
      </w:pPr>
      <w:r>
        <w:t xml:space="preserve">Kancelaria Sejmu. b.d.</w:t>
      </w:r>
      <w:r>
        <w:t xml:space="preserve"> </w:t>
      </w:r>
      <w:r>
        <w:t xml:space="preserve">„Ustawa z dnia 26 czerwca 1974 r. — Kodeks pracy”</w:t>
      </w:r>
      <w:r>
        <w:t xml:space="preserve">. Dostęp 24 lipca 2026.</w:t>
      </w:r>
      <w:r>
        <w:t xml:space="preserve"> </w:t>
      </w:r>
      <w:hyperlink r:id="rId138">
        <w:r>
          <w:rPr>
            <w:rStyle w:val="Hyperlink"/>
          </w:rPr>
          <w:t xml:space="preserve">https://eli.gov.pl/eli/DU/1974/141/ogl</w:t>
        </w:r>
      </w:hyperlink>
      <w:r>
        <w:t xml:space="preserve">.</w:t>
      </w:r>
    </w:p>
    <w:bookmarkEnd w:id="139"/>
    <w:bookmarkStart w:id="141" w:name="ref-meyer2014productivity"/>
    <w:p>
      <w:pPr>
        <w:pStyle w:val="Bibliography"/>
      </w:pPr>
      <w:r>
        <w:t xml:space="preserve">Meyer, André N., Thomas Fritz, Gail C. Murphy, i Thomas Zimmermann. 2014.</w:t>
      </w:r>
      <w:r>
        <w:t xml:space="preserve"> </w:t>
      </w:r>
      <w:r>
        <w:t xml:space="preserve">„Software Developers’ Perceptions of Productivity”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22nd ACM SIGSOFT International Symposium on Foundations of Software Engineering</w:t>
      </w:r>
      <w:r>
        <w:t xml:space="preserve">, 19–29.</w:t>
      </w:r>
      <w:r>
        <w:t xml:space="preserve"> </w:t>
      </w:r>
      <w:hyperlink r:id="rId140">
        <w:r>
          <w:rPr>
            <w:rStyle w:val="Hyperlink"/>
          </w:rPr>
          <w:t xml:space="preserve">https://doi.org/10.1145/2635868.2635892</w:t>
        </w:r>
      </w:hyperlink>
      <w:r>
        <w:t xml:space="preserve">.</w:t>
      </w:r>
    </w:p>
    <w:bookmarkEnd w:id="141"/>
    <w:bookmarkStart w:id="143" w:name="ref-pipformy"/>
    <w:p>
      <w:pPr>
        <w:pStyle w:val="Bibliography"/>
      </w:pPr>
      <w:r>
        <w:t xml:space="preserve">Państwowa Inspekcja Pracy. b.d.-a.</w:t>
      </w:r>
      <w:r>
        <w:t xml:space="preserve"> </w:t>
      </w:r>
      <w:r>
        <w:t xml:space="preserve">„Formy zatrudnienia oraz podstawowe prawa i obowiązki”</w:t>
      </w:r>
      <w:r>
        <w:t xml:space="preserve">. Dostęp 24 lipca 2026.</w:t>
      </w:r>
      <w:r>
        <w:t xml:space="preserve"> </w:t>
      </w:r>
      <w:hyperlink r:id="rId142">
        <w:r>
          <w:rPr>
            <w:rStyle w:val="Hyperlink"/>
          </w:rPr>
          <w:t xml:space="preserve">https://www.pip.gov.pl/dla-pracownikow/niezbednik-pracownika/formy-zatrudnienia-oraz-podstawowe-prawa-i-obowiazki</w:t>
        </w:r>
      </w:hyperlink>
      <w:r>
        <w:t xml:space="preserve">.</w:t>
      </w:r>
    </w:p>
    <w:bookmarkEnd w:id="143"/>
    <w:bookmarkStart w:id="145" w:name="ref-pipb2b"/>
    <w:p>
      <w:pPr>
        <w:pStyle w:val="Bibliography"/>
      </w:pPr>
      <w:r>
        <w:t xml:space="preserve">Państwowa Inspekcja Pracy. b.d.-b.</w:t>
      </w:r>
      <w:r>
        <w:t xml:space="preserve"> </w:t>
      </w:r>
      <w:r>
        <w:t xml:space="preserve">„Jakie są różnice pomiędzy umową o pracę a umowami cywilnoprawnymi?”</w:t>
      </w:r>
      <w:r>
        <w:t xml:space="preserve"> Dostęp 24 lipca 2026.</w:t>
      </w:r>
      <w:r>
        <w:t xml:space="preserve"> </w:t>
      </w:r>
      <w:hyperlink r:id="rId144">
        <w:r>
          <w:rPr>
            <w:rStyle w:val="Hyperlink"/>
          </w:rPr>
          <w:t xml:space="preserve">https://www.pip.gov.pl/dla-pracodawcow/pytania-i-odpowiedzi/jakie-sa-roznice-pomiedzy-umowa-o-prace-a-umowami-cywilnoprawnymi</w:t>
        </w:r>
      </w:hyperlink>
      <w:r>
        <w:t xml:space="preserve">.</w:t>
      </w:r>
    </w:p>
    <w:bookmarkEnd w:id="145"/>
    <w:bookmarkStart w:id="147" w:name="ref-parnin2011resumption"/>
    <w:p>
      <w:pPr>
        <w:pStyle w:val="Bibliography"/>
      </w:pPr>
      <w:r>
        <w:t xml:space="preserve">Parnin, Chris, i Spencer Rugaber. 2011.</w:t>
      </w:r>
      <w:r>
        <w:t xml:space="preserve"> </w:t>
      </w:r>
      <w:r>
        <w:t xml:space="preserve">„Resumption Strategies for Interrupted Programming Tasks”</w:t>
      </w:r>
      <w:r>
        <w:t xml:space="preserve">.</w:t>
      </w:r>
      <w:r>
        <w:t xml:space="preserve"> </w:t>
      </w:r>
      <w:r>
        <w:rPr>
          <w:i/>
          <w:iCs/>
        </w:rPr>
        <w:t xml:space="preserve">Software Quality Journal</w:t>
      </w:r>
      <w:r>
        <w:t xml:space="preserve"> </w:t>
      </w:r>
      <w:r>
        <w:t xml:space="preserve">19 (1): 5–34.</w:t>
      </w:r>
      <w:r>
        <w:t xml:space="preserve"> </w:t>
      </w:r>
      <w:hyperlink r:id="rId146">
        <w:r>
          <w:rPr>
            <w:rStyle w:val="Hyperlink"/>
          </w:rPr>
          <w:t xml:space="preserve">https://doi.org/10.1007/s11219-010-9104-9</w:t>
        </w:r>
      </w:hyperlink>
      <w:r>
        <w:t xml:space="preserve">.</w:t>
      </w:r>
    </w:p>
    <w:bookmarkEnd w:id="147"/>
    <w:bookmarkStart w:id="149" w:name="ref-peng2023copilot"/>
    <w:p>
      <w:pPr>
        <w:pStyle w:val="Bibliography"/>
      </w:pPr>
      <w:r>
        <w:t xml:space="preserve">Peng, Sida, Eirini Kalliamvakou, Peter Cihon, i Mert Demirer. 2023.</w:t>
      </w:r>
      <w:r>
        <w:t xml:space="preserve"> </w:t>
      </w:r>
      <w:r>
        <w:rPr>
          <w:i/>
          <w:iCs/>
        </w:rPr>
        <w:t xml:space="preserve">The Impact of AI on Developer Productivity: Evidence from GitHub Copilot</w:t>
      </w:r>
      <w:r>
        <w:t xml:space="preserve">.</w:t>
      </w:r>
      <w:r>
        <w:t xml:space="preserve"> </w:t>
      </w:r>
      <w:hyperlink r:id="rId148">
        <w:r>
          <w:rPr>
            <w:rStyle w:val="Hyperlink"/>
          </w:rPr>
          <w:t xml:space="preserve">https://doi.org/10.48550/arXiv.2302.06590</w:t>
        </w:r>
      </w:hyperlink>
      <w:r>
        <w:t xml:space="preserve">.</w:t>
      </w:r>
    </w:p>
    <w:bookmarkEnd w:id="149"/>
    <w:bookmarkStart w:id="151" w:name="ref-uodomonitoring"/>
    <w:p>
      <w:pPr>
        <w:pStyle w:val="Bibliography"/>
      </w:pPr>
      <w:r>
        <w:t xml:space="preserve">Urząd Ochrony Danych Osobowych. b.d.</w:t>
      </w:r>
      <w:r>
        <w:t xml:space="preserve"> </w:t>
      </w:r>
      <w:r>
        <w:t xml:space="preserve">„Przesłanki przetwarzania danych osobowych przy monitoringu pracowników”</w:t>
      </w:r>
      <w:r>
        <w:t xml:space="preserve">. Dostęp 24 lipca 2026.</w:t>
      </w:r>
      <w:r>
        <w:t xml:space="preserve"> </w:t>
      </w:r>
      <w:hyperlink r:id="rId150">
        <w:r>
          <w:rPr>
            <w:rStyle w:val="Hyperlink"/>
          </w:rPr>
          <w:t xml:space="preserve">https://uodo.gov.pl/pl/674/4212</w:t>
        </w:r>
      </w:hyperlink>
      <w:r>
        <w:t xml:space="preserve">.</w:t>
      </w:r>
    </w:p>
    <w:bookmarkEnd w:id="151"/>
    <w:bookmarkStart w:id="153" w:name="ref-yang2024sweagent"/>
    <w:p>
      <w:pPr>
        <w:pStyle w:val="Bibliography"/>
      </w:pPr>
      <w:r>
        <w:t xml:space="preserve">Yang, John, Carlos E. Jimenez, Alexander Wettig, et al. 2024.</w:t>
      </w:r>
      <w:r>
        <w:t xml:space="preserve"> </w:t>
      </w:r>
      <w:r>
        <w:t xml:space="preserve">„</w:t>
      </w:r>
      <w:r>
        <w:t xml:space="preserve">SWE</w:t>
      </w:r>
      <w:r>
        <w:t xml:space="preserve">-agent: Agent-Computer Interfaces Enable Automated Software Engineering”</w:t>
      </w:r>
      <w:r>
        <w:t xml:space="preserve">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37.</w:t>
      </w:r>
      <w:r>
        <w:t xml:space="preserve"> </w:t>
      </w:r>
      <w:hyperlink r:id="rId152">
        <w:r>
          <w:rPr>
            <w:rStyle w:val="Hyperlink"/>
          </w:rPr>
          <w:t xml:space="preserve">https://doi.org/10.52202/079017-1601</w:t>
        </w:r>
      </w:hyperlink>
      <w:r>
        <w:t xml:space="preserve">.</w:t>
      </w:r>
    </w:p>
    <w:bookmarkEnd w:id="153"/>
    <w:bookmarkStart w:id="155" w:name="ref-yao2023react"/>
    <w:p>
      <w:pPr>
        <w:pStyle w:val="Bibliography"/>
      </w:pPr>
      <w:r>
        <w:t xml:space="preserve">Yao, Shunyu, Jeffrey Zhao, Dian Yu, et al. 2023.</w:t>
      </w:r>
      <w:r>
        <w:t xml:space="preserve"> </w:t>
      </w:r>
      <w:r>
        <w:t xml:space="preserve">„</w:t>
      </w:r>
      <w:r>
        <w:t xml:space="preserve">ReAct</w:t>
      </w:r>
      <w:r>
        <w:t xml:space="preserve">: Synergizing Reasoning and Acting in Language Models”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https://openreview.net/forum?id=WE_vluYUL-X</w:t>
        </w:r>
      </w:hyperlink>
      <w:r>
        <w:t xml:space="preserve">.</w:t>
      </w:r>
    </w:p>
    <w:bookmarkEnd w:id="155"/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15" Target="media/rId115.png" /><Relationship Type="http://schemas.openxmlformats.org/officeDocument/2006/relationships/image" Id="rId111" Target="media/rId111.png" /><Relationship Type="http://schemas.openxmlformats.org/officeDocument/2006/relationships/image" Id="rId96" Target="media/rId96.png" /><Relationship Type="http://schemas.openxmlformats.org/officeDocument/2006/relationships/image" Id="rId86" Target="media/rId86.png" /><Relationship Type="http://schemas.openxmlformats.org/officeDocument/2006/relationships/image" Id="rId9" Target="media/rId9.png" /><Relationship Type="http://schemas.openxmlformats.org/officeDocument/2006/relationships/hyperlink" Id="rId18" Target="downloads/manifest.json" TargetMode="External" /><Relationship Type="http://schemas.openxmlformats.org/officeDocument/2006/relationships/hyperlink" Id="rId15" Target="downloads/retrospektywa-0.2.docx" TargetMode="External" /><Relationship Type="http://schemas.openxmlformats.org/officeDocument/2006/relationships/hyperlink" Id="rId14" Target="downloads/retrospektywa-0.2.epub" TargetMode="External" /><Relationship Type="http://schemas.openxmlformats.org/officeDocument/2006/relationships/hyperlink" Id="rId13" Target="downloads/retrospektywa-0.2.pdf" TargetMode="External" /><Relationship Type="http://schemas.openxmlformats.org/officeDocument/2006/relationships/hyperlink" Id="rId16" Target="downloads/retrospektywa-audiobook-preview-0.2.mp3" TargetMode="External" /><Relationship Type="http://schemas.openxmlformats.org/officeDocument/2006/relationships/hyperlink" Id="rId17" Target="downloads/retrospektywa-process-pack-0.2.zip" TargetMode="External" /><Relationship Type="http://schemas.openxmlformats.org/officeDocument/2006/relationships/hyperlink" Id="rId146" Target="https://doi.org/10.1007/s11219-010-9104-9" TargetMode="External" /><Relationship Type="http://schemas.openxmlformats.org/officeDocument/2006/relationships/hyperlink" Id="rId122" Target="https://doi.org/10.1023/A:1022883727209" TargetMode="External" /><Relationship Type="http://schemas.openxmlformats.org/officeDocument/2006/relationships/hyperlink" Id="rId140" Target="https://doi.org/10.1145/2635868.2635892" TargetMode="External" /><Relationship Type="http://schemas.openxmlformats.org/officeDocument/2006/relationships/hyperlink" Id="rId124" Target="https://doi.org/10.1145/3586030" TargetMode="External" /><Relationship Type="http://schemas.openxmlformats.org/officeDocument/2006/relationships/hyperlink" Id="rId128" Target="https://doi.org/10.1287/orsc.2025.21838" TargetMode="External" /><Relationship Type="http://schemas.openxmlformats.org/officeDocument/2006/relationships/hyperlink" Id="rId126" Target="https://doi.org/10.17487/RFC3986" TargetMode="External" /><Relationship Type="http://schemas.openxmlformats.org/officeDocument/2006/relationships/hyperlink" Id="rId148" Target="https://doi.org/10.48550/arXiv.2302.06590" TargetMode="External" /><Relationship Type="http://schemas.openxmlformats.org/officeDocument/2006/relationships/hyperlink" Id="rId152" Target="https://doi.org/10.52202/079017-1601" TargetMode="External" /><Relationship Type="http://schemas.openxmlformats.org/officeDocument/2006/relationships/hyperlink" Id="rId138" Target="https://eli.gov.pl/eli/DU/1974/141/ogl" TargetMode="External" /><Relationship Type="http://schemas.openxmlformats.org/officeDocument/2006/relationships/hyperlink" Id="rId134" Target="https://eli.gov.pl/eli/DU/2023/1110/ogl" TargetMode="External" /><Relationship Type="http://schemas.openxmlformats.org/officeDocument/2006/relationships/hyperlink" Id="rId136" Target="https://eli.gov.pl/eli/DU/2026/795/ogl" TargetMode="External" /><Relationship Type="http://schemas.openxmlformats.org/officeDocument/2006/relationships/hyperlink" Id="rId132" Target="https://openreview.net/forum?id=VTF8yNQM66" TargetMode="External" /><Relationship Type="http://schemas.openxmlformats.org/officeDocument/2006/relationships/hyperlink" Id="rId154" Target="https://openreview.net/forum?id=WE_vluYUL-X" TargetMode="External" /><Relationship Type="http://schemas.openxmlformats.org/officeDocument/2006/relationships/hyperlink" Id="rId150" Target="https://uodo.gov.pl/pl/674/4212" TargetMode="External" /><Relationship Type="http://schemas.openxmlformats.org/officeDocument/2006/relationships/hyperlink" Id="rId130" Target="https://www.ics.uci.edu/~fielding/pubs/dissertation/top.htm" TargetMode="External" /><Relationship Type="http://schemas.openxmlformats.org/officeDocument/2006/relationships/hyperlink" Id="rId144" Target="https://www.pip.gov.pl/dla-pracodawcow/pytania-i-odpowiedzi/jakie-sa-roznice-pomiedzy-umowa-o-prace-a-umowami-cywilnoprawnymi" TargetMode="External" /><Relationship Type="http://schemas.openxmlformats.org/officeDocument/2006/relationships/hyperlink" Id="rId142" Target="https://www.pip.gov.pl/dla-pracownikow/niezbednik-pracownika/formy-zatrudnienia-oraz-podstawowe-prawa-i-obowiaz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downloads/manifest.json" TargetMode="External" /><Relationship Type="http://schemas.openxmlformats.org/officeDocument/2006/relationships/hyperlink" Id="rId15" Target="downloads/retrospektywa-0.2.docx" TargetMode="External" /><Relationship Type="http://schemas.openxmlformats.org/officeDocument/2006/relationships/hyperlink" Id="rId14" Target="downloads/retrospektywa-0.2.epub" TargetMode="External" /><Relationship Type="http://schemas.openxmlformats.org/officeDocument/2006/relationships/hyperlink" Id="rId13" Target="downloads/retrospektywa-0.2.pdf" TargetMode="External" /><Relationship Type="http://schemas.openxmlformats.org/officeDocument/2006/relationships/hyperlink" Id="rId16" Target="downloads/retrospektywa-audiobook-preview-0.2.mp3" TargetMode="External" /><Relationship Type="http://schemas.openxmlformats.org/officeDocument/2006/relationships/hyperlink" Id="rId17" Target="downloads/retrospektywa-process-pack-0.2.zip" TargetMode="External" /><Relationship Type="http://schemas.openxmlformats.org/officeDocument/2006/relationships/hyperlink" Id="rId146" Target="https://doi.org/10.1007/s11219-010-9104-9" TargetMode="External" /><Relationship Type="http://schemas.openxmlformats.org/officeDocument/2006/relationships/hyperlink" Id="rId122" Target="https://doi.org/10.1023/A:1022883727209" TargetMode="External" /><Relationship Type="http://schemas.openxmlformats.org/officeDocument/2006/relationships/hyperlink" Id="rId140" Target="https://doi.org/10.1145/2635868.2635892" TargetMode="External" /><Relationship Type="http://schemas.openxmlformats.org/officeDocument/2006/relationships/hyperlink" Id="rId124" Target="https://doi.org/10.1145/3586030" TargetMode="External" /><Relationship Type="http://schemas.openxmlformats.org/officeDocument/2006/relationships/hyperlink" Id="rId128" Target="https://doi.org/10.1287/orsc.2025.21838" TargetMode="External" /><Relationship Type="http://schemas.openxmlformats.org/officeDocument/2006/relationships/hyperlink" Id="rId126" Target="https://doi.org/10.17487/RFC3986" TargetMode="External" /><Relationship Type="http://schemas.openxmlformats.org/officeDocument/2006/relationships/hyperlink" Id="rId148" Target="https://doi.org/10.48550/arXiv.2302.06590" TargetMode="External" /><Relationship Type="http://schemas.openxmlformats.org/officeDocument/2006/relationships/hyperlink" Id="rId152" Target="https://doi.org/10.52202/079017-1601" TargetMode="External" /><Relationship Type="http://schemas.openxmlformats.org/officeDocument/2006/relationships/hyperlink" Id="rId138" Target="https://eli.gov.pl/eli/DU/1974/141/ogl" TargetMode="External" /><Relationship Type="http://schemas.openxmlformats.org/officeDocument/2006/relationships/hyperlink" Id="rId134" Target="https://eli.gov.pl/eli/DU/2023/1110/ogl" TargetMode="External" /><Relationship Type="http://schemas.openxmlformats.org/officeDocument/2006/relationships/hyperlink" Id="rId136" Target="https://eli.gov.pl/eli/DU/2026/795/ogl" TargetMode="External" /><Relationship Type="http://schemas.openxmlformats.org/officeDocument/2006/relationships/hyperlink" Id="rId132" Target="https://openreview.net/forum?id=VTF8yNQM66" TargetMode="External" /><Relationship Type="http://schemas.openxmlformats.org/officeDocument/2006/relationships/hyperlink" Id="rId154" Target="https://openreview.net/forum?id=WE_vluYUL-X" TargetMode="External" /><Relationship Type="http://schemas.openxmlformats.org/officeDocument/2006/relationships/hyperlink" Id="rId150" Target="https://uodo.gov.pl/pl/674/4212" TargetMode="External" /><Relationship Type="http://schemas.openxmlformats.org/officeDocument/2006/relationships/hyperlink" Id="rId130" Target="https://www.ics.uci.edu/~fielding/pubs/dissertation/top.htm" TargetMode="External" /><Relationship Type="http://schemas.openxmlformats.org/officeDocument/2006/relationships/hyperlink" Id="rId144" Target="https://www.pip.gov.pl/dla-pracodawcow/pytania-i-odpowiedzi/jakie-sa-roznice-pomiedzy-umowa-o-prace-a-umowami-cywilnoprawnymi" TargetMode="External" /><Relationship Type="http://schemas.openxmlformats.org/officeDocument/2006/relationships/hyperlink" Id="rId142" Target="https://www.pip.gov.pl/dla-pracownikow/niezbednik-pracownika/formy-zatrudnienia-oraz-podstawowe-prawa-i-obowiaz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Retrospektywa</dc:title>
  <dc:creator>Retrospektywa.pl</dc:creator>
  <dc:description>Praktyczny system zarządzania uwagą, kolejką, budżetem i dowodami w pracy programisty wspieranej przez AI.</dc:description>
  <dc:language>pl</dc:language>
  <cp:keywords/>
  <dcterms:created xsi:type="dcterms:W3CDTF">2026-07-24T08:28:55Z</dcterms:created>
  <dcterms:modified xsi:type="dcterms:W3CDTF">2026-07-24T08:28:55Z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2026-07-24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Jak projektować i mierzyć pracę programisty z AI</vt:lpwstr>
  </property>
  <property fmtid="{D5CDD505-2E9C-101B-9397-08002B2CF9AE}" pid="15" name="template-partials">
    <vt:lpwstr/>
  </property>
  <property fmtid="{D5CDD505-2E9C-101B-9397-08002B2CF9AE}" pid="16" name="toc-title">
    <vt:lpwstr>Spis treści</vt:lpwstr>
  </property>
</Properties>
</file>