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売掛金管理表ひな形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DOC-ACC-005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経理・財務・税務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債権管理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請求済み債権の回収状況を管理する。</w:t>
      </w:r>
    </w:p>
    <w:p>
      <w:r>
        <w:rPr>
          <w:rFonts w:ascii="Noto Sans CJK JP" w:hAnsi="Noto Sans CJK JP" w:eastAsia="Noto Sans CJK JP"/>
          <w:b w:val="0"/>
          <w:sz w:val="19"/>
        </w:rPr>
        <w:t>期日超過を早期に把握する。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本ひな形は、経理・財務・税務に関連する「売掛金管理表ひな形」の作成・確認・更新に適用する。対象範囲、対象部署、対象業務は会社の実情に合わせて修正する。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管理対象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回収予定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滞留管理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督促手順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責任部署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売掛金管理表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