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買掛金管理表ひな形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DOC-ACC-006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経理・財務・税務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債務管理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仕入先・外注先への支払予定を管理する。</w:t>
      </w:r>
    </w:p>
    <w:p>
      <w:r>
        <w:rPr>
          <w:rFonts w:ascii="Noto Sans CJK JP" w:hAnsi="Noto Sans CJK JP" w:eastAsia="Noto Sans CJK JP"/>
          <w:b w:val="0"/>
          <w:sz w:val="19"/>
        </w:rPr>
        <w:t>請求書・納品書・検収記録との整合を確認する。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本ひな形は、経理・財務・税務に関連する「買掛金管理表ひな形」の作成・確認・更新に適用する。対象範囲、対象部署、対象業務は会社の実情に合わせて修正する。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支払予定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承認状況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支払保留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支払実績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証憑確認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買掛金管理表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