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棚卸資産管理表ひな形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DOC-ACC-014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経理・財務・税務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棚卸資産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在庫数量・評価額・滞留品を管理する。</w:t>
      </w:r>
    </w:p>
    <w:p>
      <w:r>
        <w:rPr>
          <w:rFonts w:ascii="Noto Sans CJK JP" w:hAnsi="Noto Sans CJK JP" w:eastAsia="Noto Sans CJK JP"/>
          <w:b w:val="0"/>
          <w:sz w:val="19"/>
        </w:rPr>
        <w:t>実地棚卸との差異を確認する。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本ひな形は、経理・財務・税務に関連する「棚卸資産管理表ひな形」の作成・確認・更新に適用する。対象範囲、対象部署、対象業務は会社の実情に合わせて修正する。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目的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対象資産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評価方法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棚卸手順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差異処理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棚卸資産管理表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経理部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