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予算差異分析手順書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DOC-ACC-022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手順書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経理・財務・税務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予算管理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経理部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経理 五郎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月次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予算実績差異の分析、報告、是正対応の手順を定める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予算実績差異の分析、報告、是正対応の手順を定める。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本書は、経理部が主管する関連業務に適用する。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経理部は、本書の維持管理、周知、改定を行う。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本書は原則として月次で見直す。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