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定款ひな形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DOC-GOV-001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規程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経営・ガバナンス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会社基本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総務部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商号、目的、本店所在地を定める。</w:t>
      </w:r>
    </w:p>
    <w:p>
      <w:r>
        <w:rPr>
          <w:rFonts w:ascii="Noto Sans CJK JP" w:hAnsi="Noto Sans CJK JP" w:eastAsia="Noto Sans CJK JP"/>
          <w:b w:val="0"/>
          <w:sz w:val="19"/>
        </w:rPr>
        <w:t>株式、株主総会、役員、事業年度を定める。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本ひな形は、経営・ガバナンスに関連する「定款ひな形」の作成・確認・更新に適用する。対象範囲、対象部署、対象業務は会社の実情に合わせて修正する。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第1章 総則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第2章 株式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第3章 株主総会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第4章 役員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第5章 計算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附則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期限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定款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総務部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総務部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