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決裁権限表ひな形</w:t>
      </w:r>
    </w:p>
    <w:p>
      <w:pPr>
        <w:jc w:val="center"/>
      </w:pPr>
      <w:r>
        <w:rPr>
          <w:rFonts w:ascii="Noto Sans CJK JP" w:hAnsi="Noto Sans CJK JP" w:eastAsia="Noto Sans CJK JP"/>
          <w:color w:val="5A5A5A"/>
          <w:sz w:val="18"/>
        </w:rPr>
        <w:t>中小企業経営ポータル 文書ひな形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項目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内容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項目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内容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文書ID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DOC-GOV-010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文書種別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規程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カテゴリ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経営・ガバナンス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サブカテゴリ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決裁管理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主管部署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総務部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リスク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高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版数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1.0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作成日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20XX年XX月XX日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承認者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 xml:space="preserve">　　　　　　　　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保管場所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 xml:space="preserve">　　　　　　　　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1. 目的</w:t>
      </w:r>
    </w:p>
    <w:p>
      <w:r>
        <w:rPr>
          <w:rFonts w:ascii="Noto Sans CJK JP" w:hAnsi="Noto Sans CJK JP" w:eastAsia="Noto Sans CJK JP"/>
          <w:b w:val="0"/>
          <w:sz w:val="19"/>
        </w:rPr>
        <w:t>取引金額・契約類型ごとの承認者を明確にする。</w:t>
      </w:r>
    </w:p>
    <w:p>
      <w:r>
        <w:rPr>
          <w:rFonts w:ascii="Noto Sans CJK JP" w:hAnsi="Noto Sans CJK JP" w:eastAsia="Noto Sans CJK JP"/>
          <w:b w:val="0"/>
          <w:sz w:val="19"/>
        </w:rPr>
        <w:t>部門長、役員、代表者の権限範囲を一覧化する。</w:t>
      </w:r>
    </w:p>
    <w:p>
      <w:pPr>
        <w:pStyle w:val="Heading1"/>
      </w:pPr>
      <w:r>
        <w:rPr>
          <w:rFonts w:ascii="Noto Sans CJK JP" w:hAnsi="Noto Sans CJK JP" w:eastAsia="Noto Sans CJK JP"/>
          <w:color w:val="1F2937"/>
        </w:rPr>
        <w:t>2. 適用範囲</w:t>
      </w:r>
    </w:p>
    <w:p>
      <w:r>
        <w:rPr>
          <w:rFonts w:ascii="Noto Sans CJK JP" w:hAnsi="Noto Sans CJK JP" w:eastAsia="Noto Sans CJK JP"/>
          <w:b w:val="0"/>
          <w:sz w:val="19"/>
        </w:rPr>
        <w:t>本ひな形は、経営・ガバナンスに関連する「決裁権限表ひな形」の作成・確認・更新に適用する。対象範囲、対象部署、対象業務は会社の実情に合わせて修正する。</w:t>
      </w:r>
    </w:p>
    <w:p>
      <w:pPr>
        <w:pStyle w:val="Heading1"/>
      </w:pPr>
      <w:r>
        <w:rPr>
          <w:rFonts w:ascii="Noto Sans CJK JP" w:hAnsi="Noto Sans CJK JP" w:eastAsia="Noto Sans CJK JP"/>
          <w:color w:val="1F2937"/>
        </w:rPr>
        <w:t>3. 役割・責任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役割</w:t>
            </w:r>
          </w:p>
        </w:tc>
        <w:tc>
          <w:tcPr>
            <w:tcW w:type="dxa" w:w="5213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責任内容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主管部署</w:t>
            </w:r>
          </w:p>
        </w:tc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本書の作成、保管、定期見直しを行う。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関係部署</w:t>
            </w:r>
          </w:p>
        </w:tc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必要な情報を提供し、運用内容を遵守する。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承認者</w:t>
            </w:r>
          </w:p>
        </w:tc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内容の妥当性を確認し、改定を承認する。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4. 運用項目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No.</w:t>
            </w:r>
          </w:p>
        </w:tc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項目</w:t>
            </w:r>
          </w:p>
        </w:tc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記載・確認内容</w:t>
            </w:r>
          </w:p>
        </w:tc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担当</w:t>
            </w:r>
          </w:p>
        </w:tc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日付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目的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適用範囲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3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決裁区分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4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金額基準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5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例外処理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6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改定手続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5. 標準記載欄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No.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対象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確認項目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基準・予定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実績・結果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備考</w:t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3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4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5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6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7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6. 記録・保管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記録名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保管責任者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保管期間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保管場所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決裁権限表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総務部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会社規程に従う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文書台帳または指定フォルダ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改定履歴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総務部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最新版および必要期間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文書台帳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7. 改定履歴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版数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改定日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改定内容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承認者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1.0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20XX年XX月XX日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新規作成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</w:tbl>
    <w:p>
      <w:r>
        <w:rPr>
          <w:rFonts w:ascii="Noto Sans CJK JP" w:hAnsi="Noto Sans CJK JP" w:eastAsia="Noto Sans CJK JP"/>
          <w:color w:val="787878"/>
          <w:sz w:val="16"/>
        </w:rPr>
        <w:t>注記：本ひな形はたたき台です。法務・労務・税務・安全衛生など専門判断が必要な文書は、実運用前に専門家確認を行ってください。</w:t>
      </w:r>
    </w:p>
    <w:sectPr w:rsidR="00FC693F" w:rsidRPr="0006063C" w:rsidSect="00034616">
      <w:pgSz w:w="12240" w:h="15840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