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文書保存年限規程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DOC-GOV-022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文書・規程管理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本書は、文書保存年限規程に関する考え方、判断基準、運用手順を明確にし、業務品質の安定、リスク低減、関係者間の認識統一を図ることを目的とする。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pPr>
        <w:spacing w:after="120"/>
      </w:pPr>
      <w:r>
        <w:rPr>
          <w:rFonts w:ascii="Yu Gothic" w:hAnsi="Yu Gothic" w:eastAsia="Yu Gothic"/>
          <w:sz w:val="20"/>
        </w:rPr>
        <w:t>法令、契約、顧客要求、社内規程を遵守し、透明性・再現性・記録性を重視して運用する。例外対応を行う場合は、事前に責任者の承認を得る。</w:t>
      </w:r>
    </w:p>
    <w:p>
      <w:r>
        <w:rPr>
          <w:rFonts w:ascii="Yu Gothic" w:hAnsi="Yu Gothic" w:eastAsia="Yu Gothic"/>
          <w:b/>
          <w:sz w:val="26"/>
        </w:rPr>
        <w:t>4. 責任と権限</w:t>
      </w:r>
    </w:p>
    <w:p>
      <w:pPr>
        <w:spacing w:after="120"/>
      </w:pPr>
      <w:r>
        <w:rPr>
          <w:rFonts w:ascii="Yu Gothic" w:hAnsi="Yu Gothic" w:eastAsia="Yu Gothic"/>
          <w:sz w:val="20"/>
        </w:rPr>
        <w:t>総務部を主管部署とし、関係部署は運用、記録、報告、改善に協力する。重要な判断事項は、主管部署長または経営者の承認を得る。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6.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7. 違反時の対応</w:t>
      </w:r>
    </w:p>
    <w:p>
      <w:pPr>
        <w:spacing w:after="120"/>
      </w:pPr>
      <w:r>
        <w:rPr>
          <w:rFonts w:ascii="Yu Gothic" w:hAnsi="Yu Gothic" w:eastAsia="Yu Gothic"/>
          <w:sz w:val="20"/>
        </w:rPr>
        <w:t>重大な違反、虚偽記録、無断処理が判明した場合は、主管部署へ報告し、原因調査、再発防止、教育、必要な懲戒・契約上の措置を検討する。</w:t>
      </w:r>
    </w:p>
    <w:p>
      <w:r>
        <w:rPr>
          <w:rFonts w:ascii="Yu Gothic" w:hAnsi="Yu Gothic" w:eastAsia="Yu Gothic"/>
          <w:b/>
          <w:sz w:val="26"/>
        </w:rPr>
        <w:t>8. 見直し・改定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