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権限委譲・代理承認手順書</w:t>
      </w:r>
    </w:p>
    <w:p>
      <w:pPr>
        <w:jc w:val="center"/>
      </w:pPr>
      <w:r>
        <w:rPr>
          <w:rFonts w:ascii="Yu Gothic" w:hAnsi="Yu Gothic" w:eastAsia="Yu Gothic"/>
          <w:sz w:val="20"/>
        </w:rPr>
        <w:t>中小企業向け標準文書ひな形（自社用に編集して使用）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DOC-GOV-023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経営・ガバナンス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関連診断カテゴリ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申請・承認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手順書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総務部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本書は、権限委譲・代理承認手順書に関する考え方、判断基準、運用手順を明確にし、業務品質の安定、リスク低減、関係者間の認識統一を図ることを目的とする。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本書は、当社の役員・従業員および当該業務に関与する委託先、協力会社に適用する。部門固有の事情がある場合は、本書を基準として補足ルールを定める。</w:t>
      </w:r>
    </w:p>
    <w:p>
      <w:r>
        <w:rPr>
          <w:rFonts w:ascii="Yu Gothic" w:hAnsi="Yu Gothic" w:eastAsia="Yu Gothic"/>
          <w:b/>
          <w:sz w:val="26"/>
        </w:rPr>
        <w:t>3. 実施条件</w:t>
      </w:r>
    </w:p>
    <w:p>
      <w:pPr>
        <w:spacing w:after="120"/>
      </w:pPr>
      <w:r>
        <w:rPr>
          <w:rFonts w:ascii="Yu Gothic" w:hAnsi="Yu Gothic" w:eastAsia="Yu Gothic"/>
          <w:sz w:val="20"/>
        </w:rPr>
        <w:t>具体的な運用内容は、自社の規模、業種、組織体制、取引内容、利用システムに応じて定める。</w:t>
      </w:r>
    </w:p>
    <w:p>
      <w:r>
        <w:rPr>
          <w:rFonts w:ascii="Yu Gothic" w:hAnsi="Yu Gothic" w:eastAsia="Yu Gothic"/>
          <w:b/>
          <w:sz w:val="26"/>
        </w:rPr>
        <w:t>4. 実施手順</w:t>
      </w:r>
    </w:p>
    <w:p>
      <w:pPr>
        <w:spacing w:after="120"/>
      </w:pPr>
      <w:r>
        <w:rPr>
          <w:rFonts w:ascii="Yu Gothic" w:hAnsi="Yu Gothic" w:eastAsia="Yu Gothic"/>
          <w:sz w:val="20"/>
        </w:rPr>
        <w:t>担当者は、現状確認、必要情報の収集、関係者との協議、承認、実施、結果確認、記録保管の順に進める。緊急性が高い場合は、通常手順を簡略化しつつ事後記録を残す。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・担当者・承認者・記録保管場所を明確にする。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・処理結果、判断根拠、例外対応を記録する。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・未対応事項はタスク化し、完了まで追跡する。</w:t>
      </w:r>
    </w:p>
    <w:p>
      <w:r>
        <w:rPr>
          <w:rFonts w:ascii="Yu Gothic" w:hAnsi="Yu Gothic" w:eastAsia="Yu Gothic"/>
          <w:b/>
          <w:sz w:val="26"/>
        </w:rPr>
        <w:t>5. 判断基準</w:t>
      </w:r>
    </w:p>
    <w:p>
      <w:pPr>
        <w:spacing w:after="120"/>
      </w:pPr>
      <w:r>
        <w:rPr>
          <w:rFonts w:ascii="Yu Gothic" w:hAnsi="Yu Gothic" w:eastAsia="Yu Gothic"/>
          <w:sz w:val="20"/>
        </w:rPr>
        <w:t>判断基準は、法令・顧客要求・品質基準・安全基準・経済合理性・過去実績を踏まえて設定する。基準外の場合は、原因と対応方針を記録する。</w:t>
      </w:r>
    </w:p>
    <w:p>
      <w:r>
        <w:rPr>
          <w:rFonts w:ascii="Yu Gothic" w:hAnsi="Yu Gothic" w:eastAsia="Yu Gothic"/>
          <w:b/>
          <w:sz w:val="26"/>
        </w:rPr>
        <w:t>6. 報告・承認</w:t>
      </w:r>
    </w:p>
    <w:p>
      <w:pPr>
        <w:spacing w:after="120"/>
      </w:pPr>
      <w:r>
        <w:rPr>
          <w:rFonts w:ascii="Yu Gothic" w:hAnsi="Yu Gothic" w:eastAsia="Yu Gothic"/>
          <w:sz w:val="20"/>
        </w:rPr>
        <w:t>担当者は、重要事項、遅延、異常、判断に迷う事項を速やかに主管部署へ報告する。主管部署は進捗を確認し、必要に応じて是正指示を行う。</w:t>
      </w:r>
    </w:p>
    <w:p>
      <w:r>
        <w:rPr>
          <w:rFonts w:ascii="Yu Gothic" w:hAnsi="Yu Gothic" w:eastAsia="Yu Gothic"/>
          <w:b/>
          <w:sz w:val="26"/>
        </w:rPr>
        <w:t>7. 記録・保管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本書に基づく記録は、文書台帳または指定フォルダに保管する。保管期間、アクセス権限、廃棄方法は文書管理規程および関連規程に従う。</w:t>
      </w:r>
    </w:p>
    <w:p>
      <w:r>
        <w:rPr>
          <w:rFonts w:ascii="Yu Gothic" w:hAnsi="Yu Gothic" w:eastAsia="Yu Gothic"/>
          <w:b/>
          <w:sz w:val="26"/>
        </w:rPr>
        <w:t>8. 見直し</w:t>
      </w:r>
    </w:p>
    <w:p>
      <w:pPr>
        <w:spacing w:after="120"/>
      </w:pPr>
      <w:r>
        <w:rPr>
          <w:rFonts w:ascii="Yu Gothic" w:hAnsi="Yu Gothic" w:eastAsia="Yu Gothic"/>
          <w:sz w:val="20"/>
        </w:rPr>
        <w:t>主管部署は少なくとも年1回、または法令改正、組織変更、事故・不具合発生、顧客要求変更時に内容を見直し、必要に応じて改定する。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関連文書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・文書管理規程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・職務権限規程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・稟議規程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・関連する業務手順書・記録様式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本ひな形はたたき台です。法令・労務・税務・安全衛生・情報セキュリティ等に関わる文書は、専門家確認を行ったうえで正式運用してください。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