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プロジェクト承認手順書</w:t>
      </w:r>
    </w:p>
    <w:p>
      <w:pPr>
        <w:jc w:val="center"/>
      </w:pPr>
      <w:r>
        <w:rPr>
          <w:sz w:val="20"/>
        </w:rPr>
        <w:t>中小企業・経営ポータル 文書ひな形（第8弾）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DOC-GOV-025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文書区分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手順書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経営・ガバナンス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サブカテゴリ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統制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経営企画部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責任者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経営 太郎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見直し頻度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年次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目的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新規プロジェクトの申請、審査、承認、終了判定の手順を定める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注意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本ひな形はたたき台です。実運用前に自社の実態・法令・専門家確認に基づき調整してください。</w:t>
            </w:r>
          </w:p>
        </w:tc>
      </w:tr>
    </w:tbl>
    <w:p/>
    <w:p>
      <w:pPr>
        <w:pStyle w:val="Heading2"/>
      </w:pPr>
      <w:r>
        <w:t>1. 目的</w:t>
      </w:r>
    </w:p>
    <w:p>
      <w:pPr>
        <w:spacing w:after="60"/>
        <w:ind w:left="170"/>
      </w:pPr>
      <w:r>
        <w:t>新規プロジェクトの申請、審査、承認、終了判定の手順を定める。</w:t>
      </w:r>
    </w:p>
    <w:p>
      <w:pPr>
        <w:spacing w:after="60"/>
        <w:ind w:left="170"/>
      </w:pPr>
      <w:r>
        <w:t>本書は、業務の属人化を避け、判断基準と記録方法を明確にすることを目的とする。</w:t>
      </w:r>
    </w:p>
    <w:p>
      <w:pPr>
        <w:pStyle w:val="Heading2"/>
      </w:pPr>
      <w:r>
        <w:t>2. 適用範囲</w:t>
      </w:r>
    </w:p>
    <w:p>
      <w:pPr>
        <w:spacing w:after="60"/>
        <w:ind w:left="170"/>
      </w:pPr>
      <w:r>
        <w:t>本書は、経営企画部が主管する関連業務に適用する。</w:t>
      </w:r>
    </w:p>
    <w:p>
      <w:pPr>
        <w:spacing w:after="60"/>
        <w:ind w:left="170"/>
      </w:pPr>
      <w:r>
        <w:t>必要に応じて関係部署、委託先、取引先にも適用範囲を拡張する。</w:t>
      </w:r>
    </w:p>
    <w:p>
      <w:pPr>
        <w:pStyle w:val="Heading2"/>
      </w:pPr>
      <w:r>
        <w:t>3. 役割と責任</w:t>
      </w:r>
    </w:p>
    <w:p>
      <w:pPr>
        <w:spacing w:after="60"/>
        <w:ind w:left="170"/>
      </w:pPr>
      <w:r>
        <w:t>経営企画部は、本書の維持管理、周知、改定を行う。</w:t>
      </w:r>
    </w:p>
    <w:p>
      <w:pPr>
        <w:spacing w:after="60"/>
        <w:ind w:left="170"/>
      </w:pPr>
      <w:r>
        <w:t>実務担当者は本書に従い、実施記録を残す。</w:t>
      </w:r>
    </w:p>
    <w:p>
      <w:pPr>
        <w:spacing w:after="60"/>
        <w:ind w:left="170"/>
      </w:pPr>
      <w:r>
        <w:t>管理者は運用状況を定期的に確認し、必要な是正を指示する。</w:t>
      </w:r>
    </w:p>
    <w:p>
      <w:pPr>
        <w:pStyle w:val="Heading2"/>
      </w:pPr>
      <w:r>
        <w:t>4. 基本ルール</w:t>
      </w:r>
    </w:p>
    <w:p>
      <w:pPr>
        <w:spacing w:after="60"/>
        <w:ind w:left="170"/>
      </w:pPr>
      <w:r>
        <w:t>関連業務は、事前申請、承認、実施、記録、保管の流れを原則とする。</w:t>
      </w:r>
    </w:p>
    <w:p>
      <w:pPr>
        <w:spacing w:after="60"/>
        <w:ind w:left="170"/>
      </w:pPr>
      <w:r>
        <w:t>例外処理を行う場合は、理由、承認者、実施日を記録する。</w:t>
      </w:r>
    </w:p>
    <w:p>
      <w:pPr>
        <w:spacing w:after="60"/>
        <w:ind w:left="170"/>
      </w:pPr>
      <w:r>
        <w:t>重要な判断や変更は、関係者へ速やかに共有する。</w:t>
      </w:r>
    </w:p>
    <w:p>
      <w:pPr>
        <w:pStyle w:val="Heading2"/>
      </w:pPr>
      <w:r>
        <w:t>5. 運用手順</w:t>
      </w:r>
    </w:p>
    <w:p>
      <w:pPr>
        <w:spacing w:after="60"/>
        <w:ind w:left="170"/>
      </w:pPr>
      <w:r>
        <w:t>(1) 対象業務・対象事項を確認する。</w:t>
      </w:r>
    </w:p>
    <w:p>
      <w:pPr>
        <w:spacing w:after="60"/>
        <w:ind w:left="170"/>
      </w:pPr>
      <w:r>
        <w:t>(2) 必要な情報・証憑・関係者を整理する。</w:t>
      </w:r>
    </w:p>
    <w:p>
      <w:pPr>
        <w:spacing w:after="60"/>
        <w:ind w:left="170"/>
      </w:pPr>
      <w:r>
        <w:t>(3) 承認が必要な場合は所定の承認を得る。</w:t>
      </w:r>
    </w:p>
    <w:p>
      <w:pPr>
        <w:spacing w:after="60"/>
        <w:ind w:left="170"/>
      </w:pPr>
      <w:r>
        <w:t>(4) 実施内容を記録し、必要に応じて改善タスクを登録する。</w:t>
      </w:r>
    </w:p>
    <w:p>
      <w:pPr>
        <w:spacing w:after="60"/>
        <w:ind w:left="170"/>
      </w:pPr>
      <w:r>
        <w:t>(5) 結果を確認し、次回見直しに反映する。</w:t>
      </w:r>
    </w:p>
    <w:p>
      <w:pPr>
        <w:pStyle w:val="Heading2"/>
      </w:pPr>
      <w:r>
        <w:t>6. 記録・保管</w:t>
      </w:r>
    </w:p>
    <w:p>
      <w:pPr>
        <w:spacing w:after="60"/>
        <w:ind w:left="170"/>
      </w:pPr>
      <w:r>
        <w:t>本書に基づき作成した記録は、文書台帳または所定の保管場所に保存する。</w:t>
      </w:r>
    </w:p>
    <w:p>
      <w:pPr>
        <w:spacing w:after="60"/>
        <w:ind w:left="170"/>
      </w:pPr>
      <w:r>
        <w:t>保存期間、閲覧権限、廃棄手順は文書保存年限規程または関連規程に従う。</w:t>
      </w:r>
    </w:p>
    <w:p>
      <w:pPr>
        <w:pStyle w:val="Heading2"/>
      </w:pPr>
      <w:r>
        <w:t>7. 見直し・改定</w:t>
      </w:r>
    </w:p>
    <w:p>
      <w:pPr>
        <w:spacing w:after="60"/>
        <w:ind w:left="170"/>
      </w:pPr>
      <w:r>
        <w:t>本書は原則として年次で見直す。</w:t>
      </w:r>
    </w:p>
    <w:p>
      <w:pPr>
        <w:spacing w:after="60"/>
        <w:ind w:left="170"/>
      </w:pPr>
      <w:r>
        <w:t>法令改正、組織変更、重大な不適合、事故、監査指摘があった場合は随時見直す。</w:t>
      </w:r>
    </w:p>
    <w:p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t>別紙・添付様式：必要に応じてチェックリスト、記録票、承認欄を追加してください。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