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服務規程</w:t>
      </w:r>
    </w:p>
    <w:p>
      <w:pPr>
        <w:jc w:val="center"/>
      </w:pPr>
      <w:r>
        <w:rPr>
          <w:color w:val="6B7280"/>
          <w:sz w:val="18"/>
        </w:rPr>
        <w:t>DOC-HR-006 / 総務・人事労務 / 規程ひな形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文書コード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DOC-HR-006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版数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1.0</w:t>
            </w:r>
          </w:p>
        </w:tc>
      </w:tr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文書名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服務規程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主管部署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制定日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次回見直し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</w:tr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作成者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________________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承認者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________________</w:t>
            </w:r>
          </w:p>
        </w:tc>
      </w:tr>
    </w:tbl>
    <w:p>
      <w:pPr>
        <w:pStyle w:val="Heading2"/>
      </w:pPr>
      <w:r>
        <w:t>利用上の注意</w:t>
      </w:r>
    </w:p>
    <w:p>
      <w:r>
        <w:t>本ひな形は中小企業向けのたたき台です。実運用にあたっては、自社の実態、法令、就業規則、契約条件、顧客要求事項に合わせて必ず修正してください。労務・法務・税務に関わる文書は専門家確認を推奨します。</w:t>
      </w:r>
    </w:p>
    <w:p>
      <w:r>
        <w:t>勤務態度、遵守事項、禁止事項、服務上の責任を明確にするためのひな形です。</w:t>
      </w:r>
    </w:p>
    <w:p>
      <w:pPr>
        <w:pStyle w:val="Heading2"/>
      </w:pPr>
      <w: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版数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改定日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改定内容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</w:t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1.0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新規制定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</w:tbl>
    <w:p>
      <w:pPr>
        <w:pStyle w:val="Heading2"/>
      </w:pPr>
      <w:r>
        <w:t>記入欄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項目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記入内容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確認欄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備考</w:t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日付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担当者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対象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内容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確認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</w:tbl>
    <w:p>
      <w:pPr>
        <w:pStyle w:val="Heading2"/>
      </w:pPr>
      <w:r>
        <w:t>第1条 目的</w:t>
      </w:r>
    </w:p>
    <w:p>
      <w:r>
        <w:t>本規程は、会社の業務運営に必要なルールを明確にし、適正かつ効率的な管理を行うことを目的とする。</w:t>
      </w:r>
    </w:p>
    <w:p>
      <w:pPr>
        <w:pStyle w:val="Heading2"/>
      </w:pPr>
      <w:r>
        <w:t>第2条 適用範囲</w:t>
      </w:r>
    </w:p>
    <w:p>
      <w:r>
        <w:t>本規程は、当社の役員、従業員、契約社員、パートタイマーおよび会社が必要と認める関係者に適用する。</w:t>
      </w:r>
    </w:p>
    <w:p>
      <w:pPr>
        <w:pStyle w:val="Heading2"/>
      </w:pPr>
      <w:r>
        <w:t>第3条 用語の定義</w:t>
      </w:r>
    </w:p>
    <w:p>
      <w:r>
        <w:t>本規程で使用する用語は、別に定める社内規程および一般的な業務慣行に従う。</w:t>
      </w:r>
    </w:p>
    <w:p>
      <w:pPr>
        <w:pStyle w:val="Heading2"/>
      </w:pPr>
      <w:r>
        <w:t>第4条 基本方針</w:t>
      </w:r>
    </w:p>
    <w:p>
      <w:r>
        <w:t>会社は、法令・社内規程・顧客要求事項を遵守し、継続的改善を行う。</w:t>
      </w:r>
    </w:p>
    <w:p>
      <w:pPr>
        <w:pStyle w:val="Heading2"/>
      </w:pPr>
      <w:r>
        <w:t>第5条 役割と責任</w:t>
      </w:r>
    </w:p>
    <w:p>
      <w:r>
        <w:t>主管部署は本規程の管理責任を負い、関係部署は必要な記録の作成、確認および保管を行う。</w:t>
      </w:r>
    </w:p>
    <w:p>
      <w:pPr>
        <w:pStyle w:val="Heading2"/>
      </w:pPr>
      <w:r>
        <w:t>第6条 運用手続</w:t>
      </w:r>
    </w:p>
    <w:p>
      <w:r>
        <w:t>運用手続は、業務の実態に応じて文書化し、必要に応じて申請、承認、記録を行う。</w:t>
      </w:r>
    </w:p>
    <w:p>
      <w:pPr>
        <w:pStyle w:val="Heading2"/>
      </w:pPr>
      <w:r>
        <w:t>第7条 記録・保管</w:t>
      </w:r>
    </w:p>
    <w:p>
      <w:r>
        <w:t>作成した記録は、主管部署が定める保存期間に従い、検索可能な状態で保管する。</w:t>
      </w:r>
    </w:p>
    <w:p>
      <w:pPr>
        <w:pStyle w:val="Heading2"/>
      </w:pPr>
      <w:r>
        <w:t>第8条 見直し・改定</w:t>
      </w:r>
    </w:p>
    <w:p>
      <w:r>
        <w:t>主管部署は、法令改正、組織変更、業務変更が発生した場合、速やかに内容を見直す。</w:t>
      </w:r>
    </w:p>
    <w:p>
      <w:pPr>
        <w:pStyle w:val="Heading2"/>
      </w:pPr>
      <w:r>
        <w:t>承認欄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確認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最終承認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</w:tr>
    </w:tbl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