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健康診断管理規程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DOC-HR-013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総務・人事労務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本規程は、健康診断管理に関する基本的な考え方、運用方法、責任分担を明確にし、業務の標準化とリスク低減を図ることを目的とする。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役割と責任</w:t>
      </w:r>
    </w:p>
    <w:p>
      <w:r>
        <w:rPr>
          <w:rFonts w:ascii="Yu Gothic" w:hAnsi="Yu Gothic" w:eastAsia="Yu Gothic"/>
          <w:sz w:val="20"/>
        </w:rPr>
        <w:t>総務部を主管部署とし、関係部署は本書に基づく運用、記録、報告、改善に協力する。最終責任者は経営者または部門責任者とする。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6. 記録と保管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見直しと改定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