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賞与支給規程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DOC-HR-016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組織・人事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本書は、賞与支給規程に関する考え方、判断基準、運用手順を明確にし、業務品質の安定、リスク低減、関係者間の認識統一を図ることを目的とする。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r>
        <w:rPr>
          <w:rFonts w:ascii="Yu Gothic" w:hAnsi="Yu Gothic" w:eastAsia="Yu Gothic"/>
          <w:b/>
          <w:sz w:val="26"/>
        </w:rPr>
        <w:t>4. 責任と権限</w:t>
      </w:r>
    </w:p>
    <w:p>
      <w:pPr>
        <w:spacing w:after="120"/>
      </w:pPr>
      <w:r>
        <w:rPr>
          <w:rFonts w:ascii="Yu Gothic" w:hAnsi="Yu Gothic" w:eastAsia="Yu Gothic"/>
          <w:sz w:val="20"/>
        </w:rPr>
        <w:t>総務部を主管部署とし、関係部署は運用、記録、報告、改善に協力する。重要な判断事項は、主管部署長または経営者の承認を得る。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違反時の対応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重大な違反、虚偽記録、無断処理が判明した場合は、主管部署へ報告し、原因調査、再発防止、教育、必要な懲戒・契約上の措置を検討する。</w:t>
      </w:r>
    </w:p>
    <w:p>
      <w:r>
        <w:rPr>
          <w:rFonts w:ascii="Yu Gothic" w:hAnsi="Yu Gothic" w:eastAsia="Yu Gothic"/>
          <w:b/>
          <w:sz w:val="26"/>
        </w:rPr>
        <w:t>8. 見直し・改定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