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情報セキュリティ基本規程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DOC-IT-001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IT・情報セキュリティ・BCP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情報システム部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情報資産、アカウント、端末、クラウド、インシデント対応を定める。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本規程は、会社の情報資産を保護し、機密性、完全性、可用性を維持するための基本ルールを定める。</w:t>
      </w:r>
    </w:p>
    <w:p>
      <w:pPr>
        <w:pStyle w:val="Heading1"/>
      </w:pPr>
      <w:r>
        <w:t>第2条 情報資産</w:t>
      </w:r>
    </w:p>
    <w:p>
      <w:pPr>
        <w:pStyle w:val="ListBullet"/>
      </w:pPr>
      <w:r>
        <w:rPr>
          <w:rFonts w:ascii="Noto Sans CJK JP" w:hAnsi="Noto Sans CJK JP" w:eastAsia="Noto Sans CJK JP"/>
        </w:rPr>
        <w:t>顧客情報</w:t>
      </w:r>
    </w:p>
    <w:p>
      <w:pPr>
        <w:pStyle w:val="ListBullet"/>
      </w:pPr>
      <w:r>
        <w:rPr>
          <w:rFonts w:ascii="Noto Sans CJK JP" w:hAnsi="Noto Sans CJK JP" w:eastAsia="Noto Sans CJK JP"/>
        </w:rPr>
        <w:t>取引情報</w:t>
      </w:r>
    </w:p>
    <w:p>
      <w:pPr>
        <w:pStyle w:val="ListBullet"/>
      </w:pPr>
      <w:r>
        <w:rPr>
          <w:rFonts w:ascii="Noto Sans CJK JP" w:hAnsi="Noto Sans CJK JP" w:eastAsia="Noto Sans CJK JP"/>
        </w:rPr>
        <w:t>技術情報</w:t>
      </w:r>
    </w:p>
    <w:p>
      <w:pPr>
        <w:pStyle w:val="ListBullet"/>
      </w:pPr>
      <w:r>
        <w:rPr>
          <w:rFonts w:ascii="Noto Sans CJK JP" w:hAnsi="Noto Sans CJK JP" w:eastAsia="Noto Sans CJK JP"/>
        </w:rPr>
        <w:t>人事情報</w:t>
      </w:r>
    </w:p>
    <w:p>
      <w:pPr>
        <w:pStyle w:val="ListBullet"/>
      </w:pPr>
      <w:r>
        <w:rPr>
          <w:rFonts w:ascii="Noto Sans CJK JP" w:hAnsi="Noto Sans CJK JP" w:eastAsia="Noto Sans CJK JP"/>
        </w:rPr>
        <w:t>財務情報</w:t>
      </w:r>
    </w:p>
    <w:p>
      <w:pPr>
        <w:pStyle w:val="ListBullet"/>
      </w:pPr>
      <w:r>
        <w:rPr>
          <w:rFonts w:ascii="Noto Sans CJK JP" w:hAnsi="Noto Sans CJK JP" w:eastAsia="Noto Sans CJK JP"/>
        </w:rPr>
        <w:t>システムアカウント</w:t>
      </w:r>
    </w:p>
    <w:p>
      <w:pPr>
        <w:pStyle w:val="ListBullet"/>
      </w:pPr>
      <w:r>
        <w:rPr>
          <w:rFonts w:ascii="Noto Sans CJK JP" w:hAnsi="Noto Sans CJK JP" w:eastAsia="Noto Sans CJK JP"/>
        </w:rPr>
        <w:t>端末・ネットワーク機器</w:t>
      </w:r>
    </w:p>
    <w:p>
      <w:pPr>
        <w:pStyle w:val="Heading1"/>
      </w:pPr>
      <w:r>
        <w:t>第3条 基本ルール</w:t>
      </w:r>
    </w:p>
    <w:p>
      <w:pPr>
        <w:pStyle w:val="ListBullet"/>
      </w:pPr>
      <w:r>
        <w:rPr>
          <w:rFonts w:ascii="Noto Sans CJK JP" w:hAnsi="Noto Sans CJK JP" w:eastAsia="Noto Sans CJK JP"/>
        </w:rPr>
        <w:t>業務上必要な範囲でのみ情報を利用する。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パスワードを適切に管理する。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退職者・異動者のアクセス権を速やかに見直す。</w:t>
      </w:r>
    </w:p>
    <w:p>
      <w:pPr>
        <w:pStyle w:val="ListBullet"/>
      </w:pPr>
      <w:r>
        <w:rPr>
          <w:rFonts w:ascii="Noto Sans CJK JP" w:hAnsi="Noto Sans CJK JP" w:eastAsia="Noto Sans CJK JP"/>
        </w:rPr>
        <w:t>インシデント発生時は責任者へ報告する。</w:t>
      </w:r>
    </w:p>
    <w:p>
      <w:pPr>
        <w:pStyle w:val="Heading1"/>
      </w:pPr>
      <w:r>
        <w:t>第4条 教育</w:t>
      </w:r>
    </w:p>
    <w:p>
      <w:r>
        <w:rPr>
          <w:rFonts w:ascii="Noto Sans CJK JP" w:hAnsi="Noto Sans CJK JP" w:eastAsia="Noto Sans CJK JP"/>
          <w:b w:val="0"/>
          <w:sz w:val="21"/>
        </w:rPr>
        <w:t>全従業員に対し、情報セキュリティ教育を定期的に実施する。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DOC-IT-001　情報セキュリティ基本規程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